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Securities and Exchange Act of 1934</w:t>
      </w:r>
    </w:p>
    <w:p>
      <w:pPr>
        <w:spacing w:after="0" w:line="29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22, 2005 (December 21, 2005)</w:t>
      </w:r>
    </w:p>
    <w:p>
      <w:pPr>
        <w:spacing w:after="0" w:line="19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u w:val="single" w:color="auto"/>
          <w:color w:val="auto"/>
        </w:rPr>
        <w:t>REGENERON PHARMACEUTICALS, INC.</w:t>
      </w:r>
    </w:p>
    <w:p>
      <w:pPr>
        <w:spacing w:after="0" w:line="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3340" w:type="dxa"/>
            <w:vAlign w:val="bottom"/>
            <w:gridSpan w:val="2"/>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1100" w:type="dxa"/>
            <w:vAlign w:val="bottom"/>
          </w:tcPr>
          <w:p>
            <w:pPr>
              <w:spacing w:after="0"/>
              <w:rPr>
                <w:sz w:val="17"/>
                <w:szCs w:val="17"/>
                <w:color w:val="auto"/>
              </w:rPr>
            </w:pPr>
          </w:p>
        </w:tc>
        <w:tc>
          <w:tcPr>
            <w:tcW w:w="3040" w:type="dxa"/>
            <w:vAlign w:val="bottom"/>
            <w:gridSpan w:val="3"/>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30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14"/>
        </w:trPr>
        <w:tc>
          <w:tcPr>
            <w:tcW w:w="4100" w:type="dxa"/>
            <w:vAlign w:val="bottom"/>
            <w:gridSpan w:val="3"/>
          </w:tcPr>
          <w:p>
            <w:pPr>
              <w:jc w:val="center"/>
              <w:ind w:right="1820"/>
              <w:spacing w:after="0"/>
              <w:rPr>
                <w:sz w:val="20"/>
                <w:szCs w:val="20"/>
                <w:color w:val="auto"/>
              </w:rPr>
            </w:pPr>
            <w:r>
              <w:rPr>
                <w:rFonts w:ascii="Times New Roman" w:cs="Times New Roman" w:eastAsia="Times New Roman" w:hAnsi="Times New Roman"/>
                <w:sz w:val="18"/>
                <w:szCs w:val="18"/>
                <w:color w:val="auto"/>
              </w:rPr>
              <w:t>(State or other</w:t>
            </w:r>
          </w:p>
        </w:tc>
        <w:tc>
          <w:tcPr>
            <w:tcW w:w="25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40" w:type="dxa"/>
            <w:vAlign w:val="bottom"/>
            <w:gridSpan w:val="4"/>
          </w:tcPr>
          <w:p>
            <w:pPr>
              <w:jc w:val="center"/>
              <w:ind w:left="15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20"/>
        </w:trPr>
        <w:tc>
          <w:tcPr>
            <w:tcW w:w="4100" w:type="dxa"/>
            <w:vAlign w:val="bottom"/>
            <w:gridSpan w:val="3"/>
          </w:tcPr>
          <w:p>
            <w:pPr>
              <w:jc w:val="center"/>
              <w:ind w:right="1800"/>
              <w:spacing w:after="0"/>
              <w:rPr>
                <w:sz w:val="20"/>
                <w:szCs w:val="20"/>
                <w:color w:val="auto"/>
              </w:rPr>
            </w:pPr>
            <w:r>
              <w:rPr>
                <w:rFonts w:ascii="Times New Roman" w:cs="Times New Roman" w:eastAsia="Times New Roman" w:hAnsi="Times New Roman"/>
                <w:sz w:val="18"/>
                <w:szCs w:val="18"/>
                <w:color w:val="auto"/>
              </w:rPr>
              <w:t>jurisdiction of</w:t>
            </w: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340" w:type="dxa"/>
            <w:vAlign w:val="bottom"/>
            <w:gridSpan w:val="4"/>
          </w:tcPr>
          <w:p>
            <w:pPr>
              <w:jc w:val="center"/>
              <w:ind w:left="1550"/>
              <w:spacing w:after="0"/>
              <w:rPr>
                <w:sz w:val="20"/>
                <w:szCs w:val="20"/>
                <w:color w:val="auto"/>
              </w:rPr>
            </w:pPr>
            <w:r>
              <w:rPr>
                <w:rFonts w:ascii="Times New Roman" w:cs="Times New Roman" w:eastAsia="Times New Roman" w:hAnsi="Times New Roman"/>
                <w:sz w:val="18"/>
                <w:szCs w:val="18"/>
                <w:color w:val="auto"/>
              </w:rPr>
              <w:t>Identification Numb</w:t>
            </w:r>
            <w:r>
              <w:rPr>
                <w:rFonts w:ascii="Times New Roman" w:cs="Times New Roman" w:eastAsia="Times New Roman" w:hAnsi="Times New Roman"/>
                <w:sz w:val="18"/>
                <w:szCs w:val="18"/>
                <w:b w:val="1"/>
                <w:bCs w:val="1"/>
                <w:color w:val="auto"/>
              </w:rPr>
              <w:t>er)</w:t>
            </w:r>
          </w:p>
        </w:tc>
      </w:tr>
      <w:tr>
        <w:trPr>
          <w:trHeight w:val="234"/>
        </w:trPr>
        <w:tc>
          <w:tcPr>
            <w:tcW w:w="4100" w:type="dxa"/>
            <w:vAlign w:val="bottom"/>
            <w:gridSpan w:val="3"/>
          </w:tcPr>
          <w:p>
            <w:pPr>
              <w:jc w:val="center"/>
              <w:ind w:right="1820"/>
              <w:spacing w:after="0"/>
              <w:rPr>
                <w:sz w:val="20"/>
                <w:szCs w:val="20"/>
                <w:color w:val="auto"/>
              </w:rPr>
            </w:pPr>
            <w:r>
              <w:rPr>
                <w:rFonts w:ascii="Times New Roman" w:cs="Times New Roman" w:eastAsia="Times New Roman" w:hAnsi="Times New Roman"/>
                <w:sz w:val="18"/>
                <w:szCs w:val="18"/>
                <w:color w:val="auto"/>
              </w:rPr>
              <w:t>incorporation)</w:t>
            </w: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6640" w:type="dxa"/>
            <w:vAlign w:val="bottom"/>
            <w:tcBorders>
              <w:bottom w:val="single" w:sz="8" w:color="auto"/>
            </w:tcBorders>
            <w:gridSpan w:val="6"/>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2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10591-6707</w:t>
            </w: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232"/>
        </w:trPr>
        <w:tc>
          <w:tcPr>
            <w:tcW w:w="760" w:type="dxa"/>
            <w:vAlign w:val="bottom"/>
          </w:tcPr>
          <w:p>
            <w:pPr>
              <w:spacing w:after="0"/>
              <w:rPr>
                <w:sz w:val="20"/>
                <w:szCs w:val="20"/>
                <w:color w:val="auto"/>
              </w:rPr>
            </w:pPr>
          </w:p>
        </w:tc>
        <w:tc>
          <w:tcPr>
            <w:tcW w:w="33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4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300" w:type="dxa"/>
            <w:vAlign w:val="bottom"/>
          </w:tcPr>
          <w:p>
            <w:pPr>
              <w:spacing w:after="0"/>
              <w:rPr>
                <w:sz w:val="20"/>
                <w:szCs w:val="20"/>
                <w:color w:val="auto"/>
              </w:rPr>
            </w:pPr>
          </w:p>
        </w:tc>
      </w:tr>
    </w:tbl>
    <w:p>
      <w:pPr>
        <w:spacing w:after="0" w:line="29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u w:val="single" w:color="auto"/>
          <w:color w:val="auto"/>
        </w:rPr>
        <w:t>(914) 347-7000</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registrant under any of the following provisions:</w:t>
      </w:r>
    </w:p>
    <w:p>
      <w:pPr>
        <w:spacing w:after="0" w:line="54" w:lineRule="exact"/>
        <w:rPr>
          <w:sz w:val="20"/>
          <w:szCs w:val="20"/>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921" w:right="6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On December 21, 2005, Regeneron Pharmaceuticals, Inc. (the “Company”) and Aventis Pharmaceuticals Inc. (“Aventis”) (now a member of the sanofi-aventis Group) entered into a Third Amendment (the “Third Amendment”) to their Collaboration Agreement dated as of September 5, 2003 (the “Collaboration Agreement”). The Third Amendment expanded the territory in which the companies are collaborating on the development of the Vascular Endothelial Growth Factor (VEGF) Trap to include Japan. The companies will now collaborate on the joint development of the VEGF Trap throughout the world in all indications, except for intraocular delivery to the eye. In connection with the Third Amendment, the Company will receive an upfront payment of $25 million, milestone payments of up to $40 million related to potential regulatory approvals of the VEGF Trap in Japan, and a royalty of approximately 35% of annual sales of the VEGF Trap in Japan, subject to certain potential adjustments.</w:t>
      </w:r>
    </w:p>
    <w:p>
      <w:pPr>
        <w:spacing w:after="0" w:line="189" w:lineRule="exact"/>
        <w:rPr>
          <w:sz w:val="20"/>
          <w:szCs w:val="20"/>
          <w:color w:val="auto"/>
        </w:rPr>
      </w:pPr>
    </w:p>
    <w:p>
      <w:pPr>
        <w:ind w:left="460" w:right="40"/>
        <w:spacing w:after="0" w:line="256" w:lineRule="auto"/>
        <w:rPr>
          <w:sz w:val="20"/>
          <w:szCs w:val="20"/>
          <w:color w:val="auto"/>
        </w:rPr>
      </w:pPr>
      <w:r>
        <w:rPr>
          <w:rFonts w:ascii="Times New Roman" w:cs="Times New Roman" w:eastAsia="Times New Roman" w:hAnsi="Times New Roman"/>
          <w:sz w:val="18"/>
          <w:szCs w:val="18"/>
          <w:color w:val="auto"/>
        </w:rPr>
        <w:t>Under the terms of the amended Collaboration Agreement, the Company is eligible to receive total milestone payments of up to $400 million, which includes up to $360 million related to potential regulatory approvals of the VEGF Trap in the United States and the European Union. In addition, the Company is entitled to share equally in any profits related to VEGF Trap sales outside of Japan. Aventis is responsible for funding all of the worldwide VEGF Trap development costs under the Collaboration Agreement. Following commercialization of the VEGF Trap, the Company is obligated to reimburse Aventis for half of the worldwide VEGF Trap development costs paid by Aventis out of the Company’s share of VEGF Trap profits and Japan royalties.</w:t>
      </w:r>
    </w:p>
    <w:p>
      <w:pPr>
        <w:spacing w:after="0" w:line="80" w:lineRule="exact"/>
        <w:rPr>
          <w:sz w:val="20"/>
          <w:szCs w:val="20"/>
          <w:color w:val="auto"/>
        </w:rPr>
      </w:pPr>
    </w:p>
    <w:p>
      <w:pPr>
        <w:ind w:right="56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60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22, 2005</w:t>
            </w:r>
          </w:p>
        </w:tc>
        <w:tc>
          <w:tcPr>
            <w:tcW w:w="60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By: /s/ Stuart Kolinski</w:t>
            </w:r>
          </w:p>
        </w:tc>
      </w:tr>
      <w:tr>
        <w:trPr>
          <w:trHeight w:val="191"/>
        </w:trPr>
        <w:tc>
          <w:tcPr>
            <w:tcW w:w="36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Stuart Kolinski</w:t>
            </w:r>
          </w:p>
        </w:tc>
      </w:tr>
      <w:tr>
        <w:trPr>
          <w:trHeight w:val="234"/>
        </w:trPr>
        <w:tc>
          <w:tcPr>
            <w:tcW w:w="36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General Counsel</w:t>
            </w:r>
          </w:p>
        </w:tc>
      </w:tr>
      <w:tr>
        <w:trPr>
          <w:trHeight w:val="621"/>
        </w:trPr>
        <w:tc>
          <w:tcPr>
            <w:tcW w:w="3660" w:type="dxa"/>
            <w:vAlign w:val="bottom"/>
          </w:tcPr>
          <w:p>
            <w:pPr>
              <w:spacing w:after="0"/>
              <w:rPr>
                <w:sz w:val="24"/>
                <w:szCs w:val="24"/>
                <w:color w:val="auto"/>
              </w:rPr>
            </w:pPr>
          </w:p>
        </w:tc>
        <w:tc>
          <w:tcPr>
            <w:tcW w:w="6080" w:type="dxa"/>
            <w:vAlign w:val="bottom"/>
            <w:gridSpan w:val="2"/>
          </w:tcPr>
          <w:p>
            <w:pPr>
              <w:jc w:val="right"/>
              <w:ind w:right="3890"/>
              <w:spacing w:after="0"/>
              <w:rPr>
                <w:sz w:val="20"/>
                <w:szCs w:val="20"/>
                <w:color w:val="auto"/>
              </w:rPr>
            </w:pPr>
            <w:r>
              <w:rPr>
                <w:rFonts w:ascii="Times New Roman" w:cs="Times New Roman" w:eastAsia="Times New Roman" w:hAnsi="Times New Roman"/>
                <w:sz w:val="18"/>
                <w:szCs w:val="18"/>
                <w:color w:val="auto"/>
              </w:rPr>
              <w:t>2</w:t>
            </w:r>
          </w:p>
        </w:tc>
      </w:tr>
    </w:tbl>
    <w:p>
      <w:pPr>
        <w:spacing w:after="0" w:line="1" w:lineRule="exact"/>
        <w:rPr>
          <w:sz w:val="20"/>
          <w:szCs w:val="20"/>
          <w:color w:val="auto"/>
        </w:rPr>
      </w:pPr>
    </w:p>
    <w:sectPr>
      <w:pgSz w:w="11900" w:h="16838" w:orient="portrait"/>
      <w:cols w:equalWidth="0" w:num="1">
        <w:col w:w="11380"/>
      </w:cols>
      <w:pgMar w:left="240" w:top="114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2019-12-20T02:06:54Z</dcterms:created>
  <dcterms:modified xsi:type="dcterms:W3CDTF">2019-12-20T02:06:54Z</dcterms:modified>
</cp:coreProperties>
</file>