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 FILINGS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DATE:December 31, 2007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SECURITY NAME: 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CIK#:0000872589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IRS#:133444607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Exchange:NASDAQ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ADDRESS:777 OLD SAW MILL RIVER ROAD</w:t>
      </w:r>
    </w:p>
    <w:p>
      <w:pPr>
        <w:ind w:left="860"/>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SHARES: 3,068,370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DISPOSITIVE SHARES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3,420,753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OUTSTANDING: 67,353,753</w:t>
      </w:r>
    </w:p>
    <w:p>
      <w:pPr>
        <w:spacing w:after="0" w:line="207" w:lineRule="exact"/>
        <w:rPr>
          <w:sz w:val="24"/>
          <w:szCs w:val="24"/>
          <w:color w:val="auto"/>
        </w:rPr>
      </w:pPr>
    </w:p>
    <w:p>
      <w:pPr>
        <w:ind w:right="7679" w:firstLine="8"/>
        <w:spacing w:after="0" w:line="536"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BY LOOMIS: 5.08% LOOMIS CIK#:0000312348 LOOMIS IRS#:043200030 LOOMIS PASSWORD:xxxxxxxx</w:t>
      </w:r>
    </w:p>
    <w:p>
      <w:pPr>
        <w:spacing w:after="0" w:line="235"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_________________________</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filing person: (1) has a previous statement on file reporting beneficial ownership of more than 5 percent</w:t>
      </w:r>
    </w:p>
    <w:p>
      <w:pPr>
        <w:spacing w:after="0" w:line="1"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of the class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jc w:val="both"/>
        <w:ind w:right="2839" w:firstLine="8"/>
        <w:spacing w:after="0" w:line="275"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3460" w:val="left"/>
          <w:tab w:leader="none" w:pos="504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 OF REPORTING PERSON</w:t>
      </w:r>
    </w:p>
    <w:p>
      <w:pPr>
        <w:spacing w:after="0" w:line="4" w:lineRule="exact"/>
        <w:rPr>
          <w:sz w:val="24"/>
          <w:szCs w:val="24"/>
          <w:color w:val="auto"/>
        </w:rPr>
      </w:pPr>
    </w:p>
    <w:p>
      <w:pPr>
        <w:ind w:right="505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Loomis Sayles &amp; Co., L.P.</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#04-3200030</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2.CHECK THE APPROPRIATE BOX IF A MEMBER OF A GROUP*</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3.SEC USE ONLY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Place of Organization - Delaware.</w:t>
      </w:r>
    </w:p>
    <w:p>
      <w:pPr>
        <w:spacing w:after="0"/>
        <w:rPr>
          <w:sz w:val="20"/>
          <w:szCs w:val="20"/>
          <w:color w:val="auto"/>
        </w:rPr>
      </w:pPr>
      <w:r>
        <w:rPr>
          <w:rFonts w:ascii="Courier New" w:cs="Courier New" w:eastAsia="Courier New" w:hAnsi="Courier New"/>
          <w:sz w:val="18"/>
          <w:szCs w:val="18"/>
          <w:color w:val="auto"/>
        </w:rPr>
        <w:t>Principal Office of Reporting Person is in Boston, 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3,068,370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77,022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3,420,753</w:t>
            </w:r>
          </w:p>
        </w:tc>
      </w:tr>
      <w:tr>
        <w:trPr>
          <w:trHeight w:val="405"/>
        </w:trPr>
        <w:tc>
          <w:tcPr>
            <w:tcW w:w="1540" w:type="dxa"/>
            <w:vAlign w:val="bottom"/>
          </w:tcPr>
          <w:p>
            <w:pPr>
              <w:spacing w:after="0"/>
              <w:rPr>
                <w:sz w:val="24"/>
                <w:szCs w:val="24"/>
                <w:color w:val="auto"/>
              </w:rPr>
            </w:pP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3,420,753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8"/>
          <w:szCs w:val="18"/>
          <w:color w:val="auto"/>
        </w:rPr>
        <w:t>10.CHECK BOX IF AGGREGATE AMOUNT IN ROW (9) EXCLUDES CERTAIN</w:t>
      </w:r>
      <w:r>
        <w:rPr>
          <w:sz w:val="20"/>
          <w:szCs w:val="20"/>
          <w:color w:val="auto"/>
        </w:rPr>
        <w:tab/>
      </w:r>
      <w:r>
        <w:rPr>
          <w:rFonts w:ascii="Courier New" w:cs="Courier New" w:eastAsia="Courier New" w:hAnsi="Courier New"/>
          <w:sz w:val="16"/>
          <w:szCs w:val="16"/>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38" w:lineRule="auto"/>
        <w:rPr>
          <w:sz w:val="20"/>
          <w:szCs w:val="20"/>
          <w:color w:val="auto"/>
        </w:rPr>
      </w:pPr>
      <w:r>
        <w:rPr>
          <w:rFonts w:ascii="Courier New" w:cs="Courier New" w:eastAsia="Courier New" w:hAnsi="Courier New"/>
          <w:sz w:val="18"/>
          <w:szCs w:val="18"/>
          <w:color w:val="auto"/>
        </w:rPr>
        <w:t>Investment adviser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1(a).Name of Issuer</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1(b).Address of Issuers Principal Office</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2(a).Name of Person Filing</w:t>
      </w:r>
    </w:p>
    <w:p>
      <w:pPr>
        <w:spacing w:after="0" w:line="238" w:lineRule="auto"/>
        <w:rPr>
          <w:sz w:val="20"/>
          <w:szCs w:val="20"/>
          <w:color w:val="auto"/>
        </w:rPr>
      </w:pPr>
      <w:r>
        <w:rPr>
          <w:rFonts w:ascii="Courier New" w:cs="Courier New" w:eastAsia="Courier New" w:hAnsi="Courier New"/>
          <w:sz w:val="18"/>
          <w:szCs w:val="18"/>
          <w:color w:val="auto"/>
        </w:rPr>
        <w:t>Loomis, Sayles &amp; Co., L.P.</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One Financial Center</w:t>
      </w:r>
    </w:p>
    <w:p>
      <w:pPr>
        <w:spacing w:after="0"/>
        <w:tabs>
          <w:tab w:leader="none" w:pos="126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2(c).Citizenship</w:t>
      </w:r>
    </w:p>
    <w:p>
      <w:pPr>
        <w:spacing w:after="0" w:line="238" w:lineRule="auto"/>
        <w:rPr>
          <w:sz w:val="20"/>
          <w:szCs w:val="20"/>
          <w:color w:val="auto"/>
        </w:rPr>
      </w:pPr>
      <w:r>
        <w:rPr>
          <w:rFonts w:ascii="Courier New" w:cs="Courier New" w:eastAsia="Courier New" w:hAnsi="Courier New"/>
          <w:sz w:val="18"/>
          <w:szCs w:val="18"/>
          <w:color w:val="auto"/>
        </w:rPr>
        <w:t>Place of Organization - Delaware.</w:t>
      </w:r>
    </w:p>
    <w:p>
      <w:pPr>
        <w:spacing w:after="0"/>
        <w:rPr>
          <w:sz w:val="20"/>
          <w:szCs w:val="20"/>
          <w:color w:val="auto"/>
        </w:rPr>
      </w:pPr>
      <w:r>
        <w:rPr>
          <w:rFonts w:ascii="Courier New" w:cs="Courier New" w:eastAsia="Courier New" w:hAnsi="Courier New"/>
          <w:sz w:val="18"/>
          <w:szCs w:val="18"/>
          <w:color w:val="auto"/>
        </w:rPr>
        <w:t>Principal office of Reporting Person is Boston, MA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Item 2(e).CUSIP Number 75886F107</w:t>
      </w:r>
    </w:p>
    <w:p>
      <w:pPr>
        <w:spacing w:after="0" w:line="20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f this statement is filed pursuant to Rules 13d-1(b), or 13d-2(b), check whether the person filing is a:</w:t>
      </w:r>
    </w:p>
    <w:p>
      <w:pPr>
        <w:spacing w:after="0" w:line="20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(a)[ ]Broker or dealer registered under Section 15 of the Act (b)[ ]Bank as defined in Section 3(a)(6) of the Act</w:t>
      </w:r>
    </w:p>
    <w:p>
      <w:pPr>
        <w:spacing w:after="0" w:line="6"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(c)[ ]Insurance Company registered under Section 3(a)(19) of the Act (d)[ ]Investment company registered under Section 8 of the Investment Company Act</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(e)[x]Investment Adviser registered under Section 203 of the Investment Advisers Act of 1940</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(f)[ ]Employee Benefit Plan, Pension Fund which is subject to the provisions of the Employee Retirement Income Security Act of 1974 or Endowment Fund: see Section 240.13d-1(b)(1)(ii)(F)</w:t>
      </w:r>
    </w:p>
    <w:p>
      <w:pPr>
        <w:spacing w:after="0" w:line="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(g)[ ]Parent Holding Company, in accordance with Section 240.13d-1(b)(ii)(G) (Note: See Item 7)</w:t>
      </w:r>
    </w:p>
    <w:p>
      <w:pPr>
        <w:spacing w:after="0"/>
        <w:rPr>
          <w:sz w:val="20"/>
          <w:szCs w:val="20"/>
          <w:color w:val="auto"/>
        </w:rPr>
      </w:pPr>
      <w:r>
        <w:rPr>
          <w:rFonts w:ascii="Courier New" w:cs="Courier New" w:eastAsia="Courier New" w:hAnsi="Courier New"/>
          <w:sz w:val="18"/>
          <w:szCs w:val="18"/>
          <w:color w:val="auto"/>
        </w:rPr>
        <w:t>(h)[ ]Group, in accordance with Section 240.13d-1(b)(1)(ii)(H)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4.Ownership</w:t>
      </w:r>
    </w:p>
    <w:p>
      <w:pPr>
        <w:sectPr>
          <w:pgSz w:w="11900" w:h="16838" w:orient="portrait"/>
          <w:cols w:equalWidth="0" w:num="1">
            <w:col w:w="10219"/>
          </w:cols>
          <w:pgMar w:left="240" w:top="142" w:right="1440" w:bottom="0" w:gutter="0" w:footer="0" w:header="0"/>
        </w:sectPr>
      </w:pPr>
    </w:p>
    <w:bookmarkStart w:id="2" w:name="page3"/>
    <w:bookmarkEnd w:id="2"/>
    <w:p>
      <w:pPr>
        <w:ind w:right="3479"/>
        <w:spacing w:after="0" w:line="237"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 13d-1(b)(2), if applicable, exceeds 5 percent provide the following information as of that date and identify those shares which there is a right to acquire.</w:t>
      </w:r>
    </w:p>
    <w:p>
      <w:pPr>
        <w:spacing w:after="0" w:line="203"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(a)Amount beneficially owned:</w:t>
      </w:r>
      <w:r>
        <w:rPr>
          <w:sz w:val="20"/>
          <w:szCs w:val="20"/>
          <w:color w:val="auto"/>
        </w:rPr>
        <w:tab/>
      </w:r>
      <w:r>
        <w:rPr>
          <w:rFonts w:ascii="Courier New" w:cs="Courier New" w:eastAsia="Courier New" w:hAnsi="Courier New"/>
          <w:sz w:val="16"/>
          <w:szCs w:val="16"/>
          <w:color w:val="auto"/>
        </w:rPr>
        <w:t>3,420,753</w:t>
      </w:r>
    </w:p>
    <w:p>
      <w:pPr>
        <w:spacing w:after="0"/>
        <w:tabs>
          <w:tab w:leader="none" w:pos="3360" w:val="left"/>
        </w:tabs>
        <w:rPr>
          <w:sz w:val="20"/>
          <w:szCs w:val="20"/>
          <w:color w:val="auto"/>
        </w:rPr>
      </w:pPr>
      <w:r>
        <w:rPr>
          <w:rFonts w:ascii="Courier New" w:cs="Courier New" w:eastAsia="Courier New" w:hAnsi="Courier New"/>
          <w:sz w:val="18"/>
          <w:szCs w:val="18"/>
          <w:color w:val="auto"/>
        </w:rPr>
        <w:t>(b)Percent of Class:</w:t>
      </w:r>
      <w:r>
        <w:rPr>
          <w:sz w:val="20"/>
          <w:szCs w:val="20"/>
          <w:color w:val="auto"/>
        </w:rPr>
        <w:tab/>
      </w:r>
      <w:r>
        <w:rPr>
          <w:rFonts w:ascii="Courier New" w:cs="Courier New" w:eastAsia="Courier New" w:hAnsi="Courier New"/>
          <w:sz w:val="16"/>
          <w:szCs w:val="16"/>
          <w:color w:val="auto"/>
        </w:rPr>
        <w:t>5.08%</w:t>
      </w:r>
    </w:p>
    <w:p>
      <w:pPr>
        <w:spacing w:after="0"/>
        <w:rPr>
          <w:sz w:val="20"/>
          <w:szCs w:val="20"/>
          <w:color w:val="auto"/>
        </w:rPr>
      </w:pPr>
      <w:r>
        <w:rPr>
          <w:rFonts w:ascii="Courier New" w:cs="Courier New" w:eastAsia="Courier New" w:hAnsi="Courier New"/>
          <w:sz w:val="18"/>
          <w:szCs w:val="18"/>
          <w:color w:val="auto"/>
        </w:rPr>
        <w:t>(c)Number of shares as to which such person has:</w:t>
      </w:r>
    </w:p>
    <w:p>
      <w:pPr>
        <w:spacing w:after="0" w:line="206" w:lineRule="exact"/>
        <w:rPr>
          <w:sz w:val="20"/>
          <w:szCs w:val="20"/>
          <w:color w:val="auto"/>
        </w:rPr>
      </w:pPr>
    </w:p>
    <w:p>
      <w:pPr>
        <w:ind w:right="505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3,068,370</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77,022</w:t>
      </w:r>
    </w:p>
    <w:p>
      <w:pPr>
        <w:spacing w:after="0" w:line="4" w:lineRule="exact"/>
        <w:rPr>
          <w:rFonts w:ascii="Courier New" w:cs="Courier New" w:eastAsia="Courier New" w:hAnsi="Courier New"/>
          <w:sz w:val="18"/>
          <w:szCs w:val="18"/>
          <w:color w:val="auto"/>
        </w:rPr>
      </w:pPr>
    </w:p>
    <w:p>
      <w:pPr>
        <w:ind w:right="367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3,420,753</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Loomis, Sayles &amp; Company, L.P. disclaims any beneficial interest in any of the foregoing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other person is known to have the right to receive or the power</w:t>
      </w:r>
    </w:p>
    <w:p>
      <w:pPr>
        <w:spacing w:after="0" w:line="4" w:lineRule="exact"/>
        <w:rPr>
          <w:sz w:val="20"/>
          <w:szCs w:val="20"/>
          <w:color w:val="auto"/>
        </w:rPr>
      </w:pPr>
    </w:p>
    <w:p>
      <w:pPr>
        <w:jc w:val="both"/>
        <w:ind w:right="2419"/>
        <w:spacing w:after="0" w:line="268" w:lineRule="auto"/>
        <w:rPr>
          <w:sz w:val="20"/>
          <w:szCs w:val="20"/>
          <w:color w:val="auto"/>
        </w:rPr>
      </w:pPr>
      <w:r>
        <w:rPr>
          <w:rFonts w:ascii="Courier New" w:cs="Courier New" w:eastAsia="Courier New" w:hAnsi="Courier New"/>
          <w:sz w:val="16"/>
          <w:szCs w:val="16"/>
          <w:color w:val="auto"/>
        </w:rPr>
        <w:t>to direct the receipt of dividends from, or the proceeds from the sale of, such securities, a statement to that effect should be included in response to this item and, if such interest relates to more than five percent</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Clients of Reporting Person have such a right, none of whom has such interest relating to more than 5% of any class.</w:t>
      </w:r>
    </w:p>
    <w:p>
      <w:pPr>
        <w:spacing w:after="0" w:line="208"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Item 8.Identification and Classification of Members of the Group. If a group has filed this schedule pursuant to Rule 13d-1(b)(ii)(H), so indicate under Item 3(b) and attach an exhibit stating the identity and Item 3 classification of each member of the group.</w:t>
      </w:r>
    </w:p>
    <w:p>
      <w:pPr>
        <w:spacing w:after="0" w:line="1"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If a group has filed this schedule pursuant to Rule 13d-1(c), attach an exhibit stating the identity of each member of the group. Inapplicable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jc w:val="center"/>
        <w:ind w:right="26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w:t>
      </w:r>
    </w:p>
    <w:p>
      <w:pPr>
        <w:spacing w:after="0" w:line="1"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effect 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inquire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February 14, 2008</w:t>
      </w:r>
    </w:p>
    <w:p>
      <w:pPr>
        <w:spacing w:after="0" w:line="216" w:lineRule="exact"/>
        <w:rPr>
          <w:sz w:val="20"/>
          <w:szCs w:val="20"/>
          <w:color w:val="auto"/>
        </w:rPr>
      </w:pPr>
    </w:p>
    <w:p>
      <w:pPr>
        <w:sectPr>
          <w:pgSz w:w="11900" w:h="16838" w:orient="portrait"/>
          <w:cols w:equalWidth="0" w:num="2">
            <w:col w:w="540" w:space="320"/>
            <w:col w:w="9359"/>
          </w:cols>
          <w:pgMar w:left="240" w:top="136"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Mari Shimokawa</w:t>
      </w:r>
    </w:p>
    <w:p>
      <w:pPr>
        <w:spacing w:after="0" w:line="200" w:lineRule="exact"/>
        <w:rPr>
          <w:sz w:val="20"/>
          <w:szCs w:val="20"/>
          <w:color w:val="auto"/>
        </w:rPr>
      </w:pPr>
    </w:p>
    <w:p>
      <w:pPr>
        <w:sectPr>
          <w:pgSz w:w="11900" w:h="16838" w:orient="portrait"/>
          <w:cols w:equalWidth="0" w:num="2">
            <w:col w:w="1060" w:space="640"/>
            <w:col w:w="851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Mari Shimokawa/VP and Trading Compliance Officer</w:t>
      </w:r>
    </w:p>
    <w:sectPr>
      <w:pgSz w:w="11900" w:h="16838" w:orient="portrait"/>
      <w:cols w:equalWidth="0" w:num="2">
        <w:col w:w="1160" w:space="5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S.%1."/>
      <w:numFmt w:val="upperLetter"/>
      <w:start w:val="19"/>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2019-12-11T14:48:34Z</dcterms:created>
  <dcterms:modified xsi:type="dcterms:W3CDTF">2019-12-11T14:48:34Z</dcterms:modified>
</cp:coreProperties>
</file>