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 May 1, 2009 (April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3600" w:type="dxa"/>
            <w:vAlign w:val="bottom"/>
            <w:gridSpan w:val="2"/>
          </w:tcPr>
          <w:p>
            <w:pPr>
              <w:jc w:val="right"/>
              <w:ind w:right="1232"/>
              <w:spacing w:after="0"/>
              <w:rPr>
                <w:sz w:val="20"/>
                <w:szCs w:val="20"/>
                <w:color w:val="auto"/>
              </w:rPr>
            </w:pPr>
            <w:r>
              <w:rPr>
                <w:rFonts w:ascii="Arial" w:cs="Arial" w:eastAsia="Arial" w:hAnsi="Arial"/>
                <w:sz w:val="18"/>
                <w:szCs w:val="18"/>
                <w:b w:val="1"/>
                <w:bCs w:val="1"/>
                <w:color w:val="auto"/>
              </w:rPr>
              <w:t>000-19034</w:t>
            </w:r>
          </w:p>
        </w:tc>
        <w:tc>
          <w:tcPr>
            <w:tcW w:w="4420" w:type="dxa"/>
            <w:vAlign w:val="bottom"/>
            <w:gridSpan w:val="2"/>
          </w:tcPr>
          <w:p>
            <w:pPr>
              <w:jc w:val="right"/>
              <w:ind w:right="1592"/>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2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(Commission File No.)</w:t>
            </w:r>
          </w:p>
        </w:tc>
        <w:tc>
          <w:tcPr>
            <w:tcW w:w="22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No.)</w:t>
            </w:r>
          </w:p>
        </w:tc>
      </w:tr>
    </w:tbl>
    <w:p>
      <w:pPr>
        <w:spacing w:after="0" w:line="21"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303" w:lineRule="exact"/>
        <w:rPr>
          <w:sz w:val="24"/>
          <w:szCs w:val="24"/>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777 Old Saw Mill River Road, Tarrytown, New York 10591-6707</w:t>
      </w:r>
    </w:p>
    <w:p>
      <w:pPr>
        <w:spacing w:after="0" w:line="2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ind w:left="300" w:right="84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26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58" w:lineRule="exact"/>
        <w:rPr>
          <w:sz w:val="24"/>
          <w:szCs w:val="24"/>
          <w:color w:val="auto"/>
        </w:rPr>
      </w:pPr>
    </w:p>
    <w:p>
      <w:pPr>
        <w:ind w:right="180" w:firstLine="270"/>
        <w:spacing w:after="0" w:line="259" w:lineRule="auto"/>
        <w:rPr>
          <w:sz w:val="20"/>
          <w:szCs w:val="20"/>
          <w:color w:val="auto"/>
        </w:rPr>
      </w:pPr>
      <w:r>
        <w:rPr>
          <w:rFonts w:ascii="Arial" w:cs="Arial" w:eastAsia="Arial" w:hAnsi="Arial"/>
          <w:sz w:val="18"/>
          <w:szCs w:val="18"/>
          <w:color w:val="auto"/>
        </w:rPr>
        <w:t>On April 30, 2009, Regeneron Pharmaceuticals, Inc. issued a press release announcing its financial and operating results for the quarter ended March 31, 2009. The press release is being furnished to the Securities and Exchange Commission pursuant to Item 2.02 of Form 8-K and is attached as Exhibit 99.1 to this Form 8-K.</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April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5540"/>
        <w:spacing w:after="0"/>
        <w:rPr>
          <w:sz w:val="20"/>
          <w:szCs w:val="20"/>
          <w:color w:val="auto"/>
        </w:rPr>
      </w:pPr>
      <w:r>
        <w:rPr>
          <w:rFonts w:ascii="Arial" w:cs="Arial" w:eastAsia="Arial" w:hAnsi="Arial"/>
          <w:sz w:val="18"/>
          <w:szCs w:val="18"/>
          <w:color w:val="auto"/>
        </w:rPr>
        <w:t>REGENERON PHARMACEUTICALS, INC.</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Date: May 1, 2009</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Name: Stuart Kolinski</w:t>
      </w:r>
    </w:p>
    <w:p>
      <w:pPr>
        <w:spacing w:after="0" w:line="36"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Title:  Senior Vice President and General</w:t>
      </w:r>
    </w:p>
    <w:p>
      <w:pPr>
        <w:spacing w:after="0" w:line="36"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Counsel</w:t>
      </w:r>
    </w:p>
    <w:p>
      <w:pPr>
        <w:sectPr>
          <w:pgSz w:w="11900" w:h="16838" w:orient="portrait"/>
          <w:cols w:equalWidth="0" w:num="1">
            <w:col w:w="11420"/>
          </w:cols>
          <w:pgMar w:left="240" w:top="233" w:right="239" w:bottom="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Index</w:t>
      </w:r>
    </w:p>
    <w:p>
      <w:pPr>
        <w:spacing w:after="0" w:line="23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Regeneron Reports First Quarter 2009 Financial and Operating Results</w:t>
      </w:r>
    </w:p>
    <w:p>
      <w:pPr>
        <w:spacing w:after="0" w:line="226"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b w:val="1"/>
          <w:bCs w:val="1"/>
          <w:color w:val="auto"/>
        </w:rPr>
        <w:t xml:space="preserve">Tarrytown, New York (April 30, 2009)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 financial and</w:t>
      </w:r>
      <w:r>
        <w:rPr>
          <w:rFonts w:ascii="Arial" w:cs="Arial" w:eastAsia="Arial" w:hAnsi="Arial"/>
          <w:sz w:val="22"/>
          <w:szCs w:val="22"/>
          <w:b w:val="1"/>
          <w:bCs w:val="1"/>
          <w:color w:val="auto"/>
        </w:rPr>
        <w:t xml:space="preserve"> </w:t>
      </w:r>
      <w:r>
        <w:rPr>
          <w:rFonts w:ascii="Arial" w:cs="Arial" w:eastAsia="Arial" w:hAnsi="Arial"/>
          <w:sz w:val="22"/>
          <w:szCs w:val="22"/>
          <w:color w:val="auto"/>
        </w:rPr>
        <w:t>operating results for the first quarter 2009. The Company reported a net loss of $17.5 million, or $0.22 per share (basic and diluted), for the first quarter of 2009 compared with a net loss of $11.6 million, or $0.15 per share (basic and diluted), for the first quarter of 2008.</w:t>
      </w:r>
    </w:p>
    <w:p>
      <w:pPr>
        <w:spacing w:after="0" w:line="187"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At March 31, 2009, cash, restricted cash, and marketable securities totaled $496.0 million compared with $527.5 million at December 31, 2008.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Business Highlights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ARCALYST</w:t>
      </w:r>
      <w:r>
        <w:rPr>
          <w:rFonts w:ascii="Arial" w:cs="Arial" w:eastAsia="Arial" w:hAnsi="Arial"/>
          <w:sz w:val="36"/>
          <w:szCs w:val="36"/>
          <w:u w:val="single" w:color="auto"/>
          <w:color w:val="auto"/>
          <w:vertAlign w:val="superscript"/>
        </w:rPr>
        <w:t>®</w:t>
      </w:r>
      <w:r>
        <w:rPr>
          <w:rFonts w:ascii="Arial" w:cs="Arial" w:eastAsia="Arial" w:hAnsi="Arial"/>
          <w:sz w:val="22"/>
          <w:szCs w:val="22"/>
          <w:u w:val="single" w:color="auto"/>
          <w:color w:val="auto"/>
        </w:rPr>
        <w:t xml:space="preserve"> (rilonacept) – Inflammatory Diseases</w:t>
      </w:r>
    </w:p>
    <w:p>
      <w:pPr>
        <w:ind w:right="20"/>
        <w:spacing w:after="0"/>
        <w:rPr>
          <w:sz w:val="20"/>
          <w:szCs w:val="20"/>
          <w:color w:val="auto"/>
        </w:rPr>
      </w:pPr>
      <w:r>
        <w:rPr>
          <w:rFonts w:ascii="Arial" w:cs="Arial" w:eastAsia="Arial" w:hAnsi="Arial"/>
          <w:sz w:val="20"/>
          <w:szCs w:val="20"/>
          <w:color w:val="auto"/>
        </w:rPr>
        <w:t>The Company shipped $4.3 million of ARCALYST</w:t>
      </w:r>
      <w:r>
        <w:rPr>
          <w:rFonts w:ascii="Arial" w:cs="Arial" w:eastAsia="Arial" w:hAnsi="Arial"/>
          <w:sz w:val="33"/>
          <w:szCs w:val="33"/>
          <w:color w:val="auto"/>
          <w:vertAlign w:val="superscript"/>
        </w:rPr>
        <w:t>®</w:t>
      </w:r>
      <w:r>
        <w:rPr>
          <w:rFonts w:ascii="Arial" w:cs="Arial" w:eastAsia="Arial" w:hAnsi="Arial"/>
          <w:sz w:val="20"/>
          <w:szCs w:val="20"/>
          <w:color w:val="auto"/>
        </w:rPr>
        <w:t xml:space="preserve"> (rilonacept) Injection for Subcutaneous Use to its U.S. distributors during the first quarter of 2009, compared to $0.8 million during the first quarter of 2008. Shipments of ARCALYST began in the United States in March 2008 following marketing approval of ARCALYST from the U.S. Food and Drug Administration (FDA) in February 2008 for the treatment of Cryopyrin-Associated Periodic Syndromes (CAPS), including Familial Cold Auto-inflammatory Syndrome (FCAS) and Muckle-Wells Syndrome (MWS) in adults and children 12 and older. ARCALYST, an interleukin-1 (IL-1) blocker, is the only therapy approved in the United States for patients with CAPS. The Company currently projects shipments of ARCALYST to its distributors to total approximately $15-20 million in 2009.</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During the first quarter of 2009, the Company initiated a Phase 3 clinical development program with ARCALYST for the treatment of gout. The program includes four clinical trials, three of which are currently enrolling patients: Two Phase 3 clinical trials (called PRE-SURGE 1 and PRE-SURGE 2) will evaluate ARCALYST versus placebo for the prevention of gout flares in patients initiating urate-lowering drug therapy. A third Phase 3 trial in acute gout (SURGE) will evaluate treatment with ARCALYST alone versus ARCALYST in combination with a non-steroidal anti-inflammatory drug (NSAID) versus an NSAID alone. The Phase 3 program also includes a separate placebo-controlled safety study (RE-SURGE). The Company expects to report initial data from the Phase 3 program in 2010. Regeneron owns worldwide rights to ARCALYST.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(VEGF Trap) – Oncology</w:t>
      </w:r>
    </w:p>
    <w:p>
      <w:pPr>
        <w:spacing w:after="0" w:line="8" w:lineRule="exact"/>
        <w:rPr>
          <w:sz w:val="20"/>
          <w:szCs w:val="20"/>
          <w:color w:val="auto"/>
        </w:rPr>
      </w:pPr>
    </w:p>
    <w:p>
      <w:pPr>
        <w:ind w:right="480"/>
        <w:spacing w:after="0" w:line="269" w:lineRule="auto"/>
        <w:rPr>
          <w:sz w:val="20"/>
          <w:szCs w:val="20"/>
          <w:color w:val="auto"/>
        </w:rPr>
      </w:pPr>
      <w:r>
        <w:rPr>
          <w:rFonts w:ascii="Arial" w:cs="Arial" w:eastAsia="Arial" w:hAnsi="Arial"/>
          <w:sz w:val="19"/>
          <w:szCs w:val="19"/>
          <w:color w:val="auto"/>
        </w:rPr>
        <w:t>At the end of the first quarter of 2009, approximately one-half of the planned number of patients were enrolled in four Phase 3 trials that are evaluating combinations of aflibercept, an investigational anti-angiogenesis agent, with standard chemotherapy</w:t>
      </w:r>
    </w:p>
    <w:p>
      <w:pPr>
        <w:spacing w:after="0" w:line="2" w:lineRule="exact"/>
        <w:rPr>
          <w:sz w:val="20"/>
          <w:szCs w:val="20"/>
          <w:color w:val="auto"/>
        </w:rPr>
      </w:pPr>
    </w:p>
    <w:p>
      <w:pPr>
        <w:ind w:right="440"/>
        <w:spacing w:after="0" w:line="225" w:lineRule="auto"/>
        <w:rPr>
          <w:sz w:val="20"/>
          <w:szCs w:val="20"/>
          <w:color w:val="auto"/>
        </w:rPr>
      </w:pPr>
      <w:r>
        <w:rPr>
          <w:rFonts w:ascii="Arial" w:cs="Arial" w:eastAsia="Arial" w:hAnsi="Arial"/>
          <w:sz w:val="19"/>
          <w:szCs w:val="19"/>
          <w:color w:val="auto"/>
        </w:rPr>
        <w:t>regimens for the treatment of cancer. One trial (called VELOUR) is evaluating aflibercept as a 2</w:t>
      </w:r>
      <w:r>
        <w:rPr>
          <w:rFonts w:ascii="Arial" w:cs="Arial" w:eastAsia="Arial" w:hAnsi="Arial"/>
          <w:sz w:val="31"/>
          <w:szCs w:val="31"/>
          <w:color w:val="auto"/>
          <w:vertAlign w:val="superscript"/>
        </w:rPr>
        <w:t>nd</w:t>
      </w:r>
      <w:r>
        <w:rPr>
          <w:rFonts w:ascii="Arial" w:cs="Arial" w:eastAsia="Arial" w:hAnsi="Arial"/>
          <w:sz w:val="19"/>
          <w:szCs w:val="19"/>
          <w:color w:val="auto"/>
        </w:rPr>
        <w:t xml:space="preserve"> line treatment for metastatic colorectal cancer in combination with FOLFIRI (folinic acid (leucovorin), 5-fluorouracil, and irinotecan). A second trial</w:t>
      </w:r>
    </w:p>
    <w:p>
      <w:pPr>
        <w:spacing w:after="0" w:line="1" w:lineRule="exact"/>
        <w:rPr>
          <w:sz w:val="20"/>
          <w:szCs w:val="20"/>
          <w:color w:val="auto"/>
        </w:rPr>
      </w:pPr>
    </w:p>
    <w:p>
      <w:pPr>
        <w:ind w:right="300"/>
        <w:spacing w:after="0" w:line="200" w:lineRule="auto"/>
        <w:rPr>
          <w:sz w:val="20"/>
          <w:szCs w:val="20"/>
          <w:color w:val="auto"/>
        </w:rPr>
      </w:pPr>
      <w:r>
        <w:rPr>
          <w:rFonts w:ascii="Arial" w:cs="Arial" w:eastAsia="Arial" w:hAnsi="Arial"/>
          <w:sz w:val="19"/>
          <w:szCs w:val="19"/>
          <w:color w:val="auto"/>
        </w:rPr>
        <w:t>(VANILLA) is evaluating aflibercept as a 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line treatment for metastatic pancreatic cancer in combination with gemcitabine. A third trial (VITAL) is evaluating aflibercept as a 2</w:t>
      </w:r>
      <w:r>
        <w:rPr>
          <w:rFonts w:ascii="Arial" w:cs="Arial" w:eastAsia="Arial" w:hAnsi="Arial"/>
          <w:sz w:val="31"/>
          <w:szCs w:val="31"/>
          <w:color w:val="auto"/>
          <w:vertAlign w:val="superscript"/>
        </w:rPr>
        <w:t>nd</w:t>
      </w:r>
      <w:r>
        <w:rPr>
          <w:rFonts w:ascii="Arial" w:cs="Arial" w:eastAsia="Arial" w:hAnsi="Arial"/>
          <w:sz w:val="19"/>
          <w:szCs w:val="19"/>
          <w:color w:val="auto"/>
        </w:rPr>
        <w:t xml:space="preserve"> line treatment for metastatic non-small cell lung cancer in combination with</w:t>
      </w:r>
    </w:p>
    <w:p>
      <w:pPr>
        <w:ind w:right="140"/>
        <w:spacing w:after="0" w:line="236" w:lineRule="auto"/>
        <w:rPr>
          <w:sz w:val="20"/>
          <w:szCs w:val="20"/>
          <w:color w:val="auto"/>
        </w:rPr>
      </w:pPr>
      <w:r>
        <w:rPr>
          <w:rFonts w:ascii="Arial" w:cs="Arial" w:eastAsia="Arial" w:hAnsi="Arial"/>
          <w:sz w:val="19"/>
          <w:szCs w:val="19"/>
          <w:color w:val="auto"/>
        </w:rPr>
        <w:t>docetaxel. The fourth trial (VENICE) is evaluating aflibercept as a 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line treatment for metastatic androgen-independent prostate cancer in combination with docetaxel/prednisone. All four trials are studying the current standard of chemotherapy care for the cancer being studied with and without aflibercept. Initial data from the Phase 3 program are expected in 2010. In addition, a Phase</w:t>
      </w:r>
    </w:p>
    <w:p>
      <w:pPr>
        <w:spacing w:after="0" w:line="3" w:lineRule="exact"/>
        <w:rPr>
          <w:sz w:val="20"/>
          <w:szCs w:val="20"/>
          <w:color w:val="auto"/>
        </w:rPr>
      </w:pPr>
    </w:p>
    <w:p>
      <w:pPr>
        <w:ind w:right="1000"/>
        <w:spacing w:after="0" w:line="197" w:lineRule="auto"/>
        <w:rPr>
          <w:sz w:val="20"/>
          <w:szCs w:val="20"/>
          <w:color w:val="auto"/>
        </w:rPr>
      </w:pPr>
      <w:r>
        <w:rPr>
          <w:rFonts w:ascii="Arial" w:cs="Arial" w:eastAsia="Arial" w:hAnsi="Arial"/>
          <w:sz w:val="22"/>
          <w:szCs w:val="22"/>
          <w:color w:val="auto"/>
        </w:rPr>
        <w:t>2 study (AFFIRM) of aflibercept in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line metastatic colorectal cancer in combination with folinic acid (leucovorin), 5-fluorouracil, and oxaliplatin began recruiting patients in January 2009.</w:t>
      </w:r>
    </w:p>
    <w:p>
      <w:pPr>
        <w:spacing w:after="0" w:line="18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 Phase 2 single-agent study of aflibercept in advanced ovarian cancer (AOC) patients with symptomatic malignant ascites (SMA) is now fully enrolled, and initial data from this trial are expected by mid-2009. Aflibercept is being developed worldwide by Regeneron and its collaborator, sanofi-aventis.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VEGF Trap-Eye – Ophthalmologic Diseases</w:t>
      </w:r>
    </w:p>
    <w:p>
      <w:pPr>
        <w:spacing w:after="0" w:line="8"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VEGF Trap-Eye is a specially purified and formulated form of VEGF Trap for use in intraocular applications that is being developed by Regeneron and its collaborator, Bayer HealthCare, for the treatment of the neovascular form of Age-related Macular Degeneration (wet AMD), Diabetic Macular Edema (DME), Central Retinal Vein Occlusion (CRVO), and other eye diseases and disorders.</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a separate news release today, Regeneron and Bayer HealthCare announced plans to initiate a Phase 3 program later this year of VEGF Trap-Eye in the treatment of CRVO. Dosing of the first patient in the Phase 3 program will entitle Regeneron to receive a $20.0 million milestone payment.</w:t>
      </w:r>
    </w:p>
    <w:p>
      <w:pPr>
        <w:spacing w:after="0" w:line="18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Phase 3 program (consisting of the VIEW 1 and VIEW 2 studies) that is evaluating VEGF Trap-Eye in patients with wet AMD continued to enroll patients during the first quarter of 2009. The companies expect to complete enrollment in both trials in 2009 and</w:t>
      </w:r>
    </w:p>
    <w:p>
      <w:pPr>
        <w:sectPr>
          <w:pgSz w:w="11900" w:h="16838" w:orient="portrait"/>
          <w:cols w:equalWidth="0" w:num="1">
            <w:col w:w="11420"/>
          </w:cols>
          <w:pgMar w:left="240" w:top="118" w:right="23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report initial data in late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Results of the extension stage of the Phase 2 study in wet AMD (the CLEAR-IT 2 study) will be presented on May 4 at the 2009 Association for Research in Vision and Ophthalmology (ARVO) meeting in Fort Lauderdale, Florida. In late 2008, the companies reported CLEAR-IT 2 study results, which demonstrated that patients treated with VEGF Trap-Eye achieved durable improvements in visual acuity and retinal thickness for up to one year.</w:t>
      </w:r>
    </w:p>
    <w:p>
      <w:pPr>
        <w:spacing w:after="0" w:line="185" w:lineRule="exact"/>
        <w:rPr>
          <w:sz w:val="20"/>
          <w:szCs w:val="20"/>
          <w:color w:val="auto"/>
        </w:rPr>
      </w:pPr>
    </w:p>
    <w:p>
      <w:pPr>
        <w:jc w:val="both"/>
        <w:ind w:right="220"/>
        <w:spacing w:after="0" w:line="236" w:lineRule="auto"/>
        <w:rPr>
          <w:sz w:val="20"/>
          <w:szCs w:val="20"/>
          <w:color w:val="auto"/>
        </w:rPr>
      </w:pPr>
      <w:r>
        <w:rPr>
          <w:rFonts w:ascii="Arial" w:cs="Arial" w:eastAsia="Arial" w:hAnsi="Arial"/>
          <w:sz w:val="22"/>
          <w:szCs w:val="22"/>
          <w:color w:val="auto"/>
        </w:rPr>
        <w:t>In the original Phase 2 study, 157 patients were initially treated for 3 months with VEGF Trap-Eye: two groups received monthly doses of 0.5 or 2.0 mg (at weeks 0, 4, 8, and 12) and three groups received quarterly doses of 0.5, 2.0, or 4.0 mg (at baseline and week 12). Following the initial 3-month fixed-dosing phase, patients continued to receive VEGF Trap-Eye at the same dose on a PRN dosing schedule through one year, based upon the physician assessment of the need for re-treatment in accordance with pre-specified criteria.</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data to be presented at ARVO will report on 117 patients who elected to enter the extension stage of the study after receiving VEGF Trap-Eye for one year. These patients were dosed on a 2.0 mg PRN basis. On a combined basis, for these 117 patients, the mean gain in visual acuity was 7.3 letters (</w:t>
      </w:r>
      <w:r>
        <w:rPr>
          <w:rFonts w:ascii="Arial" w:cs="Arial" w:eastAsia="Arial" w:hAnsi="Arial"/>
          <w:sz w:val="19"/>
          <w:szCs w:val="19"/>
          <w:i w:val="1"/>
          <w:iCs w:val="1"/>
          <w:color w:val="auto"/>
        </w:rPr>
        <w:t>p</w:t>
      </w:r>
      <w:r>
        <w:rPr>
          <w:rFonts w:ascii="Arial" w:cs="Arial" w:eastAsia="Arial" w:hAnsi="Arial"/>
          <w:sz w:val="19"/>
          <w:szCs w:val="19"/>
          <w:color w:val="auto"/>
        </w:rPr>
        <w:t>&lt;0.0001 versus baseline) at the 3-month primary endpoint of the original Phase 2 study, 8.4 letters (</w:t>
      </w:r>
      <w:r>
        <w:rPr>
          <w:rFonts w:ascii="Arial" w:cs="Arial" w:eastAsia="Arial" w:hAnsi="Arial"/>
          <w:sz w:val="19"/>
          <w:szCs w:val="19"/>
          <w:i w:val="1"/>
          <w:iCs w:val="1"/>
          <w:color w:val="auto"/>
        </w:rPr>
        <w:t>p</w:t>
      </w:r>
      <w:r>
        <w:rPr>
          <w:rFonts w:ascii="Arial" w:cs="Arial" w:eastAsia="Arial" w:hAnsi="Arial"/>
          <w:sz w:val="19"/>
          <w:szCs w:val="19"/>
          <w:color w:val="auto"/>
        </w:rPr>
        <w:t>&lt;0.0001 versus baseline) at one year, and 7.1 letters (</w:t>
      </w:r>
      <w:r>
        <w:rPr>
          <w:rFonts w:ascii="Arial" w:cs="Arial" w:eastAsia="Arial" w:hAnsi="Arial"/>
          <w:sz w:val="19"/>
          <w:szCs w:val="19"/>
          <w:i w:val="1"/>
          <w:iCs w:val="1"/>
          <w:color w:val="auto"/>
        </w:rPr>
        <w:t>p</w:t>
      </w:r>
      <w:r>
        <w:rPr>
          <w:rFonts w:ascii="Arial" w:cs="Arial" w:eastAsia="Arial" w:hAnsi="Arial"/>
          <w:sz w:val="19"/>
          <w:szCs w:val="19"/>
          <w:color w:val="auto"/>
        </w:rPr>
        <w:t>&lt;0.0001 versus baseline) at month 6 of the extension stage. Thus, after 18 months of dosing with VEGF Trap-Eye in the Phase 2 study, patients continued to maintain a highly significant improvement in visual acuity versus baseline, while receiving, on average, only 3.5 injections over the 15-month PRN dosing phase that extended from month 3 to month 18. Patients continue to be dosed in the extension stage of the Phase 2 study.</w:t>
      </w:r>
    </w:p>
    <w:p>
      <w:pPr>
        <w:spacing w:after="0" w:line="153"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Among all the patients in the Phase 2 wet AMD study, VEGF Trap-Eye was generally well tolerated and there were no drug-related serious adverse events. There was one reported case of culture-negative endophthalmitis/uveitis in the study eye and two arterial thrombotic events; these were deemed not to be drug-related. Three deaths were reported—one patient with pancreatic cancer, one patient with squamous cell carcinoma of the lung, and one patient with pulmonary hypertension (a pre-existing condition), The most common adverse events were those typically associated with intravitreal injections and included conjunctival hemorrhage at the injection site and transient increased intraocular pressure following an injection.</w:t>
      </w:r>
    </w:p>
    <w:p>
      <w:pPr>
        <w:spacing w:after="0" w:line="151" w:lineRule="exact"/>
        <w:rPr>
          <w:sz w:val="20"/>
          <w:szCs w:val="20"/>
          <w:color w:val="auto"/>
        </w:rPr>
      </w:pPr>
    </w:p>
    <w:p>
      <w:pPr>
        <w:jc w:val="both"/>
        <w:ind w:right="240"/>
        <w:spacing w:after="0" w:line="297" w:lineRule="auto"/>
        <w:rPr>
          <w:sz w:val="20"/>
          <w:szCs w:val="20"/>
          <w:color w:val="auto"/>
        </w:rPr>
      </w:pPr>
      <w:r>
        <w:rPr>
          <w:rFonts w:ascii="Arial" w:cs="Arial" w:eastAsia="Arial" w:hAnsi="Arial"/>
          <w:sz w:val="19"/>
          <w:szCs w:val="19"/>
          <w:color w:val="auto"/>
        </w:rPr>
        <w:t>In the Phase 2 DME study, additional clinical sites were opened during the first quarter of 2009. The study (called DA VINCI) is evaluating four different VEGF Trap-Eye regimens versus laser treatment. The study began in December 2008 and is expected to complete enrollment of approximately 200 patients in the U.S., Canada, European Union, and Australia by the end of 2009.</w:t>
      </w:r>
    </w:p>
    <w:p>
      <w:pPr>
        <w:spacing w:after="0" w:line="134"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Bayer HealthCare has rights to market VEGF Trap-Eye outside the United States, where the companies will share equally in profits from any future sales of VEGF Trap-Eye. Regeneron maintains exclusive rights to VEGF Trap-Eye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Monoclonal Antibodies</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Phase 1 clinical studies have begun with the first three human monoclonal antibodies generated by Regeneron using its</w:t>
      </w:r>
    </w:p>
    <w:p>
      <w:pPr>
        <w:spacing w:after="0" w:line="7" w:lineRule="exact"/>
        <w:rPr>
          <w:sz w:val="20"/>
          <w:szCs w:val="20"/>
          <w:color w:val="auto"/>
        </w:rPr>
      </w:pPr>
    </w:p>
    <w:p>
      <w:pPr>
        <w:ind w:right="360"/>
        <w:spacing w:after="0" w:line="228" w:lineRule="auto"/>
        <w:rPr>
          <w:sz w:val="20"/>
          <w:szCs w:val="20"/>
          <w:color w:val="auto"/>
        </w:rPr>
      </w:pPr>
      <w:r>
        <w:rPr>
          <w:rFonts w:ascii="Arial" w:cs="Arial" w:eastAsia="Arial" w:hAnsi="Arial"/>
          <w:sz w:val="21"/>
          <w:szCs w:val="21"/>
          <w:i w:val="1"/>
          <w:iCs w:val="1"/>
          <w:color w:val="auto"/>
        </w:rPr>
        <w:t>VelocImmune</w:t>
      </w:r>
      <w:r>
        <w:rPr>
          <w:rFonts w:ascii="Arial" w:cs="Arial" w:eastAsia="Arial" w:hAnsi="Arial"/>
          <w:sz w:val="35"/>
          <w:szCs w:val="35"/>
          <w:i w:val="1"/>
          <w:iCs w:val="1"/>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technology. REGN88 is an antibody to the interleukin-6 receptor (IL-6R) that is being evaluated in rheumatoid</w:t>
      </w:r>
      <w:r>
        <w:rPr>
          <w:rFonts w:ascii="Arial" w:cs="Arial" w:eastAsia="Arial" w:hAnsi="Arial"/>
          <w:sz w:val="21"/>
          <w:szCs w:val="21"/>
          <w:i w:val="1"/>
          <w:iCs w:val="1"/>
          <w:color w:val="auto"/>
        </w:rPr>
        <w:t xml:space="preserve"> </w:t>
      </w:r>
      <w:r>
        <w:rPr>
          <w:rFonts w:ascii="Arial" w:cs="Arial" w:eastAsia="Arial" w:hAnsi="Arial"/>
          <w:sz w:val="21"/>
          <w:szCs w:val="21"/>
          <w:color w:val="auto"/>
        </w:rPr>
        <w:t>arthritis. REGN475, an antibody to Nerve Growth Factor (NGF) that binds NGF selectively without cross-reacting with other members of the neurotrophin family, is being developed for the treatment of pain. In addition, a Phase 1 trial is in the process of being initiated to evaluate REGN421, an antibody to Delta-like ligand-4 (Dll4), in patients with advanced malignancies. These antibodies are being developed within the Company’s human antibody collaboration with sanofi-aventis. Over the course of the next several years, the Company and sanofi-aventis plan to advance an average of two to three new fully human monoclonal antibodies into clinical development each year.</w:t>
      </w:r>
    </w:p>
    <w:p>
      <w:pPr>
        <w:spacing w:after="0" w:line="190"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 xml:space="preserve">As part of its Academic </w:t>
      </w:r>
      <w:r>
        <w:rPr>
          <w:rFonts w:ascii="Arial" w:cs="Arial" w:eastAsia="Arial" w:hAnsi="Arial"/>
          <w:sz w:val="21"/>
          <w:szCs w:val="21"/>
          <w:i w:val="1"/>
          <w:iCs w:val="1"/>
          <w:color w:val="auto"/>
        </w:rPr>
        <w:t>VelocImmune</w:t>
      </w:r>
      <w:r>
        <w:rPr>
          <w:rFonts w:ascii="Arial" w:cs="Arial" w:eastAsia="Arial" w:hAnsi="Arial"/>
          <w:sz w:val="21"/>
          <w:szCs w:val="21"/>
          <w:color w:val="auto"/>
        </w:rPr>
        <w:t xml:space="preserve"> Investigators’ Program (Academic VIP), during the first quarter of 2009 Regeneron entered into an agreement with The University of Texas Southwestern Medical Center that will provide researchers at the Dallas-based medical center with access to Regeneron’s </w:t>
      </w:r>
      <w:r>
        <w:rPr>
          <w:rFonts w:ascii="Arial" w:cs="Arial" w:eastAsia="Arial" w:hAnsi="Arial"/>
          <w:sz w:val="21"/>
          <w:szCs w:val="21"/>
          <w:i w:val="1"/>
          <w:iCs w:val="1"/>
          <w:color w:val="auto"/>
        </w:rPr>
        <w:t>VelocImmune</w:t>
      </w:r>
      <w:r>
        <w:rPr>
          <w:rFonts w:ascii="Arial" w:cs="Arial" w:eastAsia="Arial" w:hAnsi="Arial"/>
          <w:sz w:val="21"/>
          <w:szCs w:val="21"/>
          <w:color w:val="auto"/>
        </w:rPr>
        <w:t xml:space="preserve"> technology to discover fully human monoclonal antibodies. Regeneron retains the right to develop and commercialize any antibodies discovered under the program.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Revenues</w:t>
      </w:r>
    </w:p>
    <w:p>
      <w:pPr>
        <w:spacing w:after="0" w:line="8" w:lineRule="exact"/>
        <w:rPr>
          <w:sz w:val="20"/>
          <w:szCs w:val="20"/>
          <w:color w:val="auto"/>
        </w:rPr>
      </w:pPr>
    </w:p>
    <w:p>
      <w:pPr>
        <w:ind w:right="220"/>
        <w:spacing w:after="0" w:line="234" w:lineRule="auto"/>
        <w:rPr>
          <w:sz w:val="20"/>
          <w:szCs w:val="20"/>
          <w:color w:val="auto"/>
        </w:rPr>
      </w:pPr>
      <w:r>
        <w:rPr>
          <w:rFonts w:ascii="Arial" w:cs="Arial" w:eastAsia="Arial" w:hAnsi="Arial"/>
          <w:sz w:val="22"/>
          <w:szCs w:val="22"/>
          <w:color w:val="auto"/>
        </w:rPr>
        <w:t>Total revenues increased to $75.0 million in the first quarter of 2009 from $56.4 million in the same period of 2008. The Company’s revenue was comprised of contract research and development revenue, technology licensing revenue, and net product sales.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Research and Development Revenue</w:t>
      </w:r>
    </w:p>
    <w:p>
      <w:pPr>
        <w:spacing w:after="0" w:line="8" w:lineRule="exact"/>
        <w:rPr>
          <w:sz w:val="20"/>
          <w:szCs w:val="20"/>
          <w:color w:val="auto"/>
        </w:rPr>
      </w:pPr>
    </w:p>
    <w:p>
      <w:pPr>
        <w:jc w:val="both"/>
        <w:ind w:right="40"/>
        <w:spacing w:after="0" w:line="234" w:lineRule="auto"/>
        <w:rPr>
          <w:sz w:val="20"/>
          <w:szCs w:val="20"/>
          <w:color w:val="auto"/>
        </w:rPr>
      </w:pPr>
      <w:r>
        <w:rPr>
          <w:rFonts w:ascii="Arial" w:cs="Arial" w:eastAsia="Arial" w:hAnsi="Arial"/>
          <w:sz w:val="22"/>
          <w:szCs w:val="22"/>
          <w:color w:val="auto"/>
        </w:rPr>
        <w:t>Contract research and development revenue relates primarily to the Company’s aflibercept and antibody collaborations with sanofi-aventis and the Company’s VEGF Trap-Eye collaboration with Bayer HealthCare. Contract research and development revenue for the three months ended March 31, 2009 and 2008 consisted of the following:</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Three months ended</w:t>
            </w:r>
          </w:p>
        </w:tc>
      </w:tr>
      <w:tr>
        <w:trPr>
          <w:trHeight w:val="23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8"/>
                <w:szCs w:val="18"/>
                <w:b w:val="1"/>
                <w:bCs w:val="1"/>
                <w:color w:val="auto"/>
                <w:w w:val="91"/>
              </w:rPr>
              <w:t>March 31,</w:t>
            </w: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r>
      <w:tr>
        <w:trPr>
          <w:trHeight w:val="237"/>
        </w:trPr>
        <w:tc>
          <w:tcPr>
            <w:tcW w:w="20" w:type="dxa"/>
            <w:vAlign w:val="bottom"/>
          </w:tcPr>
          <w:p>
            <w:pPr>
              <w:spacing w:after="0"/>
              <w:rPr>
                <w:sz w:val="20"/>
                <w:szCs w:val="20"/>
                <w:color w:val="auto"/>
              </w:rPr>
            </w:pPr>
          </w:p>
        </w:tc>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2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80"/>
        </w:trPr>
        <w:tc>
          <w:tcPr>
            <w:tcW w:w="20" w:type="dxa"/>
            <w:vAlign w:val="bottom"/>
          </w:tcPr>
          <w:p>
            <w:pPr>
              <w:spacing w:after="0"/>
              <w:rPr>
                <w:sz w:val="24"/>
                <w:szCs w:val="24"/>
                <w:color w:val="auto"/>
              </w:rPr>
            </w:pPr>
          </w:p>
        </w:tc>
        <w:tc>
          <w:tcPr>
            <w:tcW w:w="522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Sanofi-aventis</w:t>
            </w:r>
          </w:p>
        </w:tc>
        <w:tc>
          <w:tcPr>
            <w:tcW w:w="2380" w:type="dxa"/>
            <w:vAlign w:val="bottom"/>
            <w:tcBorders>
              <w:bottom w:val="single" w:sz="8" w:color="C0C0C0"/>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49.6</w:t>
            </w:r>
          </w:p>
        </w:tc>
        <w:tc>
          <w:tcPr>
            <w:tcW w:w="400" w:type="dxa"/>
            <w:vAlign w:val="bottom"/>
            <w:tcBorders>
              <w:bottom w:val="single" w:sz="8" w:color="C0C0C0"/>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35.7</w:t>
            </w:r>
          </w:p>
        </w:tc>
      </w:tr>
    </w:tbl>
    <w:p>
      <w:pPr>
        <w:sectPr>
          <w:pgSz w:w="11900" w:h="16900" w:orient="portrait"/>
          <w:cols w:equalWidth="0" w:num="1">
            <w:col w:w="11420"/>
          </w:cols>
          <w:pgMar w:left="240" w:top="118" w:right="239" w:bottom="0" w:gutter="0" w:footer="0" w:header="0"/>
        </w:sectPr>
      </w:pPr>
    </w:p>
    <w:bookmarkStart w:id="4" w:name="page5"/>
    <w:bookmarkEnd w:id="4"/>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243"/>
        </w:trPr>
        <w:tc>
          <w:tcPr>
            <w:tcW w:w="7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Bayer HealthCare</w:t>
            </w: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748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80" w:type="dxa"/>
            <w:vAlign w:val="bottom"/>
            <w:tcBorders>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contract research &amp; development revenue</w:t>
            </w:r>
          </w:p>
        </w:tc>
        <w:tc>
          <w:tcPr>
            <w:tcW w:w="220" w:type="dxa"/>
            <w:vAlign w:val="bottom"/>
            <w:tcBorders>
              <w:bottom w:val="single" w:sz="8" w:color="auto"/>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For the three months ended March 31, 2009 and 2008, contract research and development revenue from sanofi-aventis consisted of the following:</w:t>
      </w:r>
    </w:p>
    <w:p>
      <w:pPr>
        <w:sectPr>
          <w:pgSz w:w="11900" w:h="16955" w:orient="portrait"/>
          <w:cols w:equalWidth="0" w:num="1">
            <w:col w:w="11380"/>
          </w:cols>
          <w:pgMar w:left="240" w:top="140"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(In millions)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Regeneron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9755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Recognition of deferred revenue related to up-front payments</w:t>
      </w:r>
    </w:p>
    <w:p>
      <w:pPr>
        <w:spacing w:after="0" w:line="8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Total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975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Antibody:</w:t>
      </w:r>
    </w:p>
    <w:p>
      <w:pPr>
        <w:spacing w:after="0" w:line="3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Regeneron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975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Recognition of deferred revenue related to up-front payment</w:t>
      </w:r>
    </w:p>
    <w:p>
      <w:pPr>
        <w:spacing w:after="0" w:line="7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975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Total antibody</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sanofi-aventis contract research &amp; development revenue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098"/>
        <w:spacing w:after="0"/>
        <w:rPr>
          <w:sz w:val="20"/>
          <w:szCs w:val="20"/>
          <w:color w:val="auto"/>
        </w:rPr>
      </w:pPr>
      <w:r>
        <w:rPr>
          <w:rFonts w:ascii="Arial" w:cs="Arial" w:eastAsia="Arial" w:hAnsi="Arial"/>
          <w:sz w:val="16"/>
          <w:szCs w:val="16"/>
          <w:b w:val="1"/>
          <w:bCs w:val="1"/>
          <w:color w:val="auto"/>
        </w:rPr>
        <w:t>Three months ended</w:t>
      </w:r>
    </w:p>
    <w:p>
      <w:pPr>
        <w:spacing w:after="0" w:line="44" w:lineRule="exact"/>
        <w:rPr>
          <w:sz w:val="20"/>
          <w:szCs w:val="20"/>
          <w:color w:val="auto"/>
        </w:rPr>
      </w:pPr>
    </w:p>
    <w:p>
      <w:pPr>
        <w:jc w:val="center"/>
        <w:ind w:right="1098"/>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4" w:lineRule="exact"/>
        <w:rPr>
          <w:sz w:val="20"/>
          <w:szCs w:val="20"/>
          <w:color w:val="auto"/>
        </w:rPr>
      </w:pPr>
    </w:p>
    <w:p>
      <w:pPr>
        <w:ind w:left="162"/>
        <w:spacing w:after="0"/>
        <w:tabs>
          <w:tab w:leader="none" w:pos="1081"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52" w:lineRule="exact"/>
        <w:rPr>
          <w:sz w:val="20"/>
          <w:szCs w:val="20"/>
          <w:color w:val="auto"/>
        </w:rPr>
      </w:pPr>
    </w:p>
    <w:p>
      <w:pPr>
        <w:ind w:left="462" w:hanging="462"/>
        <w:spacing w:after="0"/>
        <w:tabs>
          <w:tab w:leader="none" w:pos="462" w:val="left"/>
        </w:tabs>
        <w:numPr>
          <w:ilvl w:val="0"/>
          <w:numId w:val="2"/>
        </w:numPr>
        <w:rPr>
          <w:rFonts w:ascii="Arial" w:cs="Arial" w:eastAsia="Arial" w:hAnsi="Arial"/>
          <w:sz w:val="18"/>
          <w:szCs w:val="18"/>
          <w:color w:val="auto"/>
        </w:rPr>
      </w:pPr>
      <w:r>
        <w:rPr>
          <w:rFonts w:ascii="Arial" w:cs="Arial" w:eastAsia="Arial" w:hAnsi="Arial"/>
          <w:sz w:val="18"/>
          <w:szCs w:val="18"/>
          <w:color w:val="auto"/>
        </w:rPr>
        <w:t>5.4   $   11.7</w:t>
      </w:r>
    </w:p>
    <w:p>
      <w:pPr>
        <w:spacing w:after="0" w:line="36" w:lineRule="exact"/>
        <w:rPr>
          <w:sz w:val="20"/>
          <w:szCs w:val="20"/>
          <w:color w:val="auto"/>
        </w:rPr>
      </w:pPr>
    </w:p>
    <w:tbl>
      <w:tblPr>
        <w:tblLayout w:type="fixed"/>
        <w:tblInd w:w="2" w:type="dxa"/>
        <w:tblCellMar>
          <w:top w:w="0" w:type="dxa"/>
          <w:left w:w="0" w:type="dxa"/>
          <w:bottom w:w="0" w:type="dxa"/>
          <w:right w:w="0" w:type="dxa"/>
        </w:tblCellMar>
      </w:tblPr>
      <w:tr>
        <w:trPr>
          <w:trHeight w:val="223"/>
        </w:trPr>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479"/>
        </w:trPr>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4"/>
        </w:trPr>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37"/>
        </w:trPr>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42"/>
        </w:trPr>
        <w:tc>
          <w:tcPr>
            <w:tcW w:w="22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ectPr>
          <w:pgSz w:w="11900" w:h="16955" w:orient="portrait"/>
          <w:cols w:equalWidth="0" w:num="2">
            <w:col w:w="7938" w:space="720"/>
            <w:col w:w="2722"/>
          </w:cols>
          <w:pgMar w:left="240" w:top="140" w:right="279" w:bottom="0" w:gutter="0" w:footer="0" w:header="0"/>
          <w:type w:val="continuous"/>
        </w:sectPr>
      </w:pPr>
    </w:p>
    <w:p>
      <w:pPr>
        <w:spacing w:after="0" w:line="238"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Sanofi-aventis’ reimbursement of Regeneron’s aflibercept expenses decreased in the first quarter of 2009, compared to the same period in 2008, primarily due to lower costs associated with manufacturing clinical drug supplies.</w:t>
      </w:r>
    </w:p>
    <w:p>
      <w:pPr>
        <w:spacing w:after="0" w:line="151"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Sanofi-aventis’ reimbursement of Regeneron’s expenses under the antibody collaboration increased in the first quarter of 2009, compared to the same period in 2008, due to an increase in research activities conducted under the collaboration’s discovery agreement and increases in development activities for REGN88, REGN421, and REGN475 under the collaboration’s license agreement.</w:t>
      </w:r>
    </w:p>
    <w:p>
      <w:pPr>
        <w:spacing w:after="0" w:line="185"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For the three months ended March 31, 2009 and 2008, contract research and development revenue from Bayer HealthCare consisted of the following:</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March 31,</w:t>
            </w:r>
          </w:p>
        </w:tc>
      </w:tr>
      <w:tr>
        <w:trPr>
          <w:trHeight w:val="224"/>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r>
      <w:tr>
        <w:trPr>
          <w:trHeight w:val="210"/>
        </w:trPr>
        <w:tc>
          <w:tcPr>
            <w:tcW w:w="20" w:type="dxa"/>
            <w:vAlign w:val="bottom"/>
          </w:tcPr>
          <w:p>
            <w:pPr>
              <w:spacing w:after="0"/>
              <w:rPr>
                <w:sz w:val="18"/>
                <w:szCs w:val="18"/>
                <w:color w:val="auto"/>
              </w:rPr>
            </w:pPr>
          </w:p>
        </w:tc>
        <w:tc>
          <w:tcPr>
            <w:tcW w:w="646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120" w:type="dxa"/>
            <w:vAlign w:val="bottom"/>
            <w:shd w:val="clear" w:color="auto" w:fill="C0C0C0"/>
          </w:tcPr>
          <w:p>
            <w:pPr>
              <w:spacing w:after="0"/>
              <w:rPr>
                <w:sz w:val="18"/>
                <w:szCs w:val="18"/>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1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20" w:type="dxa"/>
            <w:vAlign w:val="bottom"/>
          </w:tcPr>
          <w:p>
            <w:pPr>
              <w:spacing w:after="0"/>
              <w:rPr>
                <w:sz w:val="20"/>
                <w:szCs w:val="20"/>
                <w:color w:val="auto"/>
              </w:rPr>
            </w:pPr>
          </w:p>
        </w:tc>
        <w:tc>
          <w:tcPr>
            <w:tcW w:w="64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Total Bayer HealthCare contract research &amp; development revenue</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41"/>
        </w:trPr>
        <w:tc>
          <w:tcPr>
            <w:tcW w:w="20" w:type="dxa"/>
            <w:vAlign w:val="bottom"/>
          </w:tcPr>
          <w:p>
            <w:pPr>
              <w:spacing w:after="0"/>
              <w:rPr>
                <w:sz w:val="3"/>
                <w:szCs w:val="3"/>
                <w:color w:val="auto"/>
              </w:rPr>
            </w:pPr>
          </w:p>
        </w:tc>
        <w:tc>
          <w:tcPr>
            <w:tcW w:w="6460" w:type="dxa"/>
            <w:vAlign w:val="bottom"/>
            <w:shd w:val="clear" w:color="auto" w:fill="C0C0C0"/>
          </w:tcPr>
          <w:p>
            <w:pPr>
              <w:spacing w:after="0"/>
              <w:rPr>
                <w:sz w:val="3"/>
                <w:szCs w:val="3"/>
                <w:color w:val="auto"/>
              </w:rPr>
            </w:pPr>
          </w:p>
        </w:tc>
        <w:tc>
          <w:tcPr>
            <w:tcW w:w="11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3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periods when the Company recognizes VEGF Trap-Eye development expenses that the Company incurs under the collaboration with Bayer HealthCare, the Company also recognizes, as contract research and development revenue, the portion of those VEGF Trap-Eye development expenses that is reimbursable by Bayer HealthCare. The Company incurred higher VEGF Trap-Eye development expenses under the collaboration for the three months ended March 31, 2009, compared to the same period in 2008, primarily in connection with the collaboration’s clinical development programs in wet AMD and DME.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Technology Licensing Revenue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Regeneron has entered into non-exclusive license agreements with AstraZeneca and Astellas that allow those companies to utilize</w:t>
      </w:r>
    </w:p>
    <w:p>
      <w:pPr>
        <w:spacing w:after="0" w:line="30" w:lineRule="exact"/>
        <w:rPr>
          <w:sz w:val="20"/>
          <w:szCs w:val="20"/>
          <w:color w:val="auto"/>
        </w:rPr>
      </w:pPr>
    </w:p>
    <w:p>
      <w:pPr>
        <w:spacing w:after="0" w:line="217" w:lineRule="auto"/>
        <w:rPr>
          <w:sz w:val="20"/>
          <w:szCs w:val="20"/>
          <w:color w:val="auto"/>
        </w:rPr>
      </w:pPr>
      <w:r>
        <w:rPr>
          <w:rFonts w:ascii="Arial" w:cs="Arial" w:eastAsia="Arial" w:hAnsi="Arial"/>
          <w:sz w:val="22"/>
          <w:szCs w:val="22"/>
          <w:i w:val="1"/>
          <w:iCs w:val="1"/>
          <w:color w:val="auto"/>
        </w:rPr>
        <w:t>VelocImmune</w:t>
      </w:r>
      <w:r>
        <w:rPr>
          <w:rFonts w:ascii="Arial" w:cs="Arial" w:eastAsia="Arial" w:hAnsi="Arial"/>
          <w:sz w:val="36"/>
          <w:szCs w:val="36"/>
          <w:i w:val="1"/>
          <w:iCs w:val="1"/>
          <w:color w:val="auto"/>
          <w:vertAlign w:val="superscript"/>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technology in their internal research programs to discover human monoclonal antibodies. Each company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make six $20.0 million annual, non-refundable payments, subject to the ability to terminate their agreements after making a total of four such payments. To date, the Company has received $60.0 million in payments from AstraZeneca and $40.0 million in payments from Astellas under these agreements. Upon receipt, these payments are deferred and recognized as revenue ratably over the ensuing year of each agreement. Regeneron will also receive a mid-single-digit royalty on sales of any antibodies discovered utilizing </w:t>
      </w:r>
      <w:r>
        <w:rPr>
          <w:rFonts w:ascii="Arial" w:cs="Arial" w:eastAsia="Arial" w:hAnsi="Arial"/>
          <w:sz w:val="22"/>
          <w:szCs w:val="22"/>
          <w:i w:val="1"/>
          <w:iCs w:val="1"/>
          <w:color w:val="auto"/>
        </w:rPr>
        <w:t>VelocImmune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Product Sales</w:t>
      </w:r>
    </w:p>
    <w:p>
      <w:pPr>
        <w:spacing w:after="0" w:line="8" w:lineRule="exact"/>
        <w:rPr>
          <w:sz w:val="20"/>
          <w:szCs w:val="20"/>
          <w:color w:val="auto"/>
        </w:rPr>
      </w:pPr>
    </w:p>
    <w:p>
      <w:pPr>
        <w:ind w:right="440"/>
        <w:spacing w:after="0" w:line="269" w:lineRule="auto"/>
        <w:rPr>
          <w:sz w:val="20"/>
          <w:szCs w:val="20"/>
          <w:color w:val="auto"/>
        </w:rPr>
      </w:pPr>
      <w:r>
        <w:rPr>
          <w:rFonts w:ascii="Arial" w:cs="Arial" w:eastAsia="Arial" w:hAnsi="Arial"/>
          <w:sz w:val="19"/>
          <w:szCs w:val="19"/>
          <w:color w:val="auto"/>
        </w:rPr>
        <w:t>Revenue and deferred revenue from product sales are recorded net of applicable provisions for prompt pay discounts, product returns, estimated rebates payable under governmental programs (including Medicaid), distributor fees, and other sales-related</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costs. For the three months ended March 31, 2009, the Company recognized as revenue $3.9 million of ARCALYST</w:t>
      </w:r>
      <w:r>
        <w:rPr>
          <w:rFonts w:ascii="Arial" w:cs="Arial" w:eastAsia="Arial" w:hAnsi="Arial"/>
          <w:sz w:val="33"/>
          <w:szCs w:val="33"/>
          <w:color w:val="auto"/>
          <w:vertAlign w:val="superscript"/>
        </w:rPr>
        <w:t>®</w:t>
      </w:r>
      <w:r>
        <w:rPr>
          <w:rFonts w:ascii="Arial" w:cs="Arial" w:eastAsia="Arial" w:hAnsi="Arial"/>
          <w:sz w:val="20"/>
          <w:szCs w:val="20"/>
          <w:color w:val="auto"/>
        </w:rPr>
        <w:t xml:space="preserve"> (rilonacept) net product sales for which the right of return no longer exists and rebates can be reasonably estimated. At March 31, 2009 and 2008, deferred revenue related to ARCALYST net product sales totaled $4.2 million and $0.8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Expenses</w:t>
      </w:r>
    </w:p>
    <w:p>
      <w:pPr>
        <w:spacing w:after="0" w:line="8"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color w:val="auto"/>
        </w:rPr>
        <w:t>Total operating expenses for the first quarter of 2009 were $94.2 million, 30 percent higher than the same period in 2008. Average headcount increased to 938 for the first quarter of 2009 compared to 714 for the same period in 2008, due primarily to the</w:t>
      </w:r>
    </w:p>
    <w:p>
      <w:pPr>
        <w:sectPr>
          <w:pgSz w:w="11900" w:h="16955" w:orient="portrait"/>
          <w:cols w:equalWidth="0" w:num="1">
            <w:col w:w="11380"/>
          </w:cols>
          <w:pgMar w:left="240" w:top="140" w:right="279" w:bottom="0" w:gutter="0" w:footer="0" w:header="0"/>
          <w:type w:val="continuous"/>
        </w:sectPr>
      </w:pPr>
    </w:p>
    <w:bookmarkStart w:id="5" w:name="page6"/>
    <w:bookmarkEnd w:id="5"/>
    <w:p>
      <w:pPr>
        <w:jc w:val="both"/>
        <w:ind w:right="40"/>
        <w:spacing w:after="0" w:line="241" w:lineRule="auto"/>
        <w:rPr>
          <w:sz w:val="20"/>
          <w:szCs w:val="20"/>
          <w:color w:val="auto"/>
        </w:rPr>
      </w:pPr>
      <w:r>
        <w:rPr>
          <w:rFonts w:ascii="Arial" w:cs="Arial" w:eastAsia="Arial" w:hAnsi="Arial"/>
          <w:sz w:val="22"/>
          <w:szCs w:val="22"/>
          <w:color w:val="auto"/>
        </w:rPr>
        <w:t>Company’s expanding research and development activities principally in connection with the sanofi-aventis antibody collaboration. Operating expenses included non-cash compensation expense related to employee stock option and restricted stock awards of $7.7 million and $8.3 million, in the first quarters of 2009 and 2008, respectively.</w:t>
      </w:r>
    </w:p>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Research and development (R&amp;D) expenses increased to $82.1 million in the first quarter of 2009 from $61.3 million in the comparable quarter of 2008. In the first quarter of 2009, the Company incurred higher R&amp;D costs primarily related to additional R&amp;D headcount, clinical development costs for ARCALYST, VEGF Trap-Eye, and REGN88, research and preclinical development costs associated with the antibody programs, and facility-related costs to support expanded R&amp;D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Selling, general, and administrative (SG&amp;A) expenses increased to $11.7 million in the first quarter of 2009 from $11.0 million in</w:t>
      </w:r>
    </w:p>
    <w:p>
      <w:pPr>
        <w:spacing w:after="0" w:line="48" w:lineRule="exact"/>
        <w:rPr>
          <w:sz w:val="20"/>
          <w:szCs w:val="20"/>
          <w:color w:val="auto"/>
        </w:rPr>
      </w:pPr>
    </w:p>
    <w:p>
      <w:pPr>
        <w:jc w:val="both"/>
        <w:ind w:right="20"/>
        <w:spacing w:after="0" w:line="206" w:lineRule="auto"/>
        <w:rPr>
          <w:sz w:val="20"/>
          <w:szCs w:val="20"/>
          <w:color w:val="auto"/>
        </w:rPr>
      </w:pPr>
      <w:r>
        <w:rPr>
          <w:rFonts w:ascii="Arial" w:cs="Arial" w:eastAsia="Arial" w:hAnsi="Arial"/>
          <w:sz w:val="22"/>
          <w:szCs w:val="22"/>
          <w:color w:val="auto"/>
        </w:rPr>
        <w:t>the comparable quarter of 2008. In the first quarter of 2009, the Company incurred higher selling expenses related to ARCALYST</w:t>
      </w:r>
      <w:r>
        <w:rPr>
          <w:rFonts w:ascii="Arial" w:cs="Arial" w:eastAsia="Arial" w:hAnsi="Arial"/>
          <w:sz w:val="36"/>
          <w:szCs w:val="36"/>
          <w:color w:val="auto"/>
          <w:vertAlign w:val="superscript"/>
        </w:rPr>
        <w:t>®</w:t>
      </w:r>
      <w:r>
        <w:rPr>
          <w:rFonts w:ascii="Arial" w:cs="Arial" w:eastAsia="Arial" w:hAnsi="Arial"/>
          <w:sz w:val="22"/>
          <w:szCs w:val="22"/>
          <w:color w:val="auto"/>
        </w:rPr>
        <w:t xml:space="preserve"> (rilonacept), higher compensation expense associated with expanding the Company’s SG&amp;A headcount, and higher SG&amp;A facility-related costs.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Income and Expense</w:t>
      </w:r>
    </w:p>
    <w:p>
      <w:pPr>
        <w:spacing w:after="0" w:line="8"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Investment income decreased to $1.8 million in the first quarter of 2009 from $7.3 million in the comparable quarter of 2008. The decrease in investment income was due to lower yields on, and lower balances of, cash and marketable securities in the first quarter of 2009 compared to the same quarter in 2008. Interest expense in the first quarter of 2008 was attributable to the Company’s 5.5% Convertible Senior Subordinated Notes; no Notes were outstanding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Regeneron does not undertake any obligation to update publicly any forward-looking statement, whether as a result of new information, future events, or otherwise unless required by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 Information:</w:t>
      </w:r>
    </w:p>
    <w:p>
      <w:pPr>
        <w:sectPr>
          <w:pgSz w:w="11900" w:h="16838" w:orient="portrait"/>
          <w:cols w:equalWidth="0" w:num="1">
            <w:col w:w="11420"/>
          </w:cols>
          <w:pgMar w:left="240" w:top="118" w:right="239" w:bottom="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Peter Dworkin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4640"/>
        <w:spacing w:after="0"/>
        <w:rPr>
          <w:sz w:val="20"/>
          <w:szCs w:val="20"/>
          <w:color w:val="auto"/>
        </w:rPr>
      </w:pPr>
      <w:r>
        <w:rPr>
          <w:rFonts w:ascii="Arial" w:cs="Arial" w:eastAsia="Arial" w:hAnsi="Arial"/>
          <w:sz w:val="16"/>
          <w:szCs w:val="16"/>
          <w:color w:val="auto"/>
        </w:rPr>
        <w:t>Laura Lindsay</w:t>
      </w:r>
    </w:p>
    <w:p>
      <w:pPr>
        <w:spacing w:after="0" w:line="59" w:lineRule="exact"/>
        <w:rPr>
          <w:sz w:val="20"/>
          <w:szCs w:val="20"/>
          <w:color w:val="auto"/>
        </w:rPr>
      </w:pPr>
    </w:p>
    <w:p>
      <w:pPr>
        <w:sectPr>
          <w:pgSz w:w="11900" w:h="16838" w:orient="portrait"/>
          <w:cols w:equalWidth="0" w:num="2">
            <w:col w:w="5040" w:space="720"/>
            <w:col w:w="5660"/>
          </w:cols>
          <w:pgMar w:left="240" w:top="118" w:right="239" w:bottom="0" w:gutter="0" w:footer="0" w:header="0"/>
          <w:type w:val="continuous"/>
        </w:sectPr>
      </w:pPr>
    </w:p>
    <w:p>
      <w:pPr>
        <w:spacing w:after="0"/>
        <w:rPr>
          <w:sz w:val="20"/>
          <w:szCs w:val="20"/>
          <w:color w:val="auto"/>
        </w:rPr>
      </w:pPr>
      <w:r>
        <w:rPr>
          <w:rFonts w:ascii="Arial" w:cs="Arial" w:eastAsia="Arial" w:hAnsi="Arial"/>
          <w:sz w:val="16"/>
          <w:szCs w:val="16"/>
          <w:color w:val="auto"/>
        </w:rPr>
        <w:t>Investor Relations</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6"/>
          <w:szCs w:val="16"/>
          <w:color w:val="auto"/>
        </w:rPr>
        <w:t>Media Relations</w:t>
      </w:r>
    </w:p>
    <w:p>
      <w:pPr>
        <w:spacing w:after="0" w:line="59" w:lineRule="exact"/>
        <w:rPr>
          <w:sz w:val="20"/>
          <w:szCs w:val="20"/>
          <w:color w:val="auto"/>
        </w:rPr>
      </w:pPr>
    </w:p>
    <w:p>
      <w:pPr>
        <w:sectPr>
          <w:pgSz w:w="11900" w:h="16838" w:orient="portrait"/>
          <w:cols w:equalWidth="0" w:num="2">
            <w:col w:w="5040" w:space="720"/>
            <w:col w:w="5660"/>
          </w:cols>
          <w:pgMar w:left="240" w:top="118" w:right="239" w:bottom="0" w:gutter="0" w:footer="0" w:header="0"/>
          <w:type w:val="continuous"/>
        </w:sectPr>
      </w:pPr>
    </w:p>
    <w:p>
      <w:pPr>
        <w:spacing w:after="0"/>
        <w:rPr>
          <w:sz w:val="20"/>
          <w:szCs w:val="20"/>
          <w:color w:val="auto"/>
        </w:rPr>
      </w:pPr>
      <w:r>
        <w:rPr>
          <w:rFonts w:ascii="Arial" w:cs="Arial" w:eastAsia="Arial" w:hAnsi="Arial"/>
          <w:sz w:val="16"/>
          <w:szCs w:val="16"/>
          <w:color w:val="auto"/>
        </w:rPr>
        <w:t>914.345.7640</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5"/>
          <w:szCs w:val="15"/>
          <w:color w:val="auto"/>
        </w:rPr>
        <w:t>914.345.7800</w:t>
      </w:r>
    </w:p>
    <w:p>
      <w:pPr>
        <w:spacing w:after="0" w:line="70" w:lineRule="exact"/>
        <w:rPr>
          <w:sz w:val="20"/>
          <w:szCs w:val="20"/>
          <w:color w:val="auto"/>
        </w:rPr>
      </w:pPr>
    </w:p>
    <w:p>
      <w:pPr>
        <w:sectPr>
          <w:pgSz w:w="11900" w:h="16838" w:orient="portrait"/>
          <w:cols w:equalWidth="0" w:num="2">
            <w:col w:w="5040" w:space="720"/>
            <w:col w:w="5660"/>
          </w:cols>
          <w:pgMar w:left="240" w:top="118" w:right="239" w:bottom="0" w:gutter="0" w:footer="0" w:header="0"/>
          <w:type w:val="continuous"/>
        </w:sectPr>
      </w:pPr>
    </w:p>
    <w:p>
      <w:pPr>
        <w:spacing w:after="0"/>
        <w:rPr>
          <w:sz w:val="20"/>
          <w:szCs w:val="20"/>
          <w:color w:val="auto"/>
        </w:rPr>
      </w:pPr>
      <w:r>
        <w:rPr>
          <w:rFonts w:ascii="Arial" w:cs="Arial" w:eastAsia="Arial" w:hAnsi="Arial"/>
          <w:sz w:val="15"/>
          <w:szCs w:val="15"/>
          <w:color w:val="auto"/>
        </w:rPr>
        <w:t>peter.dworkin@regeneron.com</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5"/>
          <w:szCs w:val="15"/>
          <w:color w:val="auto"/>
        </w:rPr>
        <w:t>laura.lindsay@regeneron.com</w:t>
      </w:r>
    </w:p>
    <w:p>
      <w:pPr>
        <w:spacing w:after="0" w:line="200" w:lineRule="exact"/>
        <w:rPr>
          <w:sz w:val="20"/>
          <w:szCs w:val="20"/>
          <w:color w:val="auto"/>
        </w:rPr>
      </w:pPr>
    </w:p>
    <w:p>
      <w:pPr>
        <w:sectPr>
          <w:pgSz w:w="11900" w:h="16838" w:orient="portrait"/>
          <w:cols w:equalWidth="0" w:num="2">
            <w:col w:w="5040" w:space="720"/>
            <w:col w:w="5660"/>
          </w:cols>
          <w:pgMar w:left="240" w:top="118" w:right="239" w:bottom="0" w:gutter="0" w:footer="0" w:header="0"/>
          <w:type w:val="continuous"/>
        </w:sectPr>
      </w:pPr>
    </w:p>
    <w:p>
      <w:pPr>
        <w:spacing w:after="0" w:line="11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Olga Fleming</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Media Relations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212.845.5636</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ofleming@biosector2.com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REGENERON PHARMACEUTICALS, INC.</w:t>
      </w:r>
    </w:p>
    <w:p>
      <w:pPr>
        <w:spacing w:after="0" w:line="13"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CONDENSED BALANCE SHEETS (Unaudited)</w:t>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800" w:type="dxa"/>
            <w:vAlign w:val="bottom"/>
            <w:gridSpan w:val="2"/>
          </w:tcPr>
          <w:p>
            <w:pPr>
              <w:jc w:val="right"/>
              <w:ind w:right="2940"/>
              <w:spacing w:after="0"/>
              <w:rPr>
                <w:sz w:val="20"/>
                <w:szCs w:val="20"/>
                <w:color w:val="auto"/>
              </w:rPr>
            </w:pPr>
            <w:r>
              <w:rPr>
                <w:rFonts w:ascii="Arial" w:cs="Arial" w:eastAsia="Arial" w:hAnsi="Arial"/>
                <w:sz w:val="18"/>
                <w:szCs w:val="18"/>
                <w:b w:val="1"/>
                <w:bCs w:val="1"/>
                <w:i w:val="1"/>
                <w:iCs w:val="1"/>
                <w:color w:val="auto"/>
              </w:rPr>
              <w:t>(In thousands)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March 31,</w:t>
            </w:r>
          </w:p>
        </w:tc>
        <w:tc>
          <w:tcPr>
            <w:tcW w:w="28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47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80" w:type="dxa"/>
            <w:vAlign w:val="bottom"/>
            <w:gridSpan w:val="2"/>
          </w:tcPr>
          <w:p>
            <w:pPr>
              <w:spacing w:after="0"/>
              <w:rPr>
                <w:sz w:val="20"/>
                <w:szCs w:val="20"/>
                <w:color w:val="auto"/>
              </w:rPr>
            </w:pPr>
            <w:r>
              <w:rPr>
                <w:rFonts w:ascii="Arial" w:cs="Arial" w:eastAsia="Arial" w:hAnsi="Arial"/>
                <w:sz w:val="18"/>
                <w:szCs w:val="18"/>
                <w:color w:val="auto"/>
              </w:rPr>
              <w:t>Cash, restricted cash, and marketable securities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495,992</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527,461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4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48,209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assets</w:t>
            </w:r>
          </w:p>
        </w:tc>
        <w:tc>
          <w:tcPr>
            <w:tcW w:w="47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27,380</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8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0C0C0"/>
          </w:tcPr>
          <w:p>
            <w:pPr>
              <w:ind w:left="240"/>
              <w:spacing w:after="0"/>
              <w:rPr>
                <w:sz w:val="20"/>
                <w:szCs w:val="20"/>
                <w:color w:val="auto"/>
              </w:rPr>
            </w:pPr>
            <w:r>
              <w:rPr>
                <w:rFonts w:ascii="Arial" w:cs="Arial" w:eastAsia="Arial" w:hAnsi="Arial"/>
                <w:sz w:val="18"/>
                <w:szCs w:val="18"/>
                <w:color w:val="auto"/>
              </w:rPr>
              <w:t>Total assets</w:t>
            </w:r>
          </w:p>
        </w:tc>
        <w:tc>
          <w:tcPr>
            <w:tcW w:w="4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681,421</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670,038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Borders>
              <w:top w:val="single" w:sz="8" w:color="C0C0C0"/>
            </w:tcBorders>
          </w:tcPr>
          <w:p>
            <w:pPr>
              <w:spacing w:after="0"/>
              <w:rPr>
                <w:sz w:val="21"/>
                <w:szCs w:val="21"/>
                <w:color w:val="auto"/>
              </w:rPr>
            </w:pPr>
          </w:p>
        </w:tc>
        <w:tc>
          <w:tcPr>
            <w:tcW w:w="470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47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44,832</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47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213,119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9"/>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410,320</w:t>
            </w:r>
          </w:p>
        </w:tc>
        <w:tc>
          <w:tcPr>
            <w:tcW w:w="28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418,852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681,421</w:t>
            </w:r>
          </w:p>
        </w:tc>
        <w:tc>
          <w:tcPr>
            <w:tcW w:w="5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670,038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080" w:type="dxa"/>
            <w:vAlign w:val="bottom"/>
            <w:shd w:val="clear" w:color="auto" w:fill="C0C0C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REGENERON PHARMACEUTICALS,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STATEMENTS OF OPERATIONS (Unaudited)</w:t>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180" w:type="dxa"/>
            <w:vAlign w:val="bottom"/>
            <w:gridSpan w:val="2"/>
          </w:tcPr>
          <w:p>
            <w:pPr>
              <w:jc w:val="right"/>
              <w:ind w:right="2240"/>
              <w:spacing w:after="0"/>
              <w:rPr>
                <w:sz w:val="20"/>
                <w:szCs w:val="20"/>
                <w:color w:val="auto"/>
              </w:rPr>
            </w:pPr>
            <w:r>
              <w:rPr>
                <w:rFonts w:ascii="Arial" w:cs="Arial" w:eastAsia="Arial" w:hAnsi="Arial"/>
                <w:sz w:val="18"/>
                <w:szCs w:val="18"/>
                <w:b w:val="1"/>
                <w:bCs w:val="1"/>
                <w:i w:val="1"/>
                <w:iCs w:val="1"/>
                <w:color w:val="auto"/>
                <w:w w:val="91"/>
              </w:rPr>
              <w:t>(In thousands, except per share data)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w w:val="95"/>
              </w:rPr>
              <w:t>For the three months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452"/>
              <w:spacing w:after="0"/>
              <w:rPr>
                <w:sz w:val="20"/>
                <w:szCs w:val="20"/>
                <w:color w:val="auto"/>
              </w:rPr>
            </w:pPr>
            <w:r>
              <w:rPr>
                <w:rFonts w:ascii="Arial" w:cs="Arial" w:eastAsia="Arial" w:hAnsi="Arial"/>
                <w:sz w:val="18"/>
                <w:szCs w:val="18"/>
                <w:b w:val="1"/>
                <w:bCs w:val="1"/>
                <w:color w:val="auto"/>
              </w:rPr>
              <w:t>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Borders>
              <w:bottom w:val="single" w:sz="8" w:color="C0C0C0"/>
            </w:tcBorders>
          </w:tcPr>
          <w:p>
            <w:pPr>
              <w:spacing w:after="0"/>
              <w:rPr>
                <w:sz w:val="21"/>
                <w:szCs w:val="21"/>
                <w:color w:val="auto"/>
              </w:rPr>
            </w:pPr>
          </w:p>
        </w:tc>
        <w:tc>
          <w:tcPr>
            <w:tcW w:w="49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0C0C0"/>
          </w:tcPr>
          <w:p>
            <w:pPr>
              <w:spacing w:after="0" w:line="198" w:lineRule="exact"/>
              <w:rPr>
                <w:sz w:val="20"/>
                <w:szCs w:val="20"/>
                <w:color w:val="auto"/>
              </w:rPr>
            </w:pPr>
            <w:r>
              <w:rPr>
                <w:rFonts w:ascii="Arial" w:cs="Arial" w:eastAsia="Arial" w:hAnsi="Arial"/>
                <w:sz w:val="18"/>
                <w:szCs w:val="18"/>
                <w:color w:val="auto"/>
              </w:rPr>
              <w:t>Revenues</w:t>
            </w:r>
          </w:p>
        </w:tc>
        <w:tc>
          <w:tcPr>
            <w:tcW w:w="49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Contract research and development</w:t>
            </w:r>
          </w:p>
        </w:tc>
        <w:tc>
          <w:tcPr>
            <w:tcW w:w="5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61,090</w:t>
            </w:r>
          </w:p>
        </w:tc>
        <w:tc>
          <w:tcPr>
            <w:tcW w:w="28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Technology licensing</w:t>
            </w:r>
          </w:p>
        </w:tc>
        <w:tc>
          <w:tcPr>
            <w:tcW w:w="49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Net product sales</w:t>
            </w:r>
          </w:p>
        </w:tc>
        <w:tc>
          <w:tcPr>
            <w:tcW w:w="49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3,891</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0C0C0"/>
          </w:tcPr>
          <w:p>
            <w:pPr>
              <w:spacing w:after="0"/>
              <w:rPr>
                <w:sz w:val="18"/>
                <w:szCs w:val="18"/>
                <w:color w:val="auto"/>
              </w:rPr>
            </w:pPr>
          </w:p>
        </w:tc>
        <w:tc>
          <w:tcPr>
            <w:tcW w:w="4960" w:type="dxa"/>
            <w:vAlign w:val="bottom"/>
            <w:shd w:val="clear" w:color="auto" w:fill="C0C0C0"/>
          </w:tcPr>
          <w:p>
            <w:pPr>
              <w:spacing w:after="0"/>
              <w:rPr>
                <w:sz w:val="18"/>
                <w:szCs w:val="18"/>
                <w:color w:val="auto"/>
              </w:rPr>
            </w:pPr>
          </w:p>
        </w:tc>
        <w:tc>
          <w:tcPr>
            <w:tcW w:w="22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74,981</w:t>
            </w:r>
          </w:p>
        </w:tc>
        <w:tc>
          <w:tcPr>
            <w:tcW w:w="280" w:type="dxa"/>
            <w:vAlign w:val="bottom"/>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56,383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496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82,146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Selling, general, and administrative</w:t>
            </w:r>
          </w:p>
        </w:tc>
        <w:tc>
          <w:tcPr>
            <w:tcW w:w="49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11,674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Cost of goods sold</w:t>
            </w:r>
          </w:p>
        </w:tc>
        <w:tc>
          <w:tcPr>
            <w:tcW w:w="49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0C0C0"/>
          </w:tcPr>
          <w:p>
            <w:pPr>
              <w:spacing w:after="0"/>
              <w:rPr>
                <w:sz w:val="18"/>
                <w:szCs w:val="18"/>
                <w:color w:val="auto"/>
              </w:rPr>
            </w:pPr>
          </w:p>
        </w:tc>
        <w:tc>
          <w:tcPr>
            <w:tcW w:w="4960" w:type="dxa"/>
            <w:vAlign w:val="bottom"/>
            <w:shd w:val="clear" w:color="auto" w:fill="C0C0C0"/>
          </w:tcPr>
          <w:p>
            <w:pPr>
              <w:spacing w:after="0"/>
              <w:rPr>
                <w:sz w:val="18"/>
                <w:szCs w:val="18"/>
                <w:color w:val="auto"/>
              </w:rPr>
            </w:pPr>
          </w:p>
        </w:tc>
        <w:tc>
          <w:tcPr>
            <w:tcW w:w="22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94,212</w:t>
            </w:r>
          </w:p>
        </w:tc>
        <w:tc>
          <w:tcPr>
            <w:tcW w:w="280" w:type="dxa"/>
            <w:vAlign w:val="bottom"/>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4960" w:type="dxa"/>
            <w:vAlign w:val="bottom"/>
            <w:shd w:val="clear" w:color="auto" w:fill="C0C0C0"/>
          </w:tcPr>
          <w:p>
            <w:pPr>
              <w:spacing w:after="0"/>
              <w:rPr>
                <w:sz w:val="18"/>
                <w:szCs w:val="18"/>
                <w:color w:val="auto"/>
              </w:rPr>
            </w:pPr>
          </w:p>
        </w:tc>
        <w:tc>
          <w:tcPr>
            <w:tcW w:w="22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(19,231)</w:t>
            </w:r>
          </w:p>
        </w:tc>
        <w:tc>
          <w:tcPr>
            <w:tcW w:w="280" w:type="dxa"/>
            <w:vAlign w:val="bottom"/>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496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Investment income</w:t>
            </w:r>
          </w:p>
        </w:tc>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Interest expense</w:t>
            </w:r>
          </w:p>
        </w:tc>
        <w:tc>
          <w:tcPr>
            <w:tcW w:w="49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51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(17,481)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Borders>
              <w:top w:val="single" w:sz="8" w:color="C0C0C0"/>
            </w:tcBorders>
          </w:tcPr>
          <w:p>
            <w:pPr>
              <w:spacing w:after="0"/>
              <w:rPr>
                <w:sz w:val="19"/>
                <w:szCs w:val="19"/>
                <w:color w:val="auto"/>
              </w:rPr>
            </w:pPr>
          </w:p>
        </w:tc>
        <w:tc>
          <w:tcPr>
            <w:tcW w:w="496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51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spacing w:after="0"/>
              <w:rPr>
                <w:sz w:val="21"/>
                <w:szCs w:val="21"/>
                <w:color w:val="auto"/>
              </w:rPr>
            </w:pPr>
          </w:p>
        </w:tc>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w w:val="91"/>
              </w:rPr>
              <w:t>Weighted average shares outstanding, basic and diluted</w:t>
            </w:r>
          </w:p>
        </w:tc>
        <w:tc>
          <w:tcPr>
            <w:tcW w:w="49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79,498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2019-12-10T09:07:20Z</dcterms:created>
  <dcterms:modified xsi:type="dcterms:W3CDTF">2019-12-10T09:07:20Z</dcterms:modified>
</cp:coreProperties>
</file>