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June 13, 2011</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764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27646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53" w:lineRule="exact"/>
        <w:rPr>
          <w:sz w:val="24"/>
          <w:szCs w:val="24"/>
          <w:color w:val="auto"/>
        </w:rPr>
      </w:pPr>
    </w:p>
    <w:tbl>
      <w:tblPr>
        <w:tblLayout w:type="fixed"/>
        <w:tblInd w:w="2180" w:type="dxa"/>
        <w:tblCellMar>
          <w:top w:w="0" w:type="dxa"/>
          <w:left w:w="0" w:type="dxa"/>
          <w:bottom w:w="0" w:type="dxa"/>
          <w:right w:w="0" w:type="dxa"/>
        </w:tblCellMar>
      </w:tblPr>
      <w:tr>
        <w:trPr>
          <w:trHeight w:val="228"/>
        </w:trPr>
        <w:tc>
          <w:tcPr>
            <w:tcW w:w="6000" w:type="dxa"/>
            <w:vAlign w:val="bottom"/>
          </w:tcPr>
          <w:p>
            <w:pPr>
              <w:jc w:val="center"/>
              <w:ind w:right="3812"/>
              <w:spacing w:after="0"/>
              <w:rPr>
                <w:sz w:val="20"/>
                <w:szCs w:val="20"/>
                <w:color w:val="auto"/>
              </w:rPr>
            </w:pPr>
            <w:r>
              <w:rPr>
                <w:rFonts w:ascii="Arial" w:cs="Arial" w:eastAsia="Arial" w:hAnsi="Arial"/>
                <w:sz w:val="18"/>
                <w:szCs w:val="18"/>
                <w:b w:val="1"/>
                <w:bCs w:val="1"/>
                <w:color w:val="auto"/>
                <w:w w:val="90"/>
              </w:rPr>
              <w:t>New York</w:t>
            </w:r>
          </w:p>
        </w:tc>
        <w:tc>
          <w:tcPr>
            <w:tcW w:w="142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13-3444607</w:t>
            </w:r>
          </w:p>
        </w:tc>
      </w:tr>
      <w:tr>
        <w:trPr>
          <w:trHeight w:val="243"/>
        </w:trPr>
        <w:tc>
          <w:tcPr>
            <w:tcW w:w="6000" w:type="dxa"/>
            <w:vAlign w:val="bottom"/>
          </w:tcPr>
          <w:p>
            <w:pPr>
              <w:jc w:val="center"/>
              <w:ind w:right="3792"/>
              <w:spacing w:after="0"/>
              <w:rPr>
                <w:sz w:val="20"/>
                <w:szCs w:val="20"/>
                <w:color w:val="auto"/>
              </w:rPr>
            </w:pPr>
            <w:r>
              <w:rPr>
                <w:rFonts w:ascii="Arial" w:cs="Arial" w:eastAsia="Arial" w:hAnsi="Arial"/>
                <w:sz w:val="18"/>
                <w:szCs w:val="18"/>
                <w:color w:val="auto"/>
                <w:w w:val="90"/>
              </w:rPr>
              <w:t>(State or other jurisdiction of</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0"/>
              </w:rPr>
              <w:t>(I.R.S. Employer</w:t>
            </w:r>
          </w:p>
        </w:tc>
      </w:tr>
      <w:tr>
        <w:trPr>
          <w:trHeight w:val="243"/>
        </w:trPr>
        <w:tc>
          <w:tcPr>
            <w:tcW w:w="6000" w:type="dxa"/>
            <w:vAlign w:val="bottom"/>
          </w:tcPr>
          <w:p>
            <w:pPr>
              <w:jc w:val="center"/>
              <w:ind w:right="3792"/>
              <w:spacing w:after="0"/>
              <w:rPr>
                <w:sz w:val="20"/>
                <w:szCs w:val="20"/>
                <w:color w:val="auto"/>
              </w:rPr>
            </w:pPr>
            <w:r>
              <w:rPr>
                <w:rFonts w:ascii="Arial" w:cs="Arial" w:eastAsia="Arial" w:hAnsi="Arial"/>
                <w:sz w:val="18"/>
                <w:szCs w:val="18"/>
                <w:color w:val="auto"/>
                <w:w w:val="90"/>
              </w:rPr>
              <w:t>incorporation or organization)</w:t>
            </w:r>
          </w:p>
        </w:tc>
        <w:tc>
          <w:tcPr>
            <w:tcW w:w="1420" w:type="dxa"/>
            <w:vAlign w:val="bottom"/>
          </w:tcPr>
          <w:p>
            <w:pPr>
              <w:jc w:val="center"/>
              <w:ind w:left="12"/>
              <w:spacing w:after="0"/>
              <w:rPr>
                <w:sz w:val="20"/>
                <w:szCs w:val="20"/>
                <w:color w:val="auto"/>
              </w:rPr>
            </w:pPr>
            <w:r>
              <w:rPr>
                <w:rFonts w:ascii="Arial" w:cs="Arial" w:eastAsia="Arial" w:hAnsi="Arial"/>
                <w:sz w:val="18"/>
                <w:szCs w:val="18"/>
                <w:color w:val="auto"/>
                <w:w w:val="94"/>
              </w:rPr>
              <w:t>Identification No.)</w:t>
            </w:r>
          </w:p>
        </w:tc>
      </w:tr>
      <w:tr>
        <w:trPr>
          <w:trHeight w:val="460"/>
        </w:trPr>
        <w:tc>
          <w:tcPr>
            <w:tcW w:w="6000" w:type="dxa"/>
            <w:vAlign w:val="bottom"/>
          </w:tcPr>
          <w:p>
            <w:pPr>
              <w:jc w:val="center"/>
              <w:ind w:left="972"/>
              <w:spacing w:after="0"/>
              <w:rPr>
                <w:sz w:val="20"/>
                <w:szCs w:val="20"/>
                <w:color w:val="auto"/>
              </w:rPr>
            </w:pPr>
            <w:r>
              <w:rPr>
                <w:rFonts w:ascii="Arial" w:cs="Arial" w:eastAsia="Arial" w:hAnsi="Arial"/>
                <w:sz w:val="18"/>
                <w:szCs w:val="18"/>
                <w:b w:val="1"/>
                <w:bCs w:val="1"/>
                <w:color w:val="auto"/>
                <w:w w:val="92"/>
              </w:rPr>
              <w:t>777 Old Saw Mill River Road</w:t>
            </w:r>
          </w:p>
        </w:tc>
        <w:tc>
          <w:tcPr>
            <w:tcW w:w="1420" w:type="dxa"/>
            <w:vAlign w:val="bottom"/>
          </w:tcPr>
          <w:p>
            <w:pPr>
              <w:spacing w:after="0"/>
              <w:rPr>
                <w:sz w:val="24"/>
                <w:szCs w:val="24"/>
                <w:color w:val="auto"/>
              </w:rPr>
            </w:pPr>
          </w:p>
        </w:tc>
      </w:tr>
      <w:tr>
        <w:trPr>
          <w:trHeight w:val="222"/>
        </w:trPr>
        <w:tc>
          <w:tcPr>
            <w:tcW w:w="6000" w:type="dxa"/>
            <w:vAlign w:val="bottom"/>
          </w:tcPr>
          <w:p>
            <w:pPr>
              <w:jc w:val="center"/>
              <w:ind w:left="992"/>
              <w:spacing w:after="0"/>
              <w:rPr>
                <w:sz w:val="20"/>
                <w:szCs w:val="20"/>
                <w:color w:val="auto"/>
              </w:rPr>
            </w:pPr>
            <w:r>
              <w:rPr>
                <w:rFonts w:ascii="Arial" w:cs="Arial" w:eastAsia="Arial" w:hAnsi="Arial"/>
                <w:sz w:val="18"/>
                <w:szCs w:val="18"/>
                <w:b w:val="1"/>
                <w:bCs w:val="1"/>
                <w:color w:val="auto"/>
                <w:w w:val="91"/>
              </w:rPr>
              <w:t>Tarrytown, NY 10591-6707</w:t>
            </w:r>
          </w:p>
        </w:tc>
        <w:tc>
          <w:tcPr>
            <w:tcW w:w="1420" w:type="dxa"/>
            <w:vAlign w:val="bottom"/>
          </w:tcPr>
          <w:p>
            <w:pPr>
              <w:spacing w:after="0"/>
              <w:rPr>
                <w:sz w:val="19"/>
                <w:szCs w:val="19"/>
                <w:color w:val="auto"/>
              </w:rPr>
            </w:pPr>
          </w:p>
        </w:tc>
      </w:tr>
      <w:tr>
        <w:trPr>
          <w:trHeight w:val="222"/>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90"/>
              </w:rPr>
              <w:t>(Address of principal executive offices) (zip code)</w:t>
            </w:r>
          </w:p>
        </w:tc>
        <w:tc>
          <w:tcPr>
            <w:tcW w:w="1420" w:type="dxa"/>
            <w:vAlign w:val="bottom"/>
          </w:tcPr>
          <w:p>
            <w:pPr>
              <w:spacing w:after="0"/>
              <w:rPr>
                <w:sz w:val="19"/>
                <w:szCs w:val="19"/>
                <w:color w:val="auto"/>
              </w:rPr>
            </w:pPr>
          </w:p>
        </w:tc>
      </w:tr>
      <w:tr>
        <w:trPr>
          <w:trHeight w:val="447"/>
        </w:trPr>
        <w:tc>
          <w:tcPr>
            <w:tcW w:w="600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Regeneron Pharmaceuticals, Inc.</w:t>
            </w:r>
          </w:p>
        </w:tc>
        <w:tc>
          <w:tcPr>
            <w:tcW w:w="1420" w:type="dxa"/>
            <w:vAlign w:val="bottom"/>
          </w:tcPr>
          <w:p>
            <w:pPr>
              <w:spacing w:after="0"/>
              <w:rPr>
                <w:sz w:val="24"/>
                <w:szCs w:val="24"/>
                <w:color w:val="auto"/>
              </w:rPr>
            </w:pPr>
          </w:p>
        </w:tc>
      </w:tr>
      <w:tr>
        <w:trPr>
          <w:trHeight w:val="222"/>
        </w:trPr>
        <w:tc>
          <w:tcPr>
            <w:tcW w:w="6000" w:type="dxa"/>
            <w:vAlign w:val="bottom"/>
          </w:tcPr>
          <w:p>
            <w:pPr>
              <w:jc w:val="center"/>
              <w:ind w:left="972"/>
              <w:spacing w:after="0"/>
              <w:rPr>
                <w:sz w:val="20"/>
                <w:szCs w:val="20"/>
                <w:color w:val="auto"/>
              </w:rPr>
            </w:pPr>
            <w:r>
              <w:rPr>
                <w:rFonts w:ascii="Arial" w:cs="Arial" w:eastAsia="Arial" w:hAnsi="Arial"/>
                <w:sz w:val="18"/>
                <w:szCs w:val="18"/>
                <w:b w:val="1"/>
                <w:bCs w:val="1"/>
                <w:color w:val="auto"/>
                <w:w w:val="87"/>
              </w:rPr>
              <w:t>Second Amended and Restated 2000 Long-Term Incentive Plan</w:t>
            </w:r>
          </w:p>
        </w:tc>
        <w:tc>
          <w:tcPr>
            <w:tcW w:w="1420" w:type="dxa"/>
            <w:vAlign w:val="bottom"/>
          </w:tcPr>
          <w:p>
            <w:pPr>
              <w:spacing w:after="0"/>
              <w:rPr>
                <w:sz w:val="19"/>
                <w:szCs w:val="19"/>
                <w:color w:val="auto"/>
              </w:rPr>
            </w:pPr>
          </w:p>
        </w:tc>
      </w:tr>
      <w:tr>
        <w:trPr>
          <w:trHeight w:val="216"/>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93"/>
              </w:rPr>
              <w:t>(Full title of the plan)</w:t>
            </w:r>
          </w:p>
        </w:tc>
        <w:tc>
          <w:tcPr>
            <w:tcW w:w="1420" w:type="dxa"/>
            <w:vAlign w:val="bottom"/>
          </w:tcPr>
          <w:p>
            <w:pPr>
              <w:spacing w:after="0"/>
              <w:rPr>
                <w:sz w:val="18"/>
                <w:szCs w:val="18"/>
                <w:color w:val="auto"/>
              </w:rPr>
            </w:pPr>
          </w:p>
        </w:tc>
      </w:tr>
      <w:tr>
        <w:trPr>
          <w:trHeight w:val="222"/>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87"/>
              </w:rPr>
              <w:t>____________________________</w:t>
            </w:r>
          </w:p>
        </w:tc>
        <w:tc>
          <w:tcPr>
            <w:tcW w:w="1420" w:type="dxa"/>
            <w:vAlign w:val="bottom"/>
          </w:tcPr>
          <w:p>
            <w:pPr>
              <w:spacing w:after="0"/>
              <w:rPr>
                <w:sz w:val="19"/>
                <w:szCs w:val="19"/>
                <w:color w:val="auto"/>
              </w:rPr>
            </w:pPr>
          </w:p>
        </w:tc>
      </w:tr>
      <w:tr>
        <w:trPr>
          <w:trHeight w:val="426"/>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91"/>
              </w:rPr>
              <w:t>Murray A. Goldberg</w:t>
            </w:r>
          </w:p>
        </w:tc>
        <w:tc>
          <w:tcPr>
            <w:tcW w:w="1420" w:type="dxa"/>
            <w:vAlign w:val="bottom"/>
          </w:tcPr>
          <w:p>
            <w:pPr>
              <w:spacing w:after="0"/>
              <w:rPr>
                <w:sz w:val="24"/>
                <w:szCs w:val="24"/>
                <w:color w:val="auto"/>
              </w:rPr>
            </w:pPr>
          </w:p>
        </w:tc>
      </w:tr>
      <w:tr>
        <w:trPr>
          <w:trHeight w:val="216"/>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89"/>
              </w:rPr>
              <w:t>Senior Vice President, Finance and Administration,</w:t>
            </w:r>
          </w:p>
        </w:tc>
        <w:tc>
          <w:tcPr>
            <w:tcW w:w="1420" w:type="dxa"/>
            <w:vAlign w:val="bottom"/>
          </w:tcPr>
          <w:p>
            <w:pPr>
              <w:spacing w:after="0"/>
              <w:rPr>
                <w:sz w:val="18"/>
                <w:szCs w:val="18"/>
                <w:color w:val="auto"/>
              </w:rPr>
            </w:pPr>
          </w:p>
        </w:tc>
      </w:tr>
      <w:tr>
        <w:trPr>
          <w:trHeight w:val="216"/>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88"/>
              </w:rPr>
              <w:t>Chief Financial Officer, Treasurer and Assistant Secretary</w:t>
            </w:r>
          </w:p>
        </w:tc>
        <w:tc>
          <w:tcPr>
            <w:tcW w:w="1420" w:type="dxa"/>
            <w:vAlign w:val="bottom"/>
          </w:tcPr>
          <w:p>
            <w:pPr>
              <w:spacing w:after="0"/>
              <w:rPr>
                <w:sz w:val="18"/>
                <w:szCs w:val="18"/>
                <w:color w:val="auto"/>
              </w:rPr>
            </w:pPr>
          </w:p>
        </w:tc>
      </w:tr>
      <w:tr>
        <w:trPr>
          <w:trHeight w:val="216"/>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86"/>
              </w:rPr>
              <w:t>Regeneron Pharmaceuticals, Inc.</w:t>
            </w:r>
          </w:p>
        </w:tc>
        <w:tc>
          <w:tcPr>
            <w:tcW w:w="1420" w:type="dxa"/>
            <w:vAlign w:val="bottom"/>
          </w:tcPr>
          <w:p>
            <w:pPr>
              <w:spacing w:after="0"/>
              <w:rPr>
                <w:sz w:val="18"/>
                <w:szCs w:val="18"/>
                <w:color w:val="auto"/>
              </w:rPr>
            </w:pPr>
          </w:p>
        </w:tc>
      </w:tr>
      <w:tr>
        <w:trPr>
          <w:trHeight w:val="216"/>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92"/>
              </w:rPr>
              <w:t>777 Old Saw Mill River Road</w:t>
            </w:r>
          </w:p>
        </w:tc>
        <w:tc>
          <w:tcPr>
            <w:tcW w:w="1420" w:type="dxa"/>
            <w:vAlign w:val="bottom"/>
          </w:tcPr>
          <w:p>
            <w:pPr>
              <w:spacing w:after="0"/>
              <w:rPr>
                <w:sz w:val="18"/>
                <w:szCs w:val="18"/>
                <w:color w:val="auto"/>
              </w:rPr>
            </w:pPr>
          </w:p>
        </w:tc>
      </w:tr>
      <w:tr>
        <w:trPr>
          <w:trHeight w:val="216"/>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90"/>
              </w:rPr>
              <w:t>Tarrytown, NY 10591-6707</w:t>
            </w:r>
          </w:p>
        </w:tc>
        <w:tc>
          <w:tcPr>
            <w:tcW w:w="1420" w:type="dxa"/>
            <w:vAlign w:val="bottom"/>
          </w:tcPr>
          <w:p>
            <w:pPr>
              <w:spacing w:after="0"/>
              <w:rPr>
                <w:sz w:val="18"/>
                <w:szCs w:val="18"/>
                <w:color w:val="auto"/>
              </w:rPr>
            </w:pPr>
          </w:p>
        </w:tc>
      </w:tr>
      <w:tr>
        <w:trPr>
          <w:trHeight w:val="222"/>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86"/>
              </w:rPr>
              <w:t>(Name and address of agent for service)</w:t>
            </w:r>
          </w:p>
        </w:tc>
        <w:tc>
          <w:tcPr>
            <w:tcW w:w="1420" w:type="dxa"/>
            <w:vAlign w:val="bottom"/>
          </w:tcPr>
          <w:p>
            <w:pPr>
              <w:spacing w:after="0"/>
              <w:rPr>
                <w:sz w:val="19"/>
                <w:szCs w:val="19"/>
                <w:color w:val="auto"/>
              </w:rPr>
            </w:pPr>
          </w:p>
        </w:tc>
      </w:tr>
      <w:tr>
        <w:trPr>
          <w:trHeight w:val="453"/>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89"/>
              </w:rPr>
              <w:t>(914) 347-7000</w:t>
            </w:r>
          </w:p>
        </w:tc>
        <w:tc>
          <w:tcPr>
            <w:tcW w:w="1420" w:type="dxa"/>
            <w:vAlign w:val="bottom"/>
          </w:tcPr>
          <w:p>
            <w:pPr>
              <w:spacing w:after="0"/>
              <w:rPr>
                <w:sz w:val="24"/>
                <w:szCs w:val="24"/>
                <w:color w:val="auto"/>
              </w:rPr>
            </w:pPr>
          </w:p>
        </w:tc>
      </w:tr>
      <w:tr>
        <w:trPr>
          <w:trHeight w:val="222"/>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88"/>
              </w:rPr>
              <w:t>(Telephone number, including area code, of agent for service)</w:t>
            </w:r>
          </w:p>
        </w:tc>
        <w:tc>
          <w:tcPr>
            <w:tcW w:w="1420" w:type="dxa"/>
            <w:vAlign w:val="bottom"/>
          </w:tcPr>
          <w:p>
            <w:pPr>
              <w:spacing w:after="0"/>
              <w:rPr>
                <w:sz w:val="19"/>
                <w:szCs w:val="19"/>
                <w:color w:val="auto"/>
              </w:rPr>
            </w:pPr>
          </w:p>
        </w:tc>
      </w:tr>
      <w:tr>
        <w:trPr>
          <w:trHeight w:val="459"/>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88"/>
              </w:rPr>
              <w:t>Copies to:</w:t>
            </w:r>
          </w:p>
        </w:tc>
        <w:tc>
          <w:tcPr>
            <w:tcW w:w="1420" w:type="dxa"/>
            <w:vAlign w:val="bottom"/>
          </w:tcPr>
          <w:p>
            <w:pPr>
              <w:spacing w:after="0"/>
              <w:rPr>
                <w:sz w:val="24"/>
                <w:szCs w:val="24"/>
                <w:color w:val="auto"/>
              </w:rPr>
            </w:pPr>
          </w:p>
        </w:tc>
      </w:tr>
      <w:tr>
        <w:trPr>
          <w:trHeight w:val="453"/>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91"/>
              </w:rPr>
              <w:t>Kent A. Coit, Esq.</w:t>
            </w:r>
          </w:p>
        </w:tc>
        <w:tc>
          <w:tcPr>
            <w:tcW w:w="1420" w:type="dxa"/>
            <w:vAlign w:val="bottom"/>
          </w:tcPr>
          <w:p>
            <w:pPr>
              <w:spacing w:after="0"/>
              <w:rPr>
                <w:sz w:val="24"/>
                <w:szCs w:val="24"/>
                <w:color w:val="auto"/>
              </w:rPr>
            </w:pPr>
          </w:p>
        </w:tc>
      </w:tr>
      <w:tr>
        <w:trPr>
          <w:trHeight w:val="216"/>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89"/>
              </w:rPr>
              <w:t>Skadden, Arps, Slate, Meagher &amp; Flom LLP</w:t>
            </w:r>
          </w:p>
        </w:tc>
        <w:tc>
          <w:tcPr>
            <w:tcW w:w="1420" w:type="dxa"/>
            <w:vAlign w:val="bottom"/>
          </w:tcPr>
          <w:p>
            <w:pPr>
              <w:spacing w:after="0"/>
              <w:rPr>
                <w:sz w:val="18"/>
                <w:szCs w:val="18"/>
                <w:color w:val="auto"/>
              </w:rPr>
            </w:pPr>
          </w:p>
        </w:tc>
      </w:tr>
      <w:tr>
        <w:trPr>
          <w:trHeight w:val="216"/>
        </w:trPr>
        <w:tc>
          <w:tcPr>
            <w:tcW w:w="6000" w:type="dxa"/>
            <w:vAlign w:val="bottom"/>
          </w:tcPr>
          <w:p>
            <w:pPr>
              <w:jc w:val="center"/>
              <w:ind w:left="992"/>
              <w:spacing w:after="0"/>
              <w:rPr>
                <w:sz w:val="20"/>
                <w:szCs w:val="20"/>
                <w:color w:val="auto"/>
              </w:rPr>
            </w:pPr>
            <w:r>
              <w:rPr>
                <w:rFonts w:ascii="Arial" w:cs="Arial" w:eastAsia="Arial" w:hAnsi="Arial"/>
                <w:sz w:val="18"/>
                <w:szCs w:val="18"/>
                <w:color w:val="auto"/>
                <w:w w:val="86"/>
              </w:rPr>
              <w:t>One Beacon Street</w:t>
            </w:r>
          </w:p>
        </w:tc>
        <w:tc>
          <w:tcPr>
            <w:tcW w:w="1420" w:type="dxa"/>
            <w:vAlign w:val="bottom"/>
          </w:tcPr>
          <w:p>
            <w:pPr>
              <w:spacing w:after="0"/>
              <w:rPr>
                <w:sz w:val="18"/>
                <w:szCs w:val="18"/>
                <w:color w:val="auto"/>
              </w:rPr>
            </w:pPr>
          </w:p>
        </w:tc>
      </w:tr>
      <w:tr>
        <w:trPr>
          <w:trHeight w:val="216"/>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90"/>
              </w:rPr>
              <w:t>Boston, MA 02108</w:t>
            </w:r>
          </w:p>
        </w:tc>
        <w:tc>
          <w:tcPr>
            <w:tcW w:w="1420" w:type="dxa"/>
            <w:vAlign w:val="bottom"/>
          </w:tcPr>
          <w:p>
            <w:pPr>
              <w:spacing w:after="0"/>
              <w:rPr>
                <w:sz w:val="18"/>
                <w:szCs w:val="18"/>
                <w:color w:val="auto"/>
              </w:rPr>
            </w:pPr>
          </w:p>
        </w:tc>
      </w:tr>
      <w:tr>
        <w:trPr>
          <w:trHeight w:val="222"/>
        </w:trPr>
        <w:tc>
          <w:tcPr>
            <w:tcW w:w="6000" w:type="dxa"/>
            <w:vAlign w:val="bottom"/>
          </w:tcPr>
          <w:p>
            <w:pPr>
              <w:jc w:val="center"/>
              <w:ind w:left="972"/>
              <w:spacing w:after="0"/>
              <w:rPr>
                <w:sz w:val="20"/>
                <w:szCs w:val="20"/>
                <w:color w:val="auto"/>
              </w:rPr>
            </w:pPr>
            <w:r>
              <w:rPr>
                <w:rFonts w:ascii="Arial" w:cs="Arial" w:eastAsia="Arial" w:hAnsi="Arial"/>
                <w:sz w:val="18"/>
                <w:szCs w:val="18"/>
                <w:color w:val="auto"/>
                <w:w w:val="89"/>
              </w:rPr>
              <w:t>(617) 573-4800</w:t>
            </w:r>
          </w:p>
        </w:tc>
        <w:tc>
          <w:tcPr>
            <w:tcW w:w="1420" w:type="dxa"/>
            <w:vAlign w:val="bottom"/>
          </w:tcPr>
          <w:p>
            <w:pPr>
              <w:spacing w:after="0"/>
              <w:rPr>
                <w:sz w:val="19"/>
                <w:szCs w:val="19"/>
                <w:color w:val="auto"/>
              </w:rPr>
            </w:pPr>
          </w:p>
        </w:tc>
      </w:tr>
    </w:tbl>
    <w:p>
      <w:pPr>
        <w:spacing w:after="0" w:line="23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 Accelerated filer o Non-Accelerated filer o Smaller reporting company o</w:t>
      </w:r>
    </w:p>
    <w:p>
      <w:pPr>
        <w:spacing w:after="0" w:line="15"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Borders>
              <w:top w:val="single" w:sz="8" w:color="auto"/>
              <w:right w:val="single" w:sz="8" w:color="auto"/>
            </w:tcBorders>
          </w:tcPr>
          <w:p>
            <w:pPr>
              <w:spacing w:after="0"/>
              <w:rPr>
                <w:sz w:val="19"/>
                <w:szCs w:val="19"/>
                <w:color w:val="auto"/>
              </w:rPr>
            </w:pPr>
          </w:p>
        </w:tc>
        <w:tc>
          <w:tcPr>
            <w:tcW w:w="2260" w:type="dxa"/>
            <w:vAlign w:val="bottom"/>
            <w:tcBorders>
              <w:top w:val="single" w:sz="8" w:color="auto"/>
              <w:right w:val="single" w:sz="8" w:color="auto"/>
            </w:tcBorders>
          </w:tcPr>
          <w:p>
            <w:pPr>
              <w:spacing w:after="0"/>
              <w:rPr>
                <w:sz w:val="19"/>
                <w:szCs w:val="19"/>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243"/>
        </w:trPr>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Title of Securities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 to be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Aggregate Offering</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5"/>
              </w:rPr>
              <w:t>Registration</w:t>
            </w:r>
          </w:p>
        </w:tc>
      </w:tr>
      <w:tr>
        <w:trPr>
          <w:trHeight w:val="243"/>
        </w:trPr>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 be Registered</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Registered (1)(2)</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 (3)</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(3)</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4"/>
              </w:rPr>
              <w:t>Fee (4)</w:t>
            </w:r>
          </w:p>
        </w:tc>
      </w:tr>
      <w:tr>
        <w:trPr>
          <w:trHeight w:val="41"/>
        </w:trPr>
        <w:tc>
          <w:tcPr>
            <w:tcW w:w="238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196"/>
        </w:trPr>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Common Stock, par value $0.001 per share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12,032,525</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$54.80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$659,382,370.00</w:t>
            </w:r>
          </w:p>
        </w:tc>
        <w:tc>
          <w:tcPr>
            <w:tcW w:w="2240" w:type="dxa"/>
            <w:vAlign w:val="bottom"/>
          </w:tcPr>
          <w:p>
            <w:pPr>
              <w:jc w:val="center"/>
              <w:spacing w:after="0"/>
              <w:rPr>
                <w:sz w:val="20"/>
                <w:szCs w:val="20"/>
                <w:color w:val="auto"/>
              </w:rPr>
            </w:pPr>
            <w:r>
              <w:rPr>
                <w:rFonts w:ascii="Arial" w:cs="Arial" w:eastAsia="Arial" w:hAnsi="Arial"/>
                <w:sz w:val="14"/>
                <w:szCs w:val="14"/>
                <w:color w:val="auto"/>
                <w:w w:val="88"/>
              </w:rPr>
              <w:t>$76,554.29</w:t>
            </w:r>
          </w:p>
        </w:tc>
      </w:tr>
      <w:tr>
        <w:trPr>
          <w:trHeight w:val="48"/>
        </w:trPr>
        <w:tc>
          <w:tcPr>
            <w:tcW w:w="23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pacing w:after="0" w:line="316" w:lineRule="exact"/>
        <w:rPr>
          <w:sz w:val="20"/>
          <w:szCs w:val="20"/>
          <w:color w:val="auto"/>
        </w:rPr>
      </w:pPr>
    </w:p>
    <w:p>
      <w:pPr>
        <w:ind w:left="500" w:right="20" w:hanging="492"/>
        <w:spacing w:after="0" w:line="283"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also covers, in addition to the number of shares stated above, an indeterminate number of additional shares of Common Stock, par value $0.001 per share ("Common Stock") of the Registrant which may become issuable under the Registrant's Second Amended and Restated 2000 Long-Term Incentive Plan (the “Second Amended 2000 Plan”) by reason of certain corporate transactions or events, including any stock dividend, stock split or any other similar transaction effected which results in an increase in the number of the Registrant's outstanding shares of Common Stock.</w:t>
      </w:r>
    </w:p>
    <w:p>
      <w:pPr>
        <w:spacing w:after="0" w:line="2" w:lineRule="exact"/>
        <w:rPr>
          <w:rFonts w:ascii="Arial" w:cs="Arial" w:eastAsia="Arial" w:hAnsi="Arial"/>
          <w:sz w:val="16"/>
          <w:szCs w:val="16"/>
          <w:color w:val="auto"/>
        </w:rPr>
      </w:pPr>
    </w:p>
    <w:p>
      <w:pPr>
        <w:ind w:left="500" w:right="700" w:hanging="492"/>
        <w:spacing w:after="0" w:line="300" w:lineRule="auto"/>
        <w:tabs>
          <w:tab w:leader="none" w:pos="5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number of shares being registered includes 32,525 shares (the “Forfeited Shares”) previously issued as restricted stock under the Registrant’s Amended and Restated 2000 Long-Term Incentive Plan and subsequently forfeited and returned to the plan in accordance with its terms.</w:t>
      </w:r>
    </w:p>
    <w:p>
      <w:pPr>
        <w:ind w:left="500" w:right="40" w:hanging="492"/>
        <w:spacing w:after="0" w:line="281"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fee is based solely on the 12,032,525 shares of Common Stock newly available for issuance under the 2000 Plan and is estimated in accordance with paragraphs (c) and (h) of Rule 457 under the Securities Act solely for the purpose of calculating the registration fee based upon the average of the high and low sales prices per share of Common Stock as reported on the Nasdaq Global Market on June 10, 2011.</w:t>
      </w:r>
    </w:p>
    <w:p>
      <w:pPr>
        <w:spacing w:after="0" w:line="2" w:lineRule="exact"/>
        <w:rPr>
          <w:rFonts w:ascii="Arial" w:cs="Arial" w:eastAsia="Arial" w:hAnsi="Arial"/>
          <w:sz w:val="16"/>
          <w:szCs w:val="16"/>
          <w:color w:val="auto"/>
        </w:rPr>
      </w:pPr>
    </w:p>
    <w:p>
      <w:pPr>
        <w:ind w:left="500" w:right="20" w:hanging="492"/>
        <w:spacing w:after="0" w:line="255"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pursuant to Section 6(b) of the Securities Act by multiplying .00011610 by the proposed maximum aggregate offering price (as computed in accordance with Rule 457 under the Securities Act solely for the purpose of determining the registration fee of the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85"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At the 2011 Annual Meeting of Shareholders of Regeneron Pharmaceuticals, Inc. (the “Company”) held on June 10, 2011, the Company’s shareholders approved the Company’s Second Amended and Restated 2000 Long-Term Incentive Plan (the “Second Amended 2000 Plan”), which (1) increased the maximum number of shares of common stock reserved for and available for issuance under the plan by 12,000,000 shares (the “Additional Shares”); and (2) extended the term of the plan until December 31, 2016. Shareholder approval of the Second Amended 2000 Plan also constituted re-approval for purposes of Section 162(m) under the Internal Revenue Code of 1986, as amended, of certain performance goals in the plan that may be applied to awards thereunder.</w:t>
      </w:r>
    </w:p>
    <w:p>
      <w:pPr>
        <w:spacing w:after="0" w:line="224" w:lineRule="exact"/>
        <w:rPr>
          <w:sz w:val="20"/>
          <w:szCs w:val="20"/>
          <w:color w:val="auto"/>
        </w:rPr>
      </w:pPr>
    </w:p>
    <w:p>
      <w:pPr>
        <w:ind w:right="400" w:firstLine="270"/>
        <w:spacing w:after="0" w:line="268" w:lineRule="auto"/>
        <w:rPr>
          <w:sz w:val="20"/>
          <w:szCs w:val="20"/>
          <w:color w:val="auto"/>
        </w:rPr>
      </w:pPr>
      <w:r>
        <w:rPr>
          <w:rFonts w:ascii="Arial" w:cs="Arial" w:eastAsia="Arial" w:hAnsi="Arial"/>
          <w:sz w:val="18"/>
          <w:szCs w:val="18"/>
          <w:color w:val="auto"/>
        </w:rPr>
        <w:t>This Registration Statement on Form S-8 is intended to register for issuance under the Second Amended 2000 Plan (i) the Additional Shares and (ii) the Forfeited Shares.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79" w:lineRule="exact"/>
        <w:rPr>
          <w:sz w:val="20"/>
          <w:szCs w:val="20"/>
          <w:color w:val="auto"/>
        </w:rPr>
      </w:pPr>
    </w:p>
    <w:p>
      <w:pPr>
        <w:ind w:right="60" w:firstLine="270"/>
        <w:spacing w:after="0" w:line="30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The documents containing the information specified in Part I have been sent or given to employees as specified by Rule 428(b)(1). Such documents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being filed with the Securities and Exchange Commission (the “Commission”) either as part of this Registration Statement or as prospectuses or prospectus supplements pursuant to Rule 424. Such documents and the documents incorporated by reference in this Registration Statement pursuant to Item 3 of Part II of this Form,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252" w:lineRule="exact"/>
        <w:rPr>
          <w:sz w:val="20"/>
          <w:szCs w:val="20"/>
          <w:color w:val="auto"/>
        </w:rPr>
      </w:pPr>
    </w:p>
    <w:p>
      <w:pPr>
        <w:ind w:left="760" w:hanging="48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2010 (filed with the Commission on February 17, 2011);</w:t>
      </w:r>
    </w:p>
    <w:p>
      <w:pPr>
        <w:spacing w:after="0" w:line="265" w:lineRule="exact"/>
        <w:rPr>
          <w:rFonts w:ascii="Arial" w:cs="Arial" w:eastAsia="Arial" w:hAnsi="Arial"/>
          <w:sz w:val="18"/>
          <w:szCs w:val="18"/>
          <w:color w:val="auto"/>
        </w:rPr>
      </w:pPr>
    </w:p>
    <w:p>
      <w:pPr>
        <w:ind w:left="760" w:hanging="48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2011 (filed with the Commission on May 3, 2011);</w:t>
      </w:r>
    </w:p>
    <w:p>
      <w:pPr>
        <w:spacing w:after="0" w:line="265" w:lineRule="exact"/>
        <w:rPr>
          <w:rFonts w:ascii="Arial" w:cs="Arial" w:eastAsia="Arial" w:hAnsi="Arial"/>
          <w:sz w:val="18"/>
          <w:szCs w:val="18"/>
          <w:color w:val="auto"/>
        </w:rPr>
      </w:pPr>
    </w:p>
    <w:p>
      <w:pPr>
        <w:ind w:left="760" w:hanging="482"/>
        <w:spacing w:after="0" w:line="259"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28, 2011; Current Report on Form 8-K filed with the Commission on March 10, 2011; Current Report on Form 8-K filed with the Commission on April 18, 2011; Current Report on Form 8-K filed with the Commission on April 26, 2011; and Current Report on Form 8-K filed with the Commission on April 27, 2011.</w:t>
      </w:r>
    </w:p>
    <w:p>
      <w:pPr>
        <w:spacing w:after="0" w:line="221" w:lineRule="exact"/>
        <w:rPr>
          <w:rFonts w:ascii="Arial" w:cs="Arial" w:eastAsia="Arial" w:hAnsi="Arial"/>
          <w:sz w:val="18"/>
          <w:szCs w:val="18"/>
          <w:color w:val="auto"/>
        </w:rPr>
      </w:pPr>
    </w:p>
    <w:p>
      <w:pPr>
        <w:jc w:val="both"/>
        <w:ind w:left="760" w:hanging="482"/>
        <w:spacing w:after="0" w:line="259"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Common Stock contained in the Registration Statement on Form 8-A, filed with the Commission under Section 12 of the Securities Exchange Act of 1934, as amended (the “Exchange Act”), on February 20, 1991, including any amendment or report filed for the purpose of updating such description.</w:t>
      </w:r>
    </w:p>
    <w:p>
      <w:pPr>
        <w:spacing w:after="0" w:line="248"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215"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6. Indemnification of Directors and Officers</w:t>
      </w:r>
      <w:r>
        <w:rPr>
          <w:rFonts w:ascii="Arial" w:cs="Arial" w:eastAsia="Arial" w:hAnsi="Arial"/>
          <w:sz w:val="18"/>
          <w:szCs w:val="18"/>
          <w:color w:val="auto"/>
        </w:rPr>
        <w:t>.</w:t>
      </w:r>
    </w:p>
    <w:p>
      <w:pPr>
        <w:spacing w:after="0" w:line="285" w:lineRule="exact"/>
        <w:rPr>
          <w:sz w:val="20"/>
          <w:szCs w:val="20"/>
          <w:color w:val="auto"/>
        </w:rPr>
      </w:pPr>
    </w:p>
    <w:p>
      <w:pPr>
        <w:ind w:right="100" w:firstLine="270"/>
        <w:spacing w:after="0" w:line="332" w:lineRule="auto"/>
        <w:rPr>
          <w:sz w:val="20"/>
          <w:szCs w:val="20"/>
          <w:color w:val="auto"/>
        </w:rPr>
      </w:pPr>
      <w:r>
        <w:rPr>
          <w:rFonts w:ascii="Arial" w:cs="Arial" w:eastAsia="Arial" w:hAnsi="Arial"/>
          <w:sz w:val="16"/>
          <w:szCs w:val="16"/>
          <w:color w:val="auto"/>
        </w:rPr>
        <w:t>Article Seven of the Company’s Restated Certificate of Incorporation provides that, to the fullest extent permitted by the New York Business Corporation Law, no director or officer shall be personally liable to the Company or its shareholders for monetary damages for any breach of fiduciary duty in such capacity.</w:t>
      </w:r>
    </w:p>
    <w:p>
      <w:pPr>
        <w:spacing w:after="0" w:line="193" w:lineRule="exact"/>
        <w:rPr>
          <w:sz w:val="20"/>
          <w:szCs w:val="20"/>
          <w:color w:val="auto"/>
        </w:rPr>
      </w:pPr>
    </w:p>
    <w:p>
      <w:pPr>
        <w:jc w:val="both"/>
        <w:ind w:right="40" w:firstLine="270"/>
        <w:spacing w:after="0" w:line="256" w:lineRule="auto"/>
        <w:rPr>
          <w:sz w:val="20"/>
          <w:szCs w:val="20"/>
          <w:color w:val="auto"/>
        </w:rPr>
      </w:pPr>
      <w:r>
        <w:rPr>
          <w:rFonts w:ascii="Arial" w:cs="Arial" w:eastAsia="Arial" w:hAnsi="Arial"/>
          <w:sz w:val="18"/>
          <w:szCs w:val="18"/>
          <w:color w:val="auto"/>
        </w:rPr>
        <w:t>Section 722 of the New York Business Corporation Law permits a corporation to provide for the indemnification of members of its board of directors and its officers against actions or proceedings, or the threat thereof, by or in the right of the corporation. In order to receive indemnification such director or officer must have (i) acted in good faith for a purpose which he reasonably believed to be in the best interests of the corporation and, (ii) in the case of a criminal proceeding, also had no reasonable belief that such conduct was unlawful.</w:t>
      </w:r>
    </w:p>
    <w:p>
      <w:pPr>
        <w:spacing w:after="0" w:line="251"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for a purpose that they reasonably believed to be in the best interests of the Company.</w:t>
      </w:r>
    </w:p>
    <w:p>
      <w:pPr>
        <w:spacing w:after="0" w:line="215"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The Company’s employment agreement with its President and Chief Executive Officer includes a provision indemnifying him to the fullest extent permitted by law in connection with his serving as an officer or director of the Company. Such indemnification is in addition to and not in lieu of other indemnification rights. The Company maintains directors’ and officers’ liability insurance which insures against liabilities that directors or officers of the Company may incur in such capacities.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Index of Exhibits,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9. Undertakings.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760" w:hanging="48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300" w:hanging="536"/>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79" w:lineRule="exact"/>
        <w:rPr>
          <w:rFonts w:ascii="Arial" w:cs="Arial" w:eastAsia="Arial" w:hAnsi="Arial"/>
          <w:sz w:val="18"/>
          <w:szCs w:val="18"/>
          <w:color w:val="auto"/>
        </w:rPr>
      </w:pPr>
    </w:p>
    <w:p>
      <w:pPr>
        <w:ind w:left="1300" w:hanging="536"/>
        <w:spacing w:after="0" w:line="290"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9" w:lineRule="exact"/>
        <w:rPr>
          <w:rFonts w:ascii="Arial" w:cs="Arial" w:eastAsia="Arial" w:hAnsi="Arial"/>
          <w:sz w:val="16"/>
          <w:szCs w:val="16"/>
          <w:color w:val="auto"/>
        </w:rPr>
      </w:pPr>
    </w:p>
    <w:p>
      <w:pPr>
        <w:ind w:left="1300" w:right="500" w:hanging="536"/>
        <w:spacing w:after="0" w:line="268"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(1)(i) and (1)(ii)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reports filed with or furnished to the Commission by the Registrant pursuant to Section 13 or 15(d) of the Securities Exchange Act of 1934 (15 U.S.C. 78m or 78o(d)) that are incorporated by reference in the Registration Statement.</w:t>
      </w:r>
    </w:p>
    <w:p>
      <w:pPr>
        <w:spacing w:after="0" w:line="221" w:lineRule="exact"/>
        <w:rPr>
          <w:sz w:val="20"/>
          <w:szCs w:val="20"/>
          <w:color w:val="auto"/>
        </w:rPr>
      </w:pPr>
    </w:p>
    <w:p>
      <w:pPr>
        <w:ind w:left="760" w:right="20" w:hanging="482"/>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21" w:lineRule="exact"/>
        <w:rPr>
          <w:rFonts w:ascii="Arial" w:cs="Arial" w:eastAsia="Arial" w:hAnsi="Arial"/>
          <w:sz w:val="18"/>
          <w:szCs w:val="18"/>
          <w:color w:val="auto"/>
        </w:rPr>
      </w:pPr>
    </w:p>
    <w:p>
      <w:pPr>
        <w:ind w:left="760" w:right="120" w:hanging="482"/>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40"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251"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5"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Tarrytown, State of New York, on June 13, 2011.</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EGENERON</w:t>
      </w:r>
      <w:r>
        <w:rPr>
          <w:rFonts w:ascii="Arial" w:cs="Arial" w:eastAsia="Arial" w:hAnsi="Arial"/>
          <w:sz w:val="18"/>
          <w:szCs w:val="18"/>
          <w:color w:val="auto"/>
        </w:rPr>
        <w:t xml:space="preserve"> P</w:t>
      </w:r>
      <w:r>
        <w:rPr>
          <w:rFonts w:ascii="Arial" w:cs="Arial" w:eastAsia="Arial" w:hAnsi="Arial"/>
          <w:sz w:val="14"/>
          <w:szCs w:val="14"/>
          <w:color w:val="auto"/>
        </w:rPr>
        <w:t>HARMACEUTICALS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93"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19685</wp:posOffset>
            </wp:positionV>
            <wp:extent cx="3533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85"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full power of substitution and resubstitution, for him and in his name, place and stead, in any and all capacities therewith, to sign any and all amendments (including post-effective amendments) to this Registration Statement,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connection therewith, as fully to all intents and purposes as he might or could do in person, hereby ratifying and confirming all that each said attorney-in-fact and agent, or their or his substitute or substitutes, may lawfully do or cause to be done by virtue hereof.</w:t>
      </w:r>
    </w:p>
    <w:p>
      <w:pPr>
        <w:spacing w:after="0" w:line="226"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June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25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56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91"/>
              </w:rPr>
              <w:t>Title</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c>
          <w:tcPr>
            <w:tcW w:w="7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88"/>
              </w:rPr>
              <w:t>President, Chief Executive Officer, and</w:t>
            </w: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Arial" w:cs="Arial" w:eastAsia="Arial" w:hAnsi="Arial"/>
                <w:sz w:val="18"/>
                <w:szCs w:val="18"/>
                <w:color w:val="auto"/>
              </w:rPr>
              <w:t>Leonard S. Schleifer, M.D., Ph.D.</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 xml:space="preserve">Director </w:t>
            </w:r>
            <w:r>
              <w:rPr>
                <w:rFonts w:ascii="Arial" w:cs="Arial" w:eastAsia="Arial" w:hAnsi="Arial"/>
                <w:sz w:val="18"/>
                <w:szCs w:val="18"/>
                <w:i w:val="1"/>
                <w:iCs w:val="1"/>
                <w:color w:val="auto"/>
                <w:w w:val="91"/>
              </w:rPr>
              <w:t>(Principal Executive Officer)</w:t>
            </w:r>
          </w:p>
        </w:tc>
        <w:tc>
          <w:tcPr>
            <w:tcW w:w="0" w:type="dxa"/>
            <w:vAlign w:val="bottom"/>
          </w:tcPr>
          <w:p>
            <w:pPr>
              <w:spacing w:after="0"/>
              <w:rPr>
                <w:sz w:val="1"/>
                <w:szCs w:val="1"/>
                <w:color w:val="auto"/>
              </w:rPr>
            </w:pPr>
          </w:p>
        </w:tc>
      </w:tr>
      <w:tr>
        <w:trPr>
          <w:trHeight w:val="486"/>
        </w:trPr>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88"/>
              </w:rPr>
              <w:t>Senior Vice President, Finance &amp;</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2"/>
              </w:rPr>
              <w:t>Administration, Chief Financial Officer,</w:t>
            </w:r>
          </w:p>
        </w:tc>
        <w:tc>
          <w:tcPr>
            <w:tcW w:w="0" w:type="dxa"/>
            <w:vAlign w:val="bottom"/>
          </w:tcPr>
          <w:p>
            <w:pPr>
              <w:spacing w:after="0"/>
              <w:rPr>
                <w:sz w:val="1"/>
                <w:szCs w:val="1"/>
                <w:color w:val="auto"/>
              </w:rPr>
            </w:pPr>
          </w:p>
        </w:tc>
      </w:tr>
      <w:tr>
        <w:trPr>
          <w:trHeight w:val="266"/>
        </w:trPr>
        <w:tc>
          <w:tcPr>
            <w:tcW w:w="5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Murray A. Goldberg</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85"/>
              </w:rPr>
              <w:t>Treasurer, and Assistant Secretary</w:t>
            </w: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Arial" w:cs="Arial" w:eastAsia="Arial" w:hAnsi="Arial"/>
                <w:sz w:val="18"/>
                <w:szCs w:val="18"/>
                <w:color w:val="auto"/>
              </w:rPr>
              <w:t>Murray A. Goldberg</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i w:val="1"/>
                <w:iCs w:val="1"/>
                <w:color w:val="auto"/>
                <w:w w:val="95"/>
              </w:rPr>
              <w:t>(Principal Financial Officer)</w:t>
            </w:r>
          </w:p>
        </w:tc>
        <w:tc>
          <w:tcPr>
            <w:tcW w:w="0" w:type="dxa"/>
            <w:vAlign w:val="bottom"/>
          </w:tcPr>
          <w:p>
            <w:pPr>
              <w:spacing w:after="0"/>
              <w:rPr>
                <w:sz w:val="1"/>
                <w:szCs w:val="1"/>
                <w:color w:val="auto"/>
              </w:rPr>
            </w:pPr>
          </w:p>
        </w:tc>
      </w:tr>
      <w:tr>
        <w:trPr>
          <w:trHeight w:val="509"/>
        </w:trPr>
        <w:tc>
          <w:tcPr>
            <w:tcW w:w="5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Douglas S. McCorkle</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88"/>
              </w:rPr>
              <w:t>Vice President, Controller, and Assistant</w:t>
            </w: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Arial" w:cs="Arial" w:eastAsia="Arial" w:hAnsi="Arial"/>
                <w:sz w:val="18"/>
                <w:szCs w:val="18"/>
                <w:color w:val="auto"/>
              </w:rPr>
              <w:t>Douglas S. McCorkle</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0"/>
              </w:rPr>
              <w:t xml:space="preserve">Treasurer </w:t>
            </w:r>
            <w:r>
              <w:rPr>
                <w:rFonts w:ascii="Arial" w:cs="Arial" w:eastAsia="Arial" w:hAnsi="Arial"/>
                <w:sz w:val="18"/>
                <w:szCs w:val="18"/>
                <w:i w:val="1"/>
                <w:iCs w:val="1"/>
                <w:color w:val="auto"/>
                <w:w w:val="90"/>
              </w:rPr>
              <w:t>(Principal Accounting Officer)</w:t>
            </w:r>
          </w:p>
        </w:tc>
        <w:tc>
          <w:tcPr>
            <w:tcW w:w="0" w:type="dxa"/>
            <w:vAlign w:val="bottom"/>
          </w:tcPr>
          <w:p>
            <w:pPr>
              <w:spacing w:after="0"/>
              <w:rPr>
                <w:sz w:val="1"/>
                <w:szCs w:val="1"/>
                <w:color w:val="auto"/>
              </w:rPr>
            </w:pPr>
          </w:p>
        </w:tc>
      </w:tr>
      <w:tr>
        <w:trPr>
          <w:trHeight w:val="486"/>
        </w:trPr>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89"/>
              </w:rPr>
              <w:t>Executive Vice President, Chief Scientific</w:t>
            </w:r>
          </w:p>
        </w:tc>
        <w:tc>
          <w:tcPr>
            <w:tcW w:w="0" w:type="dxa"/>
            <w:vAlign w:val="bottom"/>
          </w:tcPr>
          <w:p>
            <w:pPr>
              <w:spacing w:after="0"/>
              <w:rPr>
                <w:sz w:val="1"/>
                <w:szCs w:val="1"/>
                <w:color w:val="auto"/>
              </w:rPr>
            </w:pPr>
          </w:p>
        </w:tc>
      </w:tr>
      <w:tr>
        <w:trPr>
          <w:trHeight w:val="243"/>
        </w:trPr>
        <w:tc>
          <w:tcPr>
            <w:tcW w:w="5780" w:type="dxa"/>
            <w:vAlign w:val="bottom"/>
            <w:gridSpan w:val="3"/>
          </w:tcPr>
          <w:p>
            <w:pPr>
              <w:spacing w:after="0"/>
              <w:rPr>
                <w:sz w:val="20"/>
                <w:szCs w:val="20"/>
                <w:color w:val="auto"/>
              </w:rPr>
            </w:pPr>
            <w:r>
              <w:rPr>
                <w:rFonts w:ascii="Arial" w:cs="Arial" w:eastAsia="Arial" w:hAnsi="Arial"/>
                <w:sz w:val="18"/>
                <w:szCs w:val="18"/>
                <w:color w:val="auto"/>
              </w:rPr>
              <w:t>/s/ George D. Yancopoulos</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86"/>
              </w:rPr>
              <w:t>Officer, President, Regeneron Research</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5660" w:type="dxa"/>
            <w:vAlign w:val="bottom"/>
            <w:gridSpan w:val="3"/>
            <w:vMerge w:val="restart"/>
          </w:tcPr>
          <w:p>
            <w:pPr>
              <w:jc w:val="center"/>
              <w:ind w:left="792"/>
              <w:spacing w:after="0"/>
              <w:rPr>
                <w:sz w:val="20"/>
                <w:szCs w:val="20"/>
                <w:color w:val="auto"/>
              </w:rPr>
            </w:pPr>
            <w:r>
              <w:rPr>
                <w:rFonts w:ascii="Arial" w:cs="Arial" w:eastAsia="Arial" w:hAnsi="Arial"/>
                <w:sz w:val="18"/>
                <w:szCs w:val="18"/>
                <w:color w:val="auto"/>
                <w:w w:val="89"/>
              </w:rPr>
              <w:t>Laboratories, and Director</w:t>
            </w: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George D. Yancopoulos, M.D., Ph.D.</w:t>
            </w:r>
          </w:p>
        </w:tc>
        <w:tc>
          <w:tcPr>
            <w:tcW w:w="56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P. Roy Vagelos, M.D.</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89"/>
              </w:rPr>
              <w:t>Chairman of the Board</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P. Roy Vagelos, M.D.</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Charles A. Baker</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Charles A. Baker</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Michael S. Brown</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Michael S. Brown, M.D.</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Alfred G. Gilman</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Alfred G. Gilman, M.D., Ph.D.</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Joseph L. Goldstein</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Joseph L. Goldstein, M.D.</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Arthur F. Ryan</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Arthur F. Ryan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Eric M. Shooter</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Eric M. Shooter</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780" w:type="dxa"/>
            <w:vAlign w:val="bottom"/>
            <w:gridSpan w:val="3"/>
          </w:tcPr>
          <w:p>
            <w:pPr>
              <w:spacing w:after="0"/>
              <w:rPr>
                <w:sz w:val="20"/>
                <w:szCs w:val="20"/>
                <w:color w:val="auto"/>
              </w:rPr>
            </w:pPr>
            <w:r>
              <w:rPr>
                <w:rFonts w:ascii="Arial" w:cs="Arial" w:eastAsia="Arial" w:hAnsi="Arial"/>
                <w:sz w:val="18"/>
                <w:szCs w:val="18"/>
                <w:color w:val="auto"/>
              </w:rPr>
              <w:t>/s/ George L. Sing</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9"/>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780" w:type="dxa"/>
            <w:vAlign w:val="bottom"/>
            <w:gridSpan w:val="3"/>
          </w:tcPr>
          <w:p>
            <w:pPr>
              <w:spacing w:after="0"/>
              <w:rPr>
                <w:sz w:val="20"/>
                <w:szCs w:val="20"/>
                <w:color w:val="auto"/>
              </w:rPr>
            </w:pPr>
            <w:r>
              <w:rPr>
                <w:rFonts w:ascii="Arial" w:cs="Arial" w:eastAsia="Arial" w:hAnsi="Arial"/>
                <w:sz w:val="18"/>
                <w:szCs w:val="18"/>
                <w:color w:val="auto"/>
              </w:rPr>
              <w:t>George L. Sing</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9"/>
        </w:trPr>
        <w:tc>
          <w:tcPr>
            <w:tcW w:w="5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Christine A. Poon</w:t>
            </w:r>
          </w:p>
        </w:tc>
        <w:tc>
          <w:tcPr>
            <w:tcW w:w="5660" w:type="dxa"/>
            <w:vAlign w:val="bottom"/>
            <w:gridSpan w:val="3"/>
          </w:tcPr>
          <w:p>
            <w:pPr>
              <w:jc w:val="center"/>
              <w:ind w:left="7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8"/>
        </w:trPr>
        <w:tc>
          <w:tcPr>
            <w:tcW w:w="5780" w:type="dxa"/>
            <w:vAlign w:val="bottom"/>
            <w:gridSpan w:val="3"/>
          </w:tcPr>
          <w:p>
            <w:pPr>
              <w:spacing w:after="0"/>
              <w:rPr>
                <w:sz w:val="20"/>
                <w:szCs w:val="20"/>
                <w:color w:val="auto"/>
              </w:rPr>
            </w:pPr>
            <w:r>
              <w:rPr>
                <w:rFonts w:ascii="Arial" w:cs="Arial" w:eastAsia="Arial" w:hAnsi="Arial"/>
                <w:sz w:val="18"/>
                <w:szCs w:val="18"/>
                <w:color w:val="auto"/>
              </w:rPr>
              <w:t>Christine A. Poon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5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8" w:right="21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1322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2"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Restated Certificate of Incorporation, filed February 11, 2008 with the New York Secretary of State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By-Laws of the Company, currently in effect (amended through November 9, 2007)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Skadden, Arps, Slate, Meagher &amp; Flom LLP (contained in the opinion filed as Exhibit 5.1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(included on the signature page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Second Amended and Restated 2000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4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Incorporated by reference to Annual Report on Form 10-K for the fiscal year ended December 31, 2007 filed with the Commission on February 27, 2008.</w:t>
      </w:r>
    </w:p>
    <w:p>
      <w:pPr>
        <w:spacing w:after="0" w:line="275" w:lineRule="exact"/>
        <w:rPr>
          <w:rFonts w:ascii="Arial" w:cs="Arial" w:eastAsia="Arial" w:hAnsi="Arial"/>
          <w:sz w:val="16"/>
          <w:szCs w:val="16"/>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with the Commission on November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u w:val="single" w:color="auto"/>
          <w:color w:val="auto"/>
        </w:rPr>
        <w:t>Exhibit 5.1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 Letterhead]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13,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We have acted as special counsel to Regeneron Pharmaceuticals, Inc., a New York corporation (the “Company”), and are delivering this opinion in connection with the Registration Statement on Form S-8 of the Company (the “Registration Statement”) being filed with the Securities and Exchange Commission (the “Commission”) on the date hereof, relating to the registration by the Company of 12,032,525 shares (the “Shares”) of the Company’s common stock, par value $0.001 per share (the “Common Stock”), authorized for issuance pursuant to the Company’s Second Amended and Restated 2000 Long-Term Incentive Plan (the “Plan”).</w:t>
      </w:r>
    </w:p>
    <w:p>
      <w:pPr>
        <w:spacing w:after="0" w:line="251"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“Act”).</w:t>
      </w:r>
    </w:p>
    <w:p>
      <w:pPr>
        <w:spacing w:after="0" w:line="240"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In connection with this opinion, we have examined and relied on originals or copies, certified or otherwise identified to our satisfaction, of (i) the Registration Statement on Form S-8 as filed with the Commission on the date hereof; (ii) the Plan; (iii) the Restated Certificate of Incorporation of the Company, certified by the Secretary of the Company as currently in effect; (iv) the By-Laws of the Company, certified by the Secretary of the Company as currently in effect; (v) a specimen certificate representing the Common Stock; (vi) certain resolutions adopted on April 1, 2011 by the Board of Directors of the Company relating to the Plan, the filing of the Registration Statement and certain related matters; and (vii) the Final Report of the Inspector of Election for the Company’s 2011 Annual Meeting of Shareholders, reflecting approval of the Plan (Proposal No. 3) by a majority of the votes cast in person or by proxy at such meeting. We have also examined originals or copies, certified or otherwise identified to our satisfaction, of such records of the Company and such other documents, certificates and records as we have deemed necessary or appropriate as a basis for the opinion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0" w:name="page11"/>
    <w:bookmarkEnd w:id="10"/>
    <w:p>
      <w:pPr>
        <w:ind w:right="20" w:firstLine="270"/>
        <w:spacing w:after="0" w:line="290"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 expressed herein that we did not independently establish or verify, we have relied upon statements and representations of officers and other representatives of the Company and others and of public officials.</w:t>
      </w:r>
    </w:p>
    <w:p>
      <w:pPr>
        <w:spacing w:after="0" w:line="226"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In rendering the opinion set forth below, we have assumed that the certificates evidencing the Shares will be manually signed by one of the authorized officers of the transfer agent and registrar for the Common Stock and registered by such transfer agent and registrar and will conform to the specimen certificate examined by us evidencing the Common Stock. We have also assumed that each award agreement setting forth the terms of each grant of options or other award under the Plan will be consistent with the Plan, duly authorized, and if applicable, validly executed and delivered by the parties thereto, and that the Shares will be issued in accordance with the terms of the Plan for consideration in an amount at least equal to the par value of such Shares.</w:t>
      </w:r>
    </w:p>
    <w:p>
      <w:pPr>
        <w:spacing w:after="0" w:line="224" w:lineRule="exact"/>
        <w:rPr>
          <w:sz w:val="20"/>
          <w:szCs w:val="20"/>
          <w:color w:val="auto"/>
        </w:rPr>
      </w:pPr>
    </w:p>
    <w:p>
      <w:pPr>
        <w:ind w:right="20" w:firstLine="270"/>
        <w:spacing w:after="0" w:line="332" w:lineRule="auto"/>
        <w:rPr>
          <w:sz w:val="20"/>
          <w:szCs w:val="20"/>
          <w:color w:val="auto"/>
        </w:rPr>
      </w:pPr>
      <w:r>
        <w:rPr>
          <w:rFonts w:ascii="Arial" w:cs="Arial" w:eastAsia="Arial" w:hAnsi="Arial"/>
          <w:sz w:val="16"/>
          <w:szCs w:val="16"/>
          <w:color w:val="auto"/>
        </w:rPr>
        <w:t>Members of our firm are admitted to the bar in the State of New York, and we do not express any opinion with respect to the law of any jurisdiction other than the corporate laws of the State of New York, and we do not express any opinion as to the effect of any other laws on the opinion stated herein.</w:t>
      </w:r>
    </w:p>
    <w:p>
      <w:pPr>
        <w:spacing w:after="0" w:line="193"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Based on and subject to the foregoing, we are of the opinion that the Shares have been duly authorized by the Company and, when the Shares are issued and paid for in full in accordance with the terms and conditions of the Plan and any applicable award agreement, the Shares will be validly issued, fully paid and nonassessable.</w:t>
      </w:r>
    </w:p>
    <w:p>
      <w:pPr>
        <w:spacing w:after="0" w:line="248" w:lineRule="exact"/>
        <w:rPr>
          <w:sz w:val="20"/>
          <w:szCs w:val="20"/>
          <w:color w:val="auto"/>
        </w:rPr>
      </w:pPr>
    </w:p>
    <w:p>
      <w:pPr>
        <w:ind w:right="360" w:firstLine="270"/>
        <w:spacing w:after="0" w:line="332" w:lineRule="auto"/>
        <w:rPr>
          <w:sz w:val="20"/>
          <w:szCs w:val="20"/>
          <w:color w:val="auto"/>
        </w:rPr>
      </w:pPr>
      <w:r>
        <w:rPr>
          <w:rFonts w:ascii="Arial" w:cs="Arial" w:eastAsia="Arial" w:hAnsi="Arial"/>
          <w:sz w:val="16"/>
          <w:szCs w:val="16"/>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Act or the rules and regulations of the Commission.</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u w:val="single" w:color="auto"/>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17, 2011 relating to the financial statements and the effectiveness of internal control over financial reporting, which appears in Regeneron Pharmaceuticals, Inc.'s Annual Report on Form 10-K for the year ended 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2000 LONG-TERM INCENTIVE PLAN</w:t>
      </w:r>
    </w:p>
    <w:p>
      <w:pPr>
        <w:spacing w:after="0" w:line="24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Purpose; Establishment</w:t>
      </w:r>
    </w:p>
    <w:p>
      <w:pPr>
        <w:spacing w:after="0" w:line="279"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The Second Amended and Restated Regeneron Pharmaceuticals, Inc. 2000 Long-Term Incentive Plan (the "Plan") is intended to promote the interests of the Company (as defined below) and its shareholders by providing officers and other employees of the Company (including directors who are also employees of the Company) with appropriate incentives and rewards to encourage them to enter into and continue in the employ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in fulfilling their personal responsibilities for long-range achievements.</w:t>
      </w:r>
    </w:p>
    <w:p>
      <w:pPr>
        <w:spacing w:after="0" w:line="228"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The Plan was adopted and approved by the Board of Directors (defined below) on April 25, 2000 and became effective as of such date, subject to the approval of the shareholders of the Company which occurred on June 9, 2000. Thereafter, and prior to the adoption and approval of this Second Amended and Restated 2000 Long-Term Incentive Plan, the Plan was amended and restated from time to time by the Board of Directors and such amendments and restatements were approved by the shareholders of the Company.</w:t>
      </w:r>
    </w:p>
    <w:p>
      <w:pPr>
        <w:spacing w:after="0" w:line="22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252" w:lineRule="exact"/>
        <w:rPr>
          <w:sz w:val="20"/>
          <w:szCs w:val="20"/>
          <w:color w:val="auto"/>
        </w:rPr>
      </w:pPr>
    </w:p>
    <w:p>
      <w:pPr>
        <w:ind w:left="720" w:right="20" w:hanging="442"/>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"Affiliate"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221" w:lineRule="exact"/>
        <w:rPr>
          <w:rFonts w:ascii="Arial" w:cs="Arial" w:eastAsia="Arial" w:hAnsi="Arial"/>
          <w:sz w:val="18"/>
          <w:szCs w:val="18"/>
          <w:color w:val="auto"/>
        </w:rPr>
      </w:pPr>
    </w:p>
    <w:p>
      <w:pPr>
        <w:ind w:left="720" w:hanging="44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"Agreement" shall mean the written agreement between the Company and a Participant evidencing an Award.</w:t>
      </w:r>
    </w:p>
    <w:p>
      <w:pPr>
        <w:spacing w:after="0" w:line="279" w:lineRule="exact"/>
        <w:rPr>
          <w:rFonts w:ascii="Arial" w:cs="Arial" w:eastAsia="Arial" w:hAnsi="Arial"/>
          <w:sz w:val="18"/>
          <w:szCs w:val="18"/>
          <w:color w:val="auto"/>
        </w:rPr>
      </w:pPr>
    </w:p>
    <w:p>
      <w:pPr>
        <w:ind w:left="720" w:hanging="442"/>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"Award" shall mean any Option, Restricted Stock, Phantom Stock, Stock Bonus or Other Award granted pursuant to the terms of the Plan.</w:t>
      </w:r>
    </w:p>
    <w:p>
      <w:pPr>
        <w:spacing w:after="0" w:line="302" w:lineRule="exact"/>
        <w:rPr>
          <w:rFonts w:ascii="Arial" w:cs="Arial" w:eastAsia="Arial" w:hAnsi="Arial"/>
          <w:sz w:val="16"/>
          <w:szCs w:val="16"/>
          <w:color w:val="auto"/>
        </w:rPr>
      </w:pPr>
    </w:p>
    <w:p>
      <w:pPr>
        <w:ind w:left="720" w:hanging="44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of Directors" shall mean the Board of Directors of Regeneron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3" w:name="page14"/>
    <w:bookmarkEnd w:id="13"/>
    <w:p>
      <w:pPr>
        <w:ind w:left="482" w:hanging="482"/>
        <w:spacing w:after="0"/>
        <w:tabs>
          <w:tab w:leader="none" w:pos="482"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"Change in Control" shall be deemed to have occurred if the event set forth in any one of the following paragraphs shall have occurred:</w:t>
      </w:r>
    </w:p>
    <w:p>
      <w:pPr>
        <w:spacing w:after="0" w:line="302" w:lineRule="exact"/>
        <w:rPr>
          <w:rFonts w:ascii="Arial" w:cs="Arial" w:eastAsia="Arial" w:hAnsi="Arial"/>
          <w:sz w:val="16"/>
          <w:szCs w:val="16"/>
          <w:color w:val="auto"/>
        </w:rPr>
      </w:pPr>
    </w:p>
    <w:p>
      <w:pPr>
        <w:ind w:left="962" w:right="40" w:hanging="489"/>
        <w:spacing w:after="0" w:line="298" w:lineRule="auto"/>
        <w:tabs>
          <w:tab w:leader="none" w:pos="962"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Person is or becomes the "Beneficial Owner" (as defined in Rule 13d- 3 under the Exchange Act),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193" w:lineRule="exact"/>
        <w:rPr>
          <w:rFonts w:ascii="Arial" w:cs="Arial" w:eastAsia="Arial" w:hAnsi="Arial"/>
          <w:sz w:val="16"/>
          <w:szCs w:val="16"/>
          <w:color w:val="auto"/>
        </w:rPr>
      </w:pPr>
    </w:p>
    <w:p>
      <w:pPr>
        <w:ind w:left="962" w:hanging="489"/>
        <w:spacing w:after="0" w:line="291" w:lineRule="auto"/>
        <w:tabs>
          <w:tab w:leader="none" w:pos="96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201" w:lineRule="exact"/>
        <w:rPr>
          <w:rFonts w:ascii="Arial" w:cs="Arial" w:eastAsia="Arial" w:hAnsi="Arial"/>
          <w:sz w:val="16"/>
          <w:szCs w:val="16"/>
          <w:color w:val="auto"/>
        </w:rPr>
      </w:pPr>
    </w:p>
    <w:p>
      <w:pPr>
        <w:ind w:left="962" w:right="80" w:hanging="489"/>
        <w:spacing w:after="0" w:line="289" w:lineRule="auto"/>
        <w:tabs>
          <w:tab w:leader="none" w:pos="96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99" w:lineRule="exact"/>
        <w:rPr>
          <w:rFonts w:ascii="Arial" w:cs="Arial" w:eastAsia="Arial" w:hAnsi="Arial"/>
          <w:sz w:val="16"/>
          <w:szCs w:val="16"/>
          <w:color w:val="auto"/>
        </w:rPr>
      </w:pPr>
    </w:p>
    <w:p>
      <w:pPr>
        <w:ind w:left="962" w:right="20" w:hanging="489"/>
        <w:spacing w:after="0" w:line="298" w:lineRule="auto"/>
        <w:tabs>
          <w:tab w:leader="none" w:pos="96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67" w:lineRule="exact"/>
        <w:rPr>
          <w:sz w:val="20"/>
          <w:szCs w:val="20"/>
          <w:color w:val="auto"/>
        </w:rPr>
      </w:pPr>
    </w:p>
    <w:p>
      <w:pPr>
        <w:jc w:val="center"/>
        <w:ind w:right="21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82"/>
          </w:cols>
          <w:pgMar w:left="518" w:top="617" w:right="299" w:bottom="1440" w:gutter="0" w:footer="0" w:header="0"/>
        </w:sectPr>
      </w:pPr>
    </w:p>
    <w:bookmarkStart w:id="14" w:name="page15"/>
    <w:bookmarkEnd w:id="14"/>
    <w:p>
      <w:pPr>
        <w:ind w:left="522" w:hanging="522"/>
        <w:spacing w:after="0"/>
        <w:tabs>
          <w:tab w:leader="none" w:pos="5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"Code" shall mean the Internal Revenue Code of 1986, as amended from time to time, and any regulations promulgated thereunder.</w:t>
      </w:r>
    </w:p>
    <w:p>
      <w:pPr>
        <w:spacing w:after="0" w:line="302" w:lineRule="exact"/>
        <w:rPr>
          <w:rFonts w:ascii="Arial" w:cs="Arial" w:eastAsia="Arial" w:hAnsi="Arial"/>
          <w:sz w:val="16"/>
          <w:szCs w:val="16"/>
          <w:color w:val="auto"/>
        </w:rPr>
      </w:pPr>
    </w:p>
    <w:p>
      <w:pPr>
        <w:jc w:val="both"/>
        <w:ind w:left="522" w:hanging="522"/>
        <w:spacing w:after="0" w:line="306" w:lineRule="auto"/>
        <w:tabs>
          <w:tab w:leader="none" w:pos="5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"Committee"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w:t>
      </w:r>
    </w:p>
    <w:p>
      <w:pPr>
        <w:spacing w:after="0" w:line="187" w:lineRule="exact"/>
        <w:rPr>
          <w:rFonts w:ascii="Arial" w:cs="Arial" w:eastAsia="Arial" w:hAnsi="Arial"/>
          <w:sz w:val="16"/>
          <w:szCs w:val="16"/>
          <w:color w:val="auto"/>
        </w:rPr>
      </w:pPr>
    </w:p>
    <w:p>
      <w:pPr>
        <w:ind w:left="522" w:hanging="522"/>
        <w:spacing w:after="0"/>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shall mean Regeneron Pharmaceuticals, Inc., a New York corporation, and, where appropriate, each of its Affiliates.</w:t>
      </w:r>
    </w:p>
    <w:p>
      <w:pPr>
        <w:spacing w:after="0" w:line="279" w:lineRule="exact"/>
        <w:rPr>
          <w:rFonts w:ascii="Arial" w:cs="Arial" w:eastAsia="Arial" w:hAnsi="Arial"/>
          <w:sz w:val="18"/>
          <w:szCs w:val="18"/>
          <w:color w:val="auto"/>
        </w:rPr>
      </w:pPr>
    </w:p>
    <w:p>
      <w:pPr>
        <w:ind w:left="522" w:hanging="522"/>
        <w:spacing w:after="0"/>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Stock" shall mean the common stock of the Company, par value $.001 per share.</w:t>
      </w:r>
    </w:p>
    <w:p>
      <w:pPr>
        <w:spacing w:after="0" w:line="279" w:lineRule="exact"/>
        <w:rPr>
          <w:rFonts w:ascii="Arial" w:cs="Arial" w:eastAsia="Arial" w:hAnsi="Arial"/>
          <w:sz w:val="18"/>
          <w:szCs w:val="18"/>
          <w:color w:val="auto"/>
        </w:rPr>
      </w:pPr>
    </w:p>
    <w:p>
      <w:pPr>
        <w:ind w:left="522" w:hanging="522"/>
        <w:spacing w:after="0"/>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"Covered Employee" shall have the meaning set forth in Section 162(m) of the Code.</w:t>
      </w:r>
    </w:p>
    <w:p>
      <w:pPr>
        <w:spacing w:after="0" w:line="279" w:lineRule="exact"/>
        <w:rPr>
          <w:rFonts w:ascii="Arial" w:cs="Arial" w:eastAsia="Arial" w:hAnsi="Arial"/>
          <w:sz w:val="18"/>
          <w:szCs w:val="18"/>
          <w:color w:val="auto"/>
        </w:rPr>
      </w:pPr>
    </w:p>
    <w:p>
      <w:pPr>
        <w:ind w:left="522" w:hanging="522"/>
        <w:spacing w:after="0"/>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Date" shall mean April 25, 2000.</w:t>
      </w:r>
    </w:p>
    <w:p>
      <w:pPr>
        <w:spacing w:after="0" w:line="279" w:lineRule="exact"/>
        <w:rPr>
          <w:rFonts w:ascii="Arial" w:cs="Arial" w:eastAsia="Arial" w:hAnsi="Arial"/>
          <w:sz w:val="18"/>
          <w:szCs w:val="18"/>
          <w:color w:val="auto"/>
        </w:rPr>
      </w:pPr>
    </w:p>
    <w:p>
      <w:pPr>
        <w:ind w:left="522" w:hanging="522"/>
        <w:spacing w:after="0"/>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279" w:lineRule="exact"/>
        <w:rPr>
          <w:rFonts w:ascii="Arial" w:cs="Arial" w:eastAsia="Arial" w:hAnsi="Arial"/>
          <w:sz w:val="18"/>
          <w:szCs w:val="18"/>
          <w:color w:val="auto"/>
        </w:rPr>
      </w:pPr>
    </w:p>
    <w:p>
      <w:pPr>
        <w:ind w:left="522" w:right="80" w:hanging="522"/>
        <w:spacing w:after="0" w:line="294" w:lineRule="auto"/>
        <w:tabs>
          <w:tab w:leader="none" w:pos="5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Market Value"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196" w:lineRule="exact"/>
        <w:rPr>
          <w:rFonts w:ascii="Arial" w:cs="Arial" w:eastAsia="Arial" w:hAnsi="Arial"/>
          <w:sz w:val="16"/>
          <w:szCs w:val="16"/>
          <w:color w:val="auto"/>
        </w:rPr>
      </w:pPr>
    </w:p>
    <w:p>
      <w:pPr>
        <w:ind w:left="522" w:right="180" w:hanging="522"/>
        <w:spacing w:after="0" w:line="268" w:lineRule="auto"/>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"Incentive Stock Option" shall mean an Option that is an "incentive stock option" within the meaning of Section 422 of the Code, or any successor provision, and that is designated by the Committee as an Incentive Stock Option.</w:t>
      </w:r>
    </w:p>
    <w:p>
      <w:pPr>
        <w:spacing w:after="0" w:line="212" w:lineRule="exact"/>
        <w:rPr>
          <w:rFonts w:ascii="Arial" w:cs="Arial" w:eastAsia="Arial" w:hAnsi="Arial"/>
          <w:sz w:val="18"/>
          <w:szCs w:val="18"/>
          <w:color w:val="auto"/>
        </w:rPr>
      </w:pPr>
    </w:p>
    <w:p>
      <w:pPr>
        <w:ind w:left="522" w:hanging="522"/>
        <w:spacing w:after="0"/>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"Nonemployee Director" shall mean a member of the Board of Directors who is not an employee of the Company.</w:t>
      </w:r>
    </w:p>
    <w:p>
      <w:pPr>
        <w:spacing w:after="0" w:line="279" w:lineRule="exact"/>
        <w:rPr>
          <w:rFonts w:ascii="Arial" w:cs="Arial" w:eastAsia="Arial" w:hAnsi="Arial"/>
          <w:sz w:val="18"/>
          <w:szCs w:val="18"/>
          <w:color w:val="auto"/>
        </w:rPr>
      </w:pPr>
    </w:p>
    <w:p>
      <w:pPr>
        <w:ind w:left="522" w:hanging="522"/>
        <w:spacing w:after="0"/>
        <w:tabs>
          <w:tab w:leader="none" w:pos="5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"Nonqualified Stock Option" shall mean an Option other than an Incentive Stock Option.</w:t>
      </w:r>
    </w:p>
    <w:p>
      <w:pPr>
        <w:spacing w:after="0" w:line="252" w:lineRule="exact"/>
        <w:rPr>
          <w:sz w:val="20"/>
          <w:szCs w:val="20"/>
          <w:color w:val="auto"/>
        </w:rPr>
      </w:pPr>
    </w:p>
    <w:p>
      <w:pPr>
        <w:jc w:val="center"/>
        <w:ind w:right="15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22"/>
          </w:cols>
          <w:pgMar w:left="518" w:top="617" w:right="359" w:bottom="1440" w:gutter="0" w:footer="0" w:header="0"/>
        </w:sectPr>
      </w:pPr>
    </w:p>
    <w:bookmarkStart w:id="15" w:name="page16"/>
    <w:bookmarkEnd w:id="15"/>
    <w:p>
      <w:pPr>
        <w:ind w:left="840" w:right="380" w:hanging="562"/>
        <w:spacing w:after="0" w:line="268"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 shall mean an option to purchase shares of Company Stock granted pursuant to Section 7 (or, with respect to a Nonemployee Director, pursuant to Section 12 hereof).</w:t>
      </w:r>
    </w:p>
    <w:p>
      <w:pPr>
        <w:spacing w:after="0" w:line="212" w:lineRule="exact"/>
        <w:rPr>
          <w:rFonts w:ascii="Arial" w:cs="Arial" w:eastAsia="Arial" w:hAnsi="Arial"/>
          <w:sz w:val="18"/>
          <w:szCs w:val="18"/>
          <w:color w:val="auto"/>
        </w:rPr>
      </w:pPr>
    </w:p>
    <w:p>
      <w:pPr>
        <w:ind w:left="840" w:hanging="56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Award" shall mean an award granted pursuant to Section 11 hereof.</w:t>
      </w:r>
    </w:p>
    <w:p>
      <w:pPr>
        <w:spacing w:after="0" w:line="279" w:lineRule="exact"/>
        <w:rPr>
          <w:rFonts w:ascii="Arial" w:cs="Arial" w:eastAsia="Arial" w:hAnsi="Arial"/>
          <w:sz w:val="18"/>
          <w:szCs w:val="18"/>
          <w:color w:val="auto"/>
        </w:rPr>
      </w:pPr>
    </w:p>
    <w:p>
      <w:pPr>
        <w:ind w:left="840" w:right="400" w:hanging="562"/>
        <w:spacing w:after="0" w:line="268"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"Participant" shall mean an employee or consultant of the Company to whom an Award is granted pursuant to the Plan, or upon the death of the employee or consultant, his or her successors, heirs, executors and administrators, as the case may be.</w:t>
      </w:r>
    </w:p>
    <w:p>
      <w:pPr>
        <w:spacing w:after="0" w:line="212" w:lineRule="exact"/>
        <w:rPr>
          <w:rFonts w:ascii="Arial" w:cs="Arial" w:eastAsia="Arial" w:hAnsi="Arial"/>
          <w:sz w:val="18"/>
          <w:szCs w:val="18"/>
          <w:color w:val="auto"/>
        </w:rPr>
      </w:pPr>
    </w:p>
    <w:p>
      <w:pPr>
        <w:ind w:left="840" w:right="120" w:hanging="562"/>
        <w:spacing w:after="0" w:line="305" w:lineRule="auto"/>
        <w:tabs>
          <w:tab w:leader="none" w:pos="8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w:t>
      </w:r>
    </w:p>
    <w:p>
      <w:pPr>
        <w:ind w:left="840" w:right="140"/>
        <w:spacing w:after="0" w:line="261" w:lineRule="auto"/>
        <w:rPr>
          <w:rFonts w:ascii="Arial" w:cs="Arial" w:eastAsia="Arial" w:hAnsi="Arial"/>
          <w:sz w:val="15"/>
          <w:szCs w:val="15"/>
          <w:color w:val="auto"/>
        </w:rPr>
      </w:pPr>
      <w:r>
        <w:rPr>
          <w:rFonts w:ascii="Arial" w:cs="Arial" w:eastAsia="Arial" w:hAnsi="Arial"/>
          <w:sz w:val="18"/>
          <w:szCs w:val="18"/>
          <w:color w:val="auto"/>
        </w:rPr>
        <w:t>(3) an underwriter temporarily holding securities pursuant to an offering of such securities, or (4) a corporation owned, directly or indirectly, by the shareholders of the Company in substantially the same proportions as their ownership of stock of the Company.</w:t>
      </w:r>
    </w:p>
    <w:p>
      <w:pPr>
        <w:spacing w:after="0" w:line="218" w:lineRule="exact"/>
        <w:rPr>
          <w:rFonts w:ascii="Arial" w:cs="Arial" w:eastAsia="Arial" w:hAnsi="Arial"/>
          <w:sz w:val="15"/>
          <w:szCs w:val="15"/>
          <w:color w:val="auto"/>
        </w:rPr>
      </w:pPr>
    </w:p>
    <w:p>
      <w:pPr>
        <w:ind w:left="840" w:hanging="562"/>
        <w:spacing w:after="0"/>
        <w:tabs>
          <w:tab w:leader="none" w:pos="8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"Phantom Stock" shall mean the right, granted pursuant to Section 9, to receive in cash or shares the Fair Market Value of a share of Company Stock.</w:t>
      </w:r>
    </w:p>
    <w:p>
      <w:pPr>
        <w:spacing w:after="0" w:line="313" w:lineRule="exact"/>
        <w:rPr>
          <w:rFonts w:ascii="Arial" w:cs="Arial" w:eastAsia="Arial" w:hAnsi="Arial"/>
          <w:sz w:val="15"/>
          <w:szCs w:val="15"/>
          <w:color w:val="auto"/>
        </w:rPr>
      </w:pPr>
    </w:p>
    <w:p>
      <w:pPr>
        <w:ind w:left="840" w:right="480" w:hanging="562"/>
        <w:spacing w:after="0" w:line="268"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shall mean a share of Company Stock which is granted pursuant to the terms of Section 8 hereof and which is subject to the restrictions set forth in Section 8(d).</w:t>
      </w:r>
    </w:p>
    <w:p>
      <w:pPr>
        <w:spacing w:after="0" w:line="212" w:lineRule="exact"/>
        <w:rPr>
          <w:rFonts w:ascii="Arial" w:cs="Arial" w:eastAsia="Arial" w:hAnsi="Arial"/>
          <w:sz w:val="18"/>
          <w:szCs w:val="18"/>
          <w:color w:val="auto"/>
        </w:rPr>
      </w:pPr>
    </w:p>
    <w:p>
      <w:pPr>
        <w:ind w:left="840" w:hanging="56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 16b-3" shall mean the Rule 16b-3 promulgated under the Exchange Act, as amended from time to time.</w:t>
      </w:r>
    </w:p>
    <w:p>
      <w:pPr>
        <w:spacing w:after="0" w:line="279" w:lineRule="exact"/>
        <w:rPr>
          <w:rFonts w:ascii="Arial" w:cs="Arial" w:eastAsia="Arial" w:hAnsi="Arial"/>
          <w:sz w:val="18"/>
          <w:szCs w:val="18"/>
          <w:color w:val="auto"/>
        </w:rPr>
      </w:pPr>
    </w:p>
    <w:p>
      <w:pPr>
        <w:ind w:left="840" w:hanging="56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Act" shall mean the Securities Act of 1933, as amended from time to time.</w:t>
      </w:r>
    </w:p>
    <w:p>
      <w:pPr>
        <w:spacing w:after="0" w:line="279" w:lineRule="exact"/>
        <w:rPr>
          <w:rFonts w:ascii="Arial" w:cs="Arial" w:eastAsia="Arial" w:hAnsi="Arial"/>
          <w:sz w:val="18"/>
          <w:szCs w:val="18"/>
          <w:color w:val="auto"/>
        </w:rPr>
      </w:pPr>
    </w:p>
    <w:p>
      <w:pPr>
        <w:ind w:left="840" w:hanging="56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Bonus" shall mean a bonus payable in shares of Company Stock granted pursuant to Section 10.</w:t>
      </w:r>
    </w:p>
    <w:p>
      <w:pPr>
        <w:spacing w:after="0" w:line="279" w:lineRule="exact"/>
        <w:rPr>
          <w:rFonts w:ascii="Arial" w:cs="Arial" w:eastAsia="Arial" w:hAnsi="Arial"/>
          <w:sz w:val="18"/>
          <w:szCs w:val="18"/>
          <w:color w:val="auto"/>
        </w:rPr>
      </w:pPr>
    </w:p>
    <w:p>
      <w:pPr>
        <w:ind w:left="840" w:hanging="56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"Subsidiary" shall mean a "subsidiary corporation" within the meaning of Section 424(f) of the Code.</w:t>
      </w:r>
    </w:p>
    <w:p>
      <w:pPr>
        <w:spacing w:after="0" w:line="279" w:lineRule="exact"/>
        <w:rPr>
          <w:sz w:val="20"/>
          <w:szCs w:val="20"/>
          <w:color w:val="auto"/>
        </w:rPr>
      </w:pPr>
    </w:p>
    <w:p>
      <w:pPr>
        <w:ind w:left="840" w:hanging="562"/>
        <w:spacing w:after="0"/>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"Vesting Date" shall mean the date established by the Committee on which a share of Restricted Stock or Phantom Stock may vest.</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252" w:lineRule="exact"/>
        <w:rPr>
          <w:rFonts w:ascii="Arial" w:cs="Arial" w:eastAsia="Arial" w:hAnsi="Arial"/>
          <w:sz w:val="18"/>
          <w:szCs w:val="18"/>
          <w:color w:val="auto"/>
        </w:rPr>
      </w:pPr>
    </w:p>
    <w:p>
      <w:pPr>
        <w:ind w:left="760" w:hanging="482"/>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Shares Available for Awards</w:t>
      </w:r>
    </w:p>
    <w:p>
      <w:pPr>
        <w:spacing w:after="0" w:line="306"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17" w:right="339" w:bottom="1440" w:gutter="0" w:footer="0" w:header="0"/>
        </w:sectPr>
      </w:pPr>
    </w:p>
    <w:bookmarkStart w:id="16" w:name="page17"/>
    <w:bookmarkEnd w:id="16"/>
    <w:p>
      <w:pPr>
        <w:ind w:right="140" w:firstLine="270"/>
        <w:spacing w:after="0" w:line="294" w:lineRule="auto"/>
        <w:rPr>
          <w:sz w:val="20"/>
          <w:szCs w:val="20"/>
          <w:color w:val="auto"/>
        </w:rPr>
      </w:pPr>
      <w:r>
        <w:rPr>
          <w:rFonts w:ascii="Arial" w:cs="Arial" w:eastAsia="Arial" w:hAnsi="Arial"/>
          <w:sz w:val="16"/>
          <w:szCs w:val="16"/>
          <w:color w:val="auto"/>
        </w:rPr>
        <w:t>Subject to the subsequent provisions of this Section 3, including the adjustment provisions contained herein, the maximum number of shares of Company Stock that may be delivered pursuant to Awards made under the Plan shall equal the sum of: (i) 13,059,196 shares of Company Stock; (ii) 22,337,847 shares of Company Stock (which represent the amount of shares subject to Awards outstanding under the Plan as of April 1, 2011); and (iii) any shares of Company Stock that again become available for Awards pursuant to Section 3(e) below. Notwithstanding the foregoing, the maximum number of shares of Company Stock that may be issued pursuant to Incentive Stock Options shall be 28,500,000 shares.</w:t>
      </w:r>
    </w:p>
    <w:p>
      <w:pPr>
        <w:spacing w:after="0" w:line="197" w:lineRule="exact"/>
        <w:rPr>
          <w:sz w:val="20"/>
          <w:szCs w:val="20"/>
          <w:color w:val="auto"/>
        </w:rPr>
      </w:pPr>
    </w:p>
    <w:p>
      <w:pPr>
        <w:ind w:left="760" w:hanging="48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Individual Limitation</w:t>
      </w:r>
    </w:p>
    <w:p>
      <w:pPr>
        <w:spacing w:after="0" w:line="30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To the extent required by Section 162(m) of the Code, the total number of shares of Company Stock subject to Awards (including Awards which may be payable in cash but denominated as shares of Company Stock, i.e., Phantom Stock), awarded to any employee shall not exceed 1,500,000 shares during any tax year of the Company in which the employee first becomes employed by the Company or a Subsidiary, or 1,000,000 shares in any other tax year of the Company (in each case subject to adjustment as provided herein). In addition, for any tax year of the Company, the maximum number of shares of Restricted Stock that may be granted to a Covered Employee for which the lapse of the restrictions of Section 8(d) is subject to the attainment of preestablished performance goals in accordance with Section 8(j) shall not exceed 200,000 (subject to adjustment as provided herein).</w:t>
      </w:r>
    </w:p>
    <w:p>
      <w:pPr>
        <w:spacing w:after="0" w:line="201" w:lineRule="exact"/>
        <w:rPr>
          <w:sz w:val="20"/>
          <w:szCs w:val="20"/>
          <w:color w:val="auto"/>
        </w:rPr>
      </w:pPr>
    </w:p>
    <w:p>
      <w:pPr>
        <w:ind w:left="760" w:hanging="48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p>
    <w:p>
      <w:pPr>
        <w:spacing w:after="0" w:line="306"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and (4) the maximum number of shares subject to Awards which may be awarded to any employee during any tax year of the Company shall be equitably adjusted as necessary to prevent the dilution or enlargement of the rights of Participants and Nonemployee Directors without change in the aggregate purchase price; provided that, with respect to Incentive Stock Options, such adjustment shall be made in accordance with Section 424 of the Code.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7" w:name="page18"/>
    <w:bookmarkEnd w:id="17"/>
    <w:p>
      <w:pPr>
        <w:ind w:left="760" w:hanging="48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Adjustment for Change or Exchange of Shares for Other Consideration</w:t>
      </w:r>
    </w:p>
    <w:p>
      <w:pPr>
        <w:spacing w:after="0" w:line="279"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("Transaction"),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205" w:lineRule="exact"/>
        <w:rPr>
          <w:sz w:val="20"/>
          <w:szCs w:val="20"/>
          <w:color w:val="auto"/>
        </w:rPr>
      </w:pPr>
    </w:p>
    <w:p>
      <w:pPr>
        <w:ind w:left="760" w:hanging="48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Reuse of Shares</w:t>
      </w:r>
    </w:p>
    <w:p>
      <w:pPr>
        <w:spacing w:after="0" w:line="306"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and (2) any previously owned or withheld shares of Company Stock obtained by the Participant pursuant to an Option exercise and received by the Company (whether by actual delivery or attestation) in exchange for Option shares upon a Participant's exercise of an Option, as permitted under Section 7(c)(3) hereof.</w:t>
      </w:r>
    </w:p>
    <w:p>
      <w:pPr>
        <w:spacing w:after="0" w:line="194"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79"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8" w:name="page19"/>
    <w:bookmarkEnd w:id="18"/>
    <w:p>
      <w:pPr>
        <w:ind w:firstLine="270"/>
        <w:spacing w:after="0" w:line="294" w:lineRule="auto"/>
        <w:rPr>
          <w:sz w:val="20"/>
          <w:szCs w:val="20"/>
          <w:color w:val="auto"/>
        </w:rPr>
      </w:pPr>
      <w:r>
        <w:rPr>
          <w:rFonts w:ascii="Arial" w:cs="Arial" w:eastAsia="Arial" w:hAnsi="Arial"/>
          <w:sz w:val="16"/>
          <w:szCs w:val="16"/>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subject to Section (b) hereof, accelerate the Vesting Date, or waive any condition imposed hereunder, with respect to any share of Restricted Stock, Phantom Stock or other Award or otherwise adjust any of the terms applicable to any such Award. Except pursuant to the operation of Section 3(c) or 3(d), the Committee shall not have the authority to decrease the exercise price of Options granted under the Plan.</w:t>
      </w:r>
    </w:p>
    <w:p>
      <w:pPr>
        <w:spacing w:after="0" w:line="19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79"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in each case as the Committee shall select from time to time. Nonqualified Stock Options shall be granted to Nonemployee Directors in accordance with the provisions of Section 12 hereof and as otherwise determined by the Committee. The grant of any Award hereunder at any time to any employee, service provider or consultant shall not entitle such person to a grant of an Award at any future time.</w:t>
      </w:r>
    </w:p>
    <w:p>
      <w:pPr>
        <w:spacing w:after="0" w:line="224"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Awards Under the Plan; Agreement</w:t>
      </w:r>
    </w:p>
    <w:p>
      <w:pPr>
        <w:spacing w:after="0" w:line="279" w:lineRule="exact"/>
        <w:rPr>
          <w:sz w:val="20"/>
          <w:szCs w:val="20"/>
          <w:color w:val="auto"/>
        </w:rPr>
      </w:pPr>
    </w:p>
    <w:p>
      <w:pPr>
        <w:ind w:right="300" w:firstLine="270"/>
        <w:spacing w:after="0" w:line="259" w:lineRule="auto"/>
        <w:rPr>
          <w:sz w:val="20"/>
          <w:szCs w:val="20"/>
          <w:color w:val="auto"/>
        </w:rPr>
      </w:pPr>
      <w:r>
        <w:rPr>
          <w:rFonts w:ascii="Arial" w:cs="Arial" w:eastAsia="Arial" w:hAnsi="Arial"/>
          <w:sz w:val="18"/>
          <w:szCs w:val="18"/>
          <w:color w:val="auto"/>
        </w:rPr>
        <w:t>The Committee may grant Options, shares of Restricted Stock, shares of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248" w:lineRule="exact"/>
        <w:rPr>
          <w:sz w:val="20"/>
          <w:szCs w:val="20"/>
          <w:color w:val="auto"/>
        </w:rPr>
      </w:pPr>
    </w:p>
    <w:p>
      <w:pPr>
        <w:ind w:right="280" w:firstLine="270"/>
        <w:spacing w:after="0" w:line="306" w:lineRule="auto"/>
        <w:rPr>
          <w:sz w:val="20"/>
          <w:szCs w:val="20"/>
          <w:color w:val="auto"/>
        </w:rPr>
      </w:pPr>
      <w:r>
        <w:rPr>
          <w:rFonts w:ascii="Arial" w:cs="Arial" w:eastAsia="Arial" w:hAnsi="Arial"/>
          <w:sz w:val="16"/>
          <w:szCs w:val="16"/>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88"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252" w:lineRule="exact"/>
        <w:rPr>
          <w:rFonts w:ascii="Arial" w:cs="Arial" w:eastAsia="Arial" w:hAnsi="Arial"/>
          <w:sz w:val="18"/>
          <w:szCs w:val="18"/>
          <w:color w:val="auto"/>
        </w:rPr>
      </w:pPr>
    </w:p>
    <w:p>
      <w:pPr>
        <w:ind w:left="760" w:hanging="482"/>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p>
    <w:p>
      <w:pPr>
        <w:spacing w:after="0" w:line="29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6"/>
          <w:szCs w:val="16"/>
          <w:color w:val="auto"/>
        </w:rPr>
        <w:t>Each Option shall be clearly identified in the applicable Agreement as either an Incentive Stock Option or a Nonqualified Stock Option.</w:t>
      </w:r>
    </w:p>
    <w:p>
      <w:pPr>
        <w:spacing w:after="0" w:line="288" w:lineRule="exact"/>
        <w:rPr>
          <w:rFonts w:ascii="Arial" w:cs="Arial" w:eastAsia="Arial" w:hAnsi="Arial"/>
          <w:sz w:val="18"/>
          <w:szCs w:val="18"/>
          <w:color w:val="auto"/>
        </w:rPr>
      </w:pPr>
    </w:p>
    <w:p>
      <w:pPr>
        <w:ind w:left="760" w:hanging="482"/>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Exercise Price</w:t>
      </w:r>
    </w:p>
    <w:p>
      <w:pPr>
        <w:spacing w:after="0" w:line="279" w:lineRule="exact"/>
        <w:rPr>
          <w:rFonts w:ascii="Arial" w:cs="Arial" w:eastAsia="Arial" w:hAnsi="Arial"/>
          <w:sz w:val="18"/>
          <w:szCs w:val="18"/>
          <w:color w:val="auto"/>
        </w:rPr>
      </w:pPr>
    </w:p>
    <w:p>
      <w:pPr>
        <w:ind w:left="760"/>
        <w:spacing w:after="0" w:line="306" w:lineRule="auto"/>
        <w:rPr>
          <w:rFonts w:ascii="Arial" w:cs="Arial" w:eastAsia="Arial" w:hAnsi="Arial"/>
          <w:sz w:val="18"/>
          <w:szCs w:val="18"/>
          <w:color w:val="auto"/>
        </w:rPr>
      </w:pPr>
      <w:r>
        <w:rPr>
          <w:rFonts w:ascii="Arial" w:cs="Arial" w:eastAsia="Arial" w:hAnsi="Arial"/>
          <w:sz w:val="16"/>
          <w:szCs w:val="16"/>
          <w:color w:val="auto"/>
        </w:rPr>
        <w:t>Each Agreement with respect to an Option shall set forth the amount (the "option exercise price") payable by the grantee to the Company upon exercise of the Option. The option exercise price per share shall be determined by the Committee; provided, however, that the option exercise price shall in no event be less than the Fair Market Value of a share of Company Stock on the date the Option is granted.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9" w:name="page20"/>
    <w:bookmarkEnd w:id="19"/>
    <w:p>
      <w:pPr>
        <w:ind w:left="482" w:hanging="482"/>
        <w:spacing w:after="0"/>
        <w:tabs>
          <w:tab w:leader="none" w:pos="48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p>
    <w:p>
      <w:pPr>
        <w:spacing w:after="0" w:line="279" w:lineRule="exact"/>
        <w:rPr>
          <w:rFonts w:ascii="Arial" w:cs="Arial" w:eastAsia="Arial" w:hAnsi="Arial"/>
          <w:sz w:val="18"/>
          <w:szCs w:val="18"/>
          <w:color w:val="auto"/>
        </w:rPr>
      </w:pPr>
    </w:p>
    <w:p>
      <w:pPr>
        <w:jc w:val="both"/>
        <w:ind w:left="982" w:right="80" w:hanging="496"/>
        <w:spacing w:after="0" w:line="306" w:lineRule="auto"/>
        <w:tabs>
          <w:tab w:leader="none" w:pos="982" w:val="left"/>
        </w:tabs>
        <w:numPr>
          <w:ilvl w:val="1"/>
          <w:numId w:val="22"/>
        </w:numPr>
        <w:rPr>
          <w:rFonts w:ascii="Arial" w:cs="Arial" w:eastAsia="Arial" w:hAnsi="Arial"/>
          <w:sz w:val="16"/>
          <w:szCs w:val="16"/>
          <w:color w:val="auto"/>
        </w:rPr>
      </w:pPr>
      <w:r>
        <w:rPr>
          <w:rFonts w:ascii="Arial" w:cs="Arial" w:eastAsia="Arial" w:hAnsi="Arial"/>
          <w:sz w:val="16"/>
          <w:szCs w:val="16"/>
          <w:color w:val="auto"/>
        </w:rPr>
        <w:t>Unless the applicable Agreement provides otherwise, an Option shall become cumulatively exercisable as to 20% of the shares covered thereby on each of the first, second, third, fourth, and fifth anniversaries of the date of grant. The Committee shall determine the expiration date of each Option; provided, however, that no Incentive Stock Option shall be exercisable more than ten (10) years after the date of grant.</w:t>
      </w:r>
    </w:p>
    <w:p>
      <w:pPr>
        <w:spacing w:after="0" w:line="187" w:lineRule="exact"/>
        <w:rPr>
          <w:rFonts w:ascii="Arial" w:cs="Arial" w:eastAsia="Arial" w:hAnsi="Arial"/>
          <w:sz w:val="16"/>
          <w:szCs w:val="16"/>
          <w:color w:val="auto"/>
        </w:rPr>
      </w:pPr>
    </w:p>
    <w:p>
      <w:pPr>
        <w:ind w:left="982" w:right="160" w:hanging="496"/>
        <w:spacing w:after="0" w:line="256" w:lineRule="auto"/>
        <w:tabs>
          <w:tab w:leader="none" w:pos="9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224" w:lineRule="exact"/>
        <w:rPr>
          <w:rFonts w:ascii="Arial" w:cs="Arial" w:eastAsia="Arial" w:hAnsi="Arial"/>
          <w:sz w:val="18"/>
          <w:szCs w:val="18"/>
          <w:color w:val="auto"/>
        </w:rPr>
      </w:pPr>
    </w:p>
    <w:p>
      <w:pPr>
        <w:ind w:left="982" w:hanging="496"/>
        <w:spacing w:after="0" w:line="288" w:lineRule="auto"/>
        <w:tabs>
          <w:tab w:leader="none" w:pos="982"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 Option shall be exercised by delivering notice as specified in the Agreement on the form of notice provided by the Company. Payment for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In the case of a Participant or Nonemployee Director who is subject to Section 16 of the Exchange Act, the Company may require that the method of making such payment be in compliance with Section 16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200" w:lineRule="exact"/>
        <w:rPr>
          <w:rFonts w:ascii="Arial" w:cs="Arial" w:eastAsia="Arial" w:hAnsi="Arial"/>
          <w:sz w:val="16"/>
          <w:szCs w:val="16"/>
          <w:color w:val="auto"/>
        </w:rPr>
      </w:pPr>
    </w:p>
    <w:p>
      <w:pPr>
        <w:ind w:left="982" w:right="280" w:hanging="496"/>
        <w:spacing w:after="0" w:line="306" w:lineRule="auto"/>
        <w:tabs>
          <w:tab w:leader="none" w:pos="982" w:val="left"/>
        </w:tabs>
        <w:numPr>
          <w:ilvl w:val="1"/>
          <w:numId w:val="22"/>
        </w:numPr>
        <w:rPr>
          <w:rFonts w:ascii="Arial" w:cs="Arial" w:eastAsia="Arial" w:hAnsi="Arial"/>
          <w:sz w:val="16"/>
          <w:szCs w:val="16"/>
          <w:color w:val="auto"/>
        </w:rPr>
      </w:pPr>
      <w:r>
        <w:rPr>
          <w:rFonts w:ascii="Arial" w:cs="Arial" w:eastAsia="Arial" w:hAnsi="Arial"/>
          <w:sz w:val="16"/>
          <w:szCs w:val="16"/>
          <w:color w:val="auto"/>
        </w:rPr>
        <w:t>Certificates for shares of Company Stock purchased upon the exercise of an Option shall be issued in the name of or for the account of the Participant, Nonemployee Director or other person entitled to receive such shares, and delivered to the Participant, Nonemployee Director or such other person as soon as practicable following the effective date on which the Option is exercised.</w:t>
      </w:r>
    </w:p>
    <w:p>
      <w:pPr>
        <w:spacing w:after="0" w:line="201" w:lineRule="exact"/>
        <w:rPr>
          <w:rFonts w:ascii="Arial" w:cs="Arial" w:eastAsia="Arial" w:hAnsi="Arial"/>
          <w:sz w:val="16"/>
          <w:szCs w:val="16"/>
          <w:color w:val="auto"/>
        </w:rPr>
      </w:pPr>
    </w:p>
    <w:p>
      <w:pPr>
        <w:ind w:left="482" w:hanging="482"/>
        <w:spacing w:after="0"/>
        <w:tabs>
          <w:tab w:leader="none" w:pos="48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Limitations on Incentive Stock Options</w:t>
      </w:r>
    </w:p>
    <w:p>
      <w:pPr>
        <w:spacing w:after="0" w:line="265" w:lineRule="exact"/>
        <w:rPr>
          <w:rFonts w:ascii="Arial" w:cs="Arial" w:eastAsia="Arial" w:hAnsi="Arial"/>
          <w:sz w:val="18"/>
          <w:szCs w:val="18"/>
          <w:color w:val="auto"/>
        </w:rPr>
      </w:pPr>
    </w:p>
    <w:p>
      <w:pPr>
        <w:ind w:left="982" w:right="120" w:hanging="496"/>
        <w:spacing w:after="0" w:line="256" w:lineRule="auto"/>
        <w:tabs>
          <w:tab w:leader="none" w:pos="9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197"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2"/>
          </w:cols>
          <w:pgMar w:left="518" w:top="617" w:right="239" w:bottom="1440" w:gutter="0" w:footer="0" w:header="0"/>
        </w:sectPr>
      </w:pPr>
    </w:p>
    <w:bookmarkStart w:id="20" w:name="page21"/>
    <w:bookmarkEnd w:id="20"/>
    <w:p>
      <w:pPr>
        <w:ind w:left="962" w:hanging="489"/>
        <w:spacing w:after="0" w:line="255" w:lineRule="auto"/>
        <w:tabs>
          <w:tab w:leader="none" w:pos="962"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237" w:lineRule="exact"/>
        <w:rPr>
          <w:rFonts w:ascii="Arial" w:cs="Arial" w:eastAsia="Arial" w:hAnsi="Arial"/>
          <w:sz w:val="18"/>
          <w:szCs w:val="18"/>
          <w:color w:val="auto"/>
        </w:rPr>
      </w:pPr>
    </w:p>
    <w:p>
      <w:pPr>
        <w:ind w:left="482" w:hanging="482"/>
        <w:spacing w:after="0"/>
        <w:tabs>
          <w:tab w:leader="none" w:pos="48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65" w:lineRule="exact"/>
        <w:rPr>
          <w:rFonts w:ascii="Arial" w:cs="Arial" w:eastAsia="Arial" w:hAnsi="Arial"/>
          <w:sz w:val="18"/>
          <w:szCs w:val="18"/>
          <w:color w:val="auto"/>
        </w:rPr>
      </w:pPr>
    </w:p>
    <w:p>
      <w:pPr>
        <w:ind w:left="962" w:right="200" w:hanging="489"/>
        <w:spacing w:after="0" w:line="294" w:lineRule="auto"/>
        <w:tabs>
          <w:tab w:leader="none" w:pos="9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that the employment of a Participant with the Company shall terminate for any reason other than (A) Cause, as defined in the Agreement,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196" w:lineRule="exact"/>
        <w:rPr>
          <w:rFonts w:ascii="Arial" w:cs="Arial" w:eastAsia="Arial" w:hAnsi="Arial"/>
          <w:sz w:val="16"/>
          <w:szCs w:val="16"/>
          <w:color w:val="auto"/>
        </w:rPr>
      </w:pPr>
    </w:p>
    <w:p>
      <w:pPr>
        <w:ind w:left="962" w:right="60" w:hanging="489"/>
        <w:spacing w:after="0" w:line="288" w:lineRule="auto"/>
        <w:tabs>
          <w:tab w:leader="none" w:pos="9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its term.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200" w:lineRule="exact"/>
        <w:rPr>
          <w:rFonts w:ascii="Arial" w:cs="Arial" w:eastAsia="Arial" w:hAnsi="Arial"/>
          <w:sz w:val="16"/>
          <w:szCs w:val="16"/>
          <w:color w:val="auto"/>
        </w:rPr>
      </w:pPr>
    </w:p>
    <w:p>
      <w:pPr>
        <w:ind w:left="962" w:right="280" w:hanging="489"/>
        <w:spacing w:after="0" w:line="268" w:lineRule="auto"/>
        <w:tabs>
          <w:tab w:leader="none" w:pos="9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event of the termination of a Participant's employment for Cause, as defined in the Agreement, all outstanding Options granted to such Participant shall expire at the commencement of business on the date of such termination.</w:t>
      </w:r>
    </w:p>
    <w:p>
      <w:pPr>
        <w:spacing w:after="0" w:line="186"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2"/>
          </w:cols>
          <w:pgMar w:left="518" w:top="617" w:right="239" w:bottom="1440" w:gutter="0" w:footer="0" w:header="0"/>
        </w:sectPr>
      </w:pPr>
    </w:p>
    <w:bookmarkStart w:id="21" w:name="page22"/>
    <w:bookmarkEnd w:id="21"/>
    <w:p>
      <w:pPr>
        <w:ind w:left="752" w:hanging="482"/>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Acceleration of Exercise Date Upon Change in Control</w:t>
      </w:r>
    </w:p>
    <w:p>
      <w:pPr>
        <w:spacing w:after="0" w:line="265" w:lineRule="exact"/>
        <w:rPr>
          <w:rFonts w:ascii="Arial" w:cs="Arial" w:eastAsia="Arial" w:hAnsi="Arial"/>
          <w:sz w:val="18"/>
          <w:szCs w:val="18"/>
          <w:color w:val="auto"/>
        </w:rPr>
      </w:pPr>
    </w:p>
    <w:p>
      <w:pPr>
        <w:ind w:left="752" w:right="60"/>
        <w:spacing w:after="0" w:line="298" w:lineRule="auto"/>
        <w:rPr>
          <w:rFonts w:ascii="Arial" w:cs="Arial" w:eastAsia="Arial" w:hAnsi="Arial"/>
          <w:sz w:val="18"/>
          <w:szCs w:val="18"/>
          <w:color w:val="auto"/>
        </w:rPr>
      </w:pPr>
      <w:r>
        <w:rPr>
          <w:rFonts w:ascii="Arial" w:cs="Arial" w:eastAsia="Arial" w:hAnsi="Arial"/>
          <w:sz w:val="16"/>
          <w:szCs w:val="16"/>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207" w:lineRule="exact"/>
        <w:rPr>
          <w:rFonts w:ascii="Arial" w:cs="Arial" w:eastAsia="Arial" w:hAnsi="Arial"/>
          <w:sz w:val="18"/>
          <w:szCs w:val="18"/>
          <w:color w:val="auto"/>
        </w:rPr>
      </w:pPr>
    </w:p>
    <w:p>
      <w:pPr>
        <w:ind w:left="752" w:hanging="482"/>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Leave of Absence</w:t>
      </w:r>
    </w:p>
    <w:p>
      <w:pPr>
        <w:spacing w:after="0" w:line="265" w:lineRule="exact"/>
        <w:rPr>
          <w:rFonts w:ascii="Arial" w:cs="Arial" w:eastAsia="Arial" w:hAnsi="Arial"/>
          <w:sz w:val="18"/>
          <w:szCs w:val="18"/>
          <w:color w:val="auto"/>
        </w:rPr>
      </w:pPr>
    </w:p>
    <w:p>
      <w:pPr>
        <w:ind w:left="752" w:right="340"/>
        <w:spacing w:after="0" w:line="370" w:lineRule="auto"/>
        <w:rPr>
          <w:rFonts w:ascii="Arial" w:cs="Arial" w:eastAsia="Arial" w:hAnsi="Arial"/>
          <w:sz w:val="18"/>
          <w:szCs w:val="18"/>
          <w:color w:val="auto"/>
        </w:rPr>
      </w:pPr>
      <w:r>
        <w:rPr>
          <w:rFonts w:ascii="Arial" w:cs="Arial" w:eastAsia="Arial" w:hAnsi="Arial"/>
          <w:sz w:val="15"/>
          <w:szCs w:val="15"/>
          <w:color w:val="auto"/>
        </w:rPr>
        <w:t>In the case of any Participant on an approved leave of absence, the Committee may make such provision respecting the continuance of the Option while in the employ or service of the Company as it may deem equitable, except that in no event may an Option be exercised after its expiration.</w:t>
      </w:r>
    </w:p>
    <w:p>
      <w:pPr>
        <w:spacing w:after="0" w:line="116" w:lineRule="exact"/>
        <w:rPr>
          <w:rFonts w:ascii="Arial" w:cs="Arial" w:eastAsia="Arial" w:hAnsi="Arial"/>
          <w:sz w:val="18"/>
          <w:szCs w:val="18"/>
          <w:color w:val="auto"/>
        </w:rPr>
      </w:pPr>
    </w:p>
    <w:p>
      <w:pPr>
        <w:ind w:left="172" w:hanging="172"/>
        <w:spacing w:after="0"/>
        <w:tabs>
          <w:tab w:leader="none" w:pos="17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65" w:lineRule="exact"/>
        <w:rPr>
          <w:rFonts w:ascii="Arial" w:cs="Arial" w:eastAsia="Arial" w:hAnsi="Arial"/>
          <w:sz w:val="18"/>
          <w:szCs w:val="18"/>
          <w:color w:val="auto"/>
        </w:rPr>
      </w:pPr>
    </w:p>
    <w:p>
      <w:pPr>
        <w:ind w:left="752" w:hanging="482"/>
        <w:spacing w:after="0"/>
        <w:tabs>
          <w:tab w:leader="none" w:pos="752"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Price</w:t>
      </w:r>
    </w:p>
    <w:p>
      <w:pPr>
        <w:spacing w:after="0" w:line="265" w:lineRule="exact"/>
        <w:rPr>
          <w:rFonts w:ascii="Arial" w:cs="Arial" w:eastAsia="Arial" w:hAnsi="Arial"/>
          <w:sz w:val="18"/>
          <w:szCs w:val="18"/>
          <w:color w:val="auto"/>
        </w:rPr>
      </w:pPr>
    </w:p>
    <w:p>
      <w:pPr>
        <w:ind w:left="752" w:right="200"/>
        <w:spacing w:after="0" w:line="268" w:lineRule="auto"/>
        <w:rPr>
          <w:rFonts w:ascii="Arial" w:cs="Arial" w:eastAsia="Arial" w:hAnsi="Arial"/>
          <w:sz w:val="18"/>
          <w:szCs w:val="18"/>
          <w:color w:val="auto"/>
        </w:rPr>
      </w:pPr>
      <w:r>
        <w:rPr>
          <w:rFonts w:ascii="Arial" w:cs="Arial" w:eastAsia="Arial" w:hAnsi="Arial"/>
          <w:sz w:val="18"/>
          <w:szCs w:val="18"/>
          <w:color w:val="auto"/>
        </w:rPr>
        <w:t>At the time of the grant of shares of Restricted Stock, the Committee shall determine the price, if any, to be paid by the Participant for each share of Restricted Stock subject to the Award.</w:t>
      </w:r>
    </w:p>
    <w:p>
      <w:pPr>
        <w:spacing w:after="0" w:line="226" w:lineRule="exact"/>
        <w:rPr>
          <w:rFonts w:ascii="Arial" w:cs="Arial" w:eastAsia="Arial" w:hAnsi="Arial"/>
          <w:sz w:val="18"/>
          <w:szCs w:val="18"/>
          <w:color w:val="auto"/>
        </w:rPr>
      </w:pPr>
    </w:p>
    <w:p>
      <w:pPr>
        <w:ind w:left="752" w:hanging="482"/>
        <w:spacing w:after="0"/>
        <w:tabs>
          <w:tab w:leader="none" w:pos="752"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265" w:lineRule="exact"/>
        <w:rPr>
          <w:rFonts w:ascii="Arial" w:cs="Arial" w:eastAsia="Arial" w:hAnsi="Arial"/>
          <w:sz w:val="18"/>
          <w:szCs w:val="18"/>
          <w:color w:val="auto"/>
        </w:rPr>
      </w:pPr>
    </w:p>
    <w:p>
      <w:pPr>
        <w:ind w:left="752"/>
        <w:spacing w:after="0" w:line="298" w:lineRule="auto"/>
        <w:rPr>
          <w:rFonts w:ascii="Arial" w:cs="Arial" w:eastAsia="Arial" w:hAnsi="Arial"/>
          <w:sz w:val="18"/>
          <w:szCs w:val="18"/>
          <w:color w:val="auto"/>
        </w:rPr>
      </w:pPr>
      <w:r>
        <w:rPr>
          <w:rFonts w:ascii="Arial" w:cs="Arial" w:eastAsia="Arial" w:hAnsi="Arial"/>
          <w:sz w:val="16"/>
          <w:szCs w:val="16"/>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are satisfied, and except as provided in Section 8(h), upon the occurrence of the Vesting Date with respect to a share of Restricted Stock, such share shall vest and the restrictions of Section 8(d) shall lapse.</w:t>
      </w:r>
    </w:p>
    <w:p>
      <w:pPr>
        <w:spacing w:after="0" w:line="207" w:lineRule="exact"/>
        <w:rPr>
          <w:rFonts w:ascii="Arial" w:cs="Arial" w:eastAsia="Arial" w:hAnsi="Arial"/>
          <w:sz w:val="18"/>
          <w:szCs w:val="18"/>
          <w:color w:val="auto"/>
        </w:rPr>
      </w:pPr>
    </w:p>
    <w:p>
      <w:pPr>
        <w:ind w:left="752" w:hanging="482"/>
        <w:spacing w:after="0"/>
        <w:tabs>
          <w:tab w:leader="none" w:pos="752"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266" w:lineRule="exact"/>
        <w:rPr>
          <w:sz w:val="20"/>
          <w:szCs w:val="20"/>
          <w:color w:val="auto"/>
        </w:rPr>
      </w:pPr>
    </w:p>
    <w:p>
      <w:pPr>
        <w:ind w:left="752" w:right="220"/>
        <w:spacing w:after="0" w:line="268" w:lineRule="auto"/>
        <w:rPr>
          <w:sz w:val="20"/>
          <w:szCs w:val="20"/>
          <w:color w:val="auto"/>
        </w:rPr>
      </w:pPr>
      <w:r>
        <w:rPr>
          <w:rFonts w:ascii="Arial" w:cs="Arial" w:eastAsia="Arial" w:hAnsi="Arial"/>
          <w:sz w:val="18"/>
          <w:szCs w:val="18"/>
          <w:color w:val="auto"/>
        </w:rPr>
        <w:t>Subject to Section 31 hereof, at the time of the grant of shares of Restricted Stock, the Committee may impose such restrictions or conditions to the vesting of such shares as it, in its absolute discretion, deems appropriate.</w:t>
      </w:r>
    </w:p>
    <w:p>
      <w:pPr>
        <w:spacing w:after="0" w:line="18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32"/>
          </w:cols>
          <w:pgMar w:left="248" w:top="631" w:right="319" w:bottom="1440" w:gutter="0" w:footer="0" w:header="0"/>
        </w:sectPr>
      </w:pPr>
    </w:p>
    <w:bookmarkStart w:id="22" w:name="page23"/>
    <w:bookmarkEnd w:id="22"/>
    <w:p>
      <w:pPr>
        <w:ind w:left="482" w:hanging="482"/>
        <w:spacing w:after="0"/>
        <w:tabs>
          <w:tab w:leader="none" w:pos="48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p>
    <w:p>
      <w:pPr>
        <w:spacing w:after="0" w:line="279" w:lineRule="exact"/>
        <w:rPr>
          <w:rFonts w:ascii="Arial" w:cs="Arial" w:eastAsia="Arial" w:hAnsi="Arial"/>
          <w:sz w:val="18"/>
          <w:szCs w:val="18"/>
          <w:color w:val="auto"/>
        </w:rPr>
      </w:pPr>
    </w:p>
    <w:p>
      <w:pPr>
        <w:ind w:left="482" w:right="40"/>
        <w:spacing w:after="0" w:line="259" w:lineRule="auto"/>
        <w:rPr>
          <w:rFonts w:ascii="Arial" w:cs="Arial" w:eastAsia="Arial" w:hAnsi="Arial"/>
          <w:sz w:val="18"/>
          <w:szCs w:val="18"/>
          <w:color w:val="auto"/>
        </w:rPr>
      </w:pPr>
      <w:r>
        <w:rPr>
          <w:rFonts w:ascii="Arial" w:cs="Arial" w:eastAsia="Arial" w:hAnsi="Arial"/>
          <w:sz w:val="18"/>
          <w:szCs w:val="18"/>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221" w:lineRule="exact"/>
        <w:rPr>
          <w:rFonts w:ascii="Arial" w:cs="Arial" w:eastAsia="Arial" w:hAnsi="Arial"/>
          <w:sz w:val="18"/>
          <w:szCs w:val="18"/>
          <w:color w:val="auto"/>
        </w:rPr>
      </w:pPr>
    </w:p>
    <w:p>
      <w:pPr>
        <w:ind w:left="482" w:hanging="482"/>
        <w:spacing w:after="0"/>
        <w:tabs>
          <w:tab w:leader="none" w:pos="48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p>
    <w:p>
      <w:pPr>
        <w:spacing w:after="0" w:line="279" w:lineRule="exact"/>
        <w:rPr>
          <w:rFonts w:ascii="Arial" w:cs="Arial" w:eastAsia="Arial" w:hAnsi="Arial"/>
          <w:sz w:val="18"/>
          <w:szCs w:val="18"/>
          <w:color w:val="auto"/>
        </w:rPr>
      </w:pPr>
    </w:p>
    <w:p>
      <w:pPr>
        <w:ind w:left="482"/>
        <w:spacing w:after="0" w:line="268" w:lineRule="auto"/>
        <w:rPr>
          <w:rFonts w:ascii="Arial" w:cs="Arial" w:eastAsia="Arial" w:hAnsi="Arial"/>
          <w:sz w:val="18"/>
          <w:szCs w:val="18"/>
          <w:color w:val="auto"/>
        </w:rPr>
      </w:pPr>
      <w:r>
        <w:rPr>
          <w:rFonts w:ascii="Arial" w:cs="Arial" w:eastAsia="Arial" w:hAnsi="Arial"/>
          <w:sz w:val="18"/>
          <w:szCs w:val="18"/>
          <w:color w:val="auto"/>
        </w:rPr>
        <w:t>The Committee in its discretion may require that any dividends paid on shares of Restricted Stock be held in escrow until all restrictions on such shares have lapsed.</w:t>
      </w:r>
    </w:p>
    <w:p>
      <w:pPr>
        <w:spacing w:after="0" w:line="212" w:lineRule="exact"/>
        <w:rPr>
          <w:rFonts w:ascii="Arial" w:cs="Arial" w:eastAsia="Arial" w:hAnsi="Arial"/>
          <w:sz w:val="18"/>
          <w:szCs w:val="18"/>
          <w:color w:val="auto"/>
        </w:rPr>
      </w:pPr>
    </w:p>
    <w:p>
      <w:pPr>
        <w:ind w:left="482" w:hanging="482"/>
        <w:spacing w:after="0"/>
        <w:tabs>
          <w:tab w:leader="none" w:pos="48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p>
    <w:p>
      <w:pPr>
        <w:spacing w:after="0" w:line="279" w:lineRule="exact"/>
        <w:rPr>
          <w:sz w:val="20"/>
          <w:szCs w:val="20"/>
          <w:color w:val="auto"/>
        </w:rPr>
      </w:pPr>
    </w:p>
    <w:p>
      <w:pPr>
        <w:ind w:left="982" w:right="100" w:hanging="496"/>
        <w:spacing w:after="0" w:line="259" w:lineRule="auto"/>
        <w:tabs>
          <w:tab w:leader="none" w:pos="9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the following legend:</w:t>
      </w:r>
    </w:p>
    <w:p>
      <w:pPr>
        <w:spacing w:after="0" w:line="215" w:lineRule="exact"/>
        <w:rPr>
          <w:sz w:val="20"/>
          <w:szCs w:val="20"/>
          <w:color w:val="auto"/>
        </w:rPr>
      </w:pPr>
    </w:p>
    <w:p>
      <w:pPr>
        <w:ind w:left="1162"/>
        <w:spacing w:after="0" w:line="256" w:lineRule="auto"/>
        <w:rPr>
          <w:sz w:val="20"/>
          <w:szCs w:val="20"/>
          <w:color w:val="auto"/>
        </w:rPr>
      </w:pPr>
      <w:r>
        <w:rPr>
          <w:rFonts w:ascii="Arial" w:cs="Arial" w:eastAsia="Arial" w:hAnsi="Arial"/>
          <w:sz w:val="18"/>
          <w:szCs w:val="18"/>
          <w:b w:val="1"/>
          <w:bCs w:val="1"/>
          <w:color w:val="auto"/>
        </w:rPr>
        <w:t>The transferability of this certificate and the shares of stock represented hereby are subject to the restrictions, terms and conditions (including forfeiture provisions and restrictions against transfer) contained in the Regeneron Pharmaceuticals, Inc. Second Amended and Restated 2000 Long Term Incentive Plan and an Agreement entered into between the registered owner of such shares and the Company. A copy of the Plan and Agreement is on file in the office of the Secretary of the Company, 777 Old Saw Mill River Road, Tarrytown, New York 10591-6707.</w:t>
      </w:r>
    </w:p>
    <w:p>
      <w:pPr>
        <w:spacing w:after="0" w:line="226" w:lineRule="exact"/>
        <w:rPr>
          <w:sz w:val="20"/>
          <w:szCs w:val="20"/>
          <w:color w:val="auto"/>
        </w:rPr>
      </w:pPr>
    </w:p>
    <w:p>
      <w:pPr>
        <w:ind w:left="982"/>
        <w:spacing w:after="0"/>
        <w:rPr>
          <w:sz w:val="20"/>
          <w:szCs w:val="20"/>
          <w:color w:val="auto"/>
        </w:rPr>
      </w:pPr>
      <w:r>
        <w:rPr>
          <w:rFonts w:ascii="Arial" w:cs="Arial" w:eastAsia="Arial" w:hAnsi="Arial"/>
          <w:sz w:val="18"/>
          <w:szCs w:val="18"/>
          <w:color w:val="auto"/>
        </w:rPr>
        <w:t>Such legend shall not be removed until such shares vest pursuant to the terms hereof.</w:t>
      </w:r>
    </w:p>
    <w:p>
      <w:pPr>
        <w:spacing w:after="0" w:line="279" w:lineRule="exact"/>
        <w:rPr>
          <w:sz w:val="20"/>
          <w:szCs w:val="20"/>
          <w:color w:val="auto"/>
        </w:rPr>
      </w:pPr>
    </w:p>
    <w:p>
      <w:pPr>
        <w:ind w:left="982" w:right="100" w:hanging="496"/>
        <w:spacing w:after="0" w:line="268" w:lineRule="auto"/>
        <w:tabs>
          <w:tab w:leader="none" w:pos="9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certificate issued pursuant to this Section 8(f), together with the stock powers relating to the shares of Restricted Stock evidenced by such certificate, shall be held by the Company unless the Committee determines otherwise.</w:t>
      </w:r>
    </w:p>
    <w:p>
      <w:pPr>
        <w:spacing w:after="0" w:line="212" w:lineRule="exact"/>
        <w:rPr>
          <w:rFonts w:ascii="Arial" w:cs="Arial" w:eastAsia="Arial" w:hAnsi="Arial"/>
          <w:sz w:val="18"/>
          <w:szCs w:val="18"/>
          <w:color w:val="auto"/>
        </w:rPr>
      </w:pPr>
    </w:p>
    <w:p>
      <w:pPr>
        <w:ind w:left="482" w:hanging="482"/>
        <w:spacing w:after="0"/>
        <w:tabs>
          <w:tab w:leader="none" w:pos="48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Consequences of Vesting</w:t>
      </w:r>
    </w:p>
    <w:p>
      <w:pPr>
        <w:spacing w:after="0" w:line="279" w:lineRule="exact"/>
        <w:rPr>
          <w:rFonts w:ascii="Arial" w:cs="Arial" w:eastAsia="Arial" w:hAnsi="Arial"/>
          <w:sz w:val="18"/>
          <w:szCs w:val="18"/>
          <w:color w:val="auto"/>
        </w:rPr>
      </w:pPr>
    </w:p>
    <w:p>
      <w:pPr>
        <w:jc w:val="both"/>
        <w:ind w:left="482" w:right="380"/>
        <w:spacing w:after="0" w:line="306" w:lineRule="auto"/>
        <w:rPr>
          <w:rFonts w:ascii="Arial" w:cs="Arial" w:eastAsia="Arial" w:hAnsi="Arial"/>
          <w:sz w:val="18"/>
          <w:szCs w:val="18"/>
          <w:color w:val="auto"/>
        </w:rPr>
      </w:pPr>
      <w:r>
        <w:rPr>
          <w:rFonts w:ascii="Arial" w:cs="Arial" w:eastAsia="Arial" w:hAnsi="Arial"/>
          <w:sz w:val="16"/>
          <w:szCs w:val="16"/>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w:t>
      </w:r>
    </w:p>
    <w:p>
      <w:pPr>
        <w:spacing w:after="0" w:line="161" w:lineRule="exact"/>
        <w:rPr>
          <w:sz w:val="20"/>
          <w:szCs w:val="20"/>
          <w:color w:val="auto"/>
        </w:rPr>
      </w:pPr>
    </w:p>
    <w:p>
      <w:pPr>
        <w:jc w:val="center"/>
        <w:ind w:right="25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22"/>
          </w:cols>
          <w:pgMar w:left="518" w:top="617" w:right="259" w:bottom="1440" w:gutter="0" w:footer="0" w:header="0"/>
        </w:sectPr>
      </w:pPr>
    </w:p>
    <w:bookmarkStart w:id="23" w:name="page24"/>
    <w:bookmarkEnd w:id="23"/>
    <w:p>
      <w:pPr>
        <w:ind w:left="482" w:hanging="482"/>
        <w:spacing w:after="0"/>
        <w:tabs>
          <w:tab w:leader="none" w:pos="48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79" w:lineRule="exact"/>
        <w:rPr>
          <w:rFonts w:ascii="Arial" w:cs="Arial" w:eastAsia="Arial" w:hAnsi="Arial"/>
          <w:sz w:val="18"/>
          <w:szCs w:val="18"/>
          <w:color w:val="auto"/>
        </w:rPr>
      </w:pPr>
    </w:p>
    <w:p>
      <w:pPr>
        <w:ind w:left="982" w:hanging="496"/>
        <w:spacing w:after="0" w:line="288" w:lineRule="auto"/>
        <w:tabs>
          <w:tab w:leader="none" w:pos="982"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200" w:lineRule="exact"/>
        <w:rPr>
          <w:rFonts w:ascii="Arial" w:cs="Arial" w:eastAsia="Arial" w:hAnsi="Arial"/>
          <w:sz w:val="16"/>
          <w:szCs w:val="16"/>
          <w:color w:val="auto"/>
        </w:rPr>
      </w:pPr>
    </w:p>
    <w:p>
      <w:pPr>
        <w:ind w:left="982" w:hanging="496"/>
        <w:spacing w:after="0" w:line="306" w:lineRule="auto"/>
        <w:tabs>
          <w:tab w:leader="none" w:pos="982"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187" w:lineRule="exact"/>
        <w:rPr>
          <w:rFonts w:ascii="Arial" w:cs="Arial" w:eastAsia="Arial" w:hAnsi="Arial"/>
          <w:sz w:val="16"/>
          <w:szCs w:val="16"/>
          <w:color w:val="auto"/>
        </w:rPr>
      </w:pPr>
    </w:p>
    <w:p>
      <w:pPr>
        <w:ind w:left="482" w:hanging="482"/>
        <w:spacing w:after="0"/>
        <w:tabs>
          <w:tab w:leader="none" w:pos="48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279" w:lineRule="exact"/>
        <w:rPr>
          <w:rFonts w:ascii="Arial" w:cs="Arial" w:eastAsia="Arial" w:hAnsi="Arial"/>
          <w:sz w:val="18"/>
          <w:szCs w:val="18"/>
          <w:color w:val="auto"/>
        </w:rPr>
      </w:pPr>
    </w:p>
    <w:p>
      <w:pPr>
        <w:ind w:left="482" w:right="40"/>
        <w:spacing w:after="0" w:line="259"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221" w:lineRule="exact"/>
        <w:rPr>
          <w:rFonts w:ascii="Arial" w:cs="Arial" w:eastAsia="Arial" w:hAnsi="Arial"/>
          <w:sz w:val="18"/>
          <w:szCs w:val="18"/>
          <w:color w:val="auto"/>
        </w:rPr>
      </w:pPr>
    </w:p>
    <w:p>
      <w:pPr>
        <w:ind w:left="482" w:hanging="482"/>
        <w:spacing w:after="0"/>
        <w:tabs>
          <w:tab w:leader="none" w:pos="48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Special Provisions Regarding Awards</w:t>
      </w:r>
    </w:p>
    <w:p>
      <w:pPr>
        <w:spacing w:after="0" w:line="279" w:lineRule="exact"/>
        <w:rPr>
          <w:rFonts w:ascii="Arial" w:cs="Arial" w:eastAsia="Arial" w:hAnsi="Arial"/>
          <w:sz w:val="18"/>
          <w:szCs w:val="18"/>
          <w:color w:val="auto"/>
        </w:rPr>
      </w:pPr>
    </w:p>
    <w:p>
      <w:pPr>
        <w:ind w:left="482"/>
        <w:spacing w:after="0" w:line="301" w:lineRule="auto"/>
        <w:rPr>
          <w:rFonts w:ascii="Arial" w:cs="Arial" w:eastAsia="Arial" w:hAnsi="Arial"/>
          <w:sz w:val="18"/>
          <w:szCs w:val="18"/>
          <w:color w:val="auto"/>
        </w:rPr>
      </w:pPr>
      <w:r>
        <w:rPr>
          <w:rFonts w:ascii="Arial" w:cs="Arial" w:eastAsia="Arial" w:hAnsi="Arial"/>
          <w:sz w:val="15"/>
          <w:szCs w:val="15"/>
          <w:color w:val="auto"/>
        </w:rPr>
        <w:t>Notwithstanding anything to the contrary contained herein, Restricted Stock granted pursuant to this Section 8 to Covered Employees may be based on the attainment by the Company of performance goals pre-established by the Committee, based on one or more of the following criteria (in each case, as determined in accordance with generally accepted accounting principles): (1) return on total shareholder equity; (2) earnings per share of Company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achievement of certain research and development objectives;</w:t>
      </w:r>
    </w:p>
    <w:p>
      <w:pPr>
        <w:spacing w:after="0" w:line="4" w:lineRule="exact"/>
        <w:rPr>
          <w:rFonts w:ascii="Arial" w:cs="Arial" w:eastAsia="Arial" w:hAnsi="Arial"/>
          <w:sz w:val="18"/>
          <w:szCs w:val="18"/>
          <w:color w:val="auto"/>
        </w:rPr>
      </w:pPr>
    </w:p>
    <w:p>
      <w:pPr>
        <w:ind w:left="482" w:right="80" w:firstLine="4"/>
        <w:spacing w:after="0" w:line="252" w:lineRule="auto"/>
        <w:tabs>
          <w:tab w:leader="none" w:pos="8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formation of joint ventures, research or development collaborations, or the completion of other corporate transactions; and (14)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Code (including, without limitation, compliance with any requirements for shareholder approval), the Committee may designate additional business criteria on which the performance goals may be based or adjust, modify or amend the aforementioned business criteria. Such shares of Restricted Stock shall be released from restrictions only after the attainment of such performance measures has been certified by the Committee.</w:t>
      </w:r>
    </w:p>
    <w:p>
      <w:pPr>
        <w:spacing w:after="0" w:line="201"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2"/>
          </w:cols>
          <w:pgMar w:left="518" w:top="617" w:right="239" w:bottom="1440" w:gutter="0" w:footer="0" w:header="0"/>
        </w:sectPr>
      </w:pPr>
    </w:p>
    <w:bookmarkStart w:id="24" w:name="page25"/>
    <w:bookmarkEnd w:id="24"/>
    <w:p>
      <w:pPr>
        <w:ind w:left="172" w:hanging="172"/>
        <w:spacing w:after="0"/>
        <w:tabs>
          <w:tab w:leader="none" w:pos="17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Phantom Stock</w:t>
      </w:r>
    </w:p>
    <w:p>
      <w:pPr>
        <w:spacing w:after="0" w:line="252" w:lineRule="exact"/>
        <w:rPr>
          <w:rFonts w:ascii="Arial" w:cs="Arial" w:eastAsia="Arial" w:hAnsi="Arial"/>
          <w:sz w:val="18"/>
          <w:szCs w:val="18"/>
          <w:color w:val="auto"/>
        </w:rPr>
      </w:pPr>
    </w:p>
    <w:p>
      <w:pPr>
        <w:ind w:left="752" w:hanging="482"/>
        <w:spacing w:after="0"/>
        <w:tabs>
          <w:tab w:leader="none" w:pos="752"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279" w:lineRule="exact"/>
        <w:rPr>
          <w:rFonts w:ascii="Arial" w:cs="Arial" w:eastAsia="Arial" w:hAnsi="Arial"/>
          <w:sz w:val="18"/>
          <w:szCs w:val="18"/>
          <w:color w:val="auto"/>
        </w:rPr>
      </w:pPr>
    </w:p>
    <w:p>
      <w:pPr>
        <w:ind w:left="752" w:right="160"/>
        <w:spacing w:after="0" w:line="298" w:lineRule="auto"/>
        <w:rPr>
          <w:rFonts w:ascii="Arial" w:cs="Arial" w:eastAsia="Arial" w:hAnsi="Arial"/>
          <w:sz w:val="18"/>
          <w:szCs w:val="18"/>
          <w:color w:val="auto"/>
        </w:rPr>
      </w:pPr>
      <w:r>
        <w:rPr>
          <w:rFonts w:ascii="Arial" w:cs="Arial" w:eastAsia="Arial" w:hAnsi="Arial"/>
          <w:sz w:val="16"/>
          <w:szCs w:val="16"/>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193" w:lineRule="exact"/>
        <w:rPr>
          <w:rFonts w:ascii="Arial" w:cs="Arial" w:eastAsia="Arial" w:hAnsi="Arial"/>
          <w:sz w:val="18"/>
          <w:szCs w:val="18"/>
          <w:color w:val="auto"/>
        </w:rPr>
      </w:pPr>
    </w:p>
    <w:p>
      <w:pPr>
        <w:ind w:left="752" w:hanging="482"/>
        <w:spacing w:after="0"/>
        <w:tabs>
          <w:tab w:leader="none" w:pos="752"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Benefit Upon Vesting</w:t>
      </w:r>
    </w:p>
    <w:p>
      <w:pPr>
        <w:spacing w:after="0" w:line="279" w:lineRule="exact"/>
        <w:rPr>
          <w:rFonts w:ascii="Arial" w:cs="Arial" w:eastAsia="Arial" w:hAnsi="Arial"/>
          <w:sz w:val="18"/>
          <w:szCs w:val="18"/>
          <w:color w:val="auto"/>
        </w:rPr>
      </w:pPr>
    </w:p>
    <w:p>
      <w:pPr>
        <w:ind w:left="752" w:right="80"/>
        <w:spacing w:after="0" w:line="255" w:lineRule="auto"/>
        <w:rPr>
          <w:rFonts w:ascii="Arial" w:cs="Arial" w:eastAsia="Arial" w:hAnsi="Arial"/>
          <w:sz w:val="18"/>
          <w:szCs w:val="18"/>
          <w:color w:val="auto"/>
        </w:rPr>
      </w:pPr>
      <w:r>
        <w:rPr>
          <w:rFonts w:ascii="Arial" w:cs="Arial" w:eastAsia="Arial" w:hAnsi="Arial"/>
          <w:sz w:val="18"/>
          <w:szCs w:val="18"/>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w:t>
      </w:r>
    </w:p>
    <w:p>
      <w:pPr>
        <w:spacing w:after="0" w:line="223" w:lineRule="exact"/>
        <w:rPr>
          <w:rFonts w:ascii="Arial" w:cs="Arial" w:eastAsia="Arial" w:hAnsi="Arial"/>
          <w:sz w:val="18"/>
          <w:szCs w:val="18"/>
          <w:color w:val="auto"/>
        </w:rPr>
      </w:pPr>
    </w:p>
    <w:p>
      <w:pPr>
        <w:ind w:left="752" w:hanging="482"/>
        <w:spacing w:after="0"/>
        <w:tabs>
          <w:tab w:leader="none" w:pos="752"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279" w:lineRule="exact"/>
        <w:rPr>
          <w:rFonts w:ascii="Arial" w:cs="Arial" w:eastAsia="Arial" w:hAnsi="Arial"/>
          <w:sz w:val="18"/>
          <w:szCs w:val="18"/>
          <w:color w:val="auto"/>
        </w:rPr>
      </w:pPr>
    </w:p>
    <w:p>
      <w:pPr>
        <w:ind w:left="752" w:right="400"/>
        <w:spacing w:after="0" w:line="268"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212" w:lineRule="exact"/>
        <w:rPr>
          <w:rFonts w:ascii="Arial" w:cs="Arial" w:eastAsia="Arial" w:hAnsi="Arial"/>
          <w:sz w:val="18"/>
          <w:szCs w:val="18"/>
          <w:color w:val="auto"/>
        </w:rPr>
      </w:pPr>
    </w:p>
    <w:p>
      <w:pPr>
        <w:ind w:left="752" w:hanging="482"/>
        <w:spacing w:after="0"/>
        <w:tabs>
          <w:tab w:leader="none" w:pos="752"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279" w:lineRule="exact"/>
        <w:rPr>
          <w:sz w:val="20"/>
          <w:szCs w:val="20"/>
          <w:color w:val="auto"/>
        </w:rPr>
      </w:pPr>
    </w:p>
    <w:p>
      <w:pPr>
        <w:ind w:left="752"/>
        <w:spacing w:after="0" w:line="259" w:lineRule="auto"/>
        <w:rPr>
          <w:sz w:val="20"/>
          <w:szCs w:val="20"/>
          <w:color w:val="auto"/>
        </w:rPr>
      </w:pPr>
      <w:r>
        <w:rPr>
          <w:rFonts w:ascii="Arial" w:cs="Arial" w:eastAsia="Arial" w:hAnsi="Arial"/>
          <w:sz w:val="18"/>
          <w:szCs w:val="18"/>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617" w:right="239" w:bottom="1440" w:gutter="0" w:footer="0" w:header="0"/>
        </w:sectPr>
      </w:pPr>
    </w:p>
    <w:bookmarkStart w:id="25" w:name="page26"/>
    <w:bookmarkEnd w:id="25"/>
    <w:p>
      <w:pPr>
        <w:ind w:left="760" w:hanging="482"/>
        <w:spacing w:after="0"/>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265" w:lineRule="exact"/>
        <w:rPr>
          <w:rFonts w:ascii="Arial" w:cs="Arial" w:eastAsia="Arial" w:hAnsi="Arial"/>
          <w:sz w:val="18"/>
          <w:szCs w:val="18"/>
          <w:color w:val="auto"/>
        </w:rPr>
      </w:pPr>
    </w:p>
    <w:p>
      <w:pPr>
        <w:ind w:left="760" w:right="180"/>
        <w:spacing w:after="0" w:line="259"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234" w:lineRule="exact"/>
        <w:rPr>
          <w:rFonts w:ascii="Arial" w:cs="Arial" w:eastAsia="Arial" w:hAnsi="Arial"/>
          <w:sz w:val="18"/>
          <w:szCs w:val="18"/>
          <w:color w:val="auto"/>
        </w:rPr>
      </w:pPr>
    </w:p>
    <w:p>
      <w:pPr>
        <w:ind w:left="760" w:hanging="482"/>
        <w:spacing w:after="0"/>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Special Provisions Regarding Awards</w:t>
      </w:r>
    </w:p>
    <w:p>
      <w:pPr>
        <w:spacing w:after="0" w:line="265" w:lineRule="exact"/>
        <w:rPr>
          <w:rFonts w:ascii="Arial" w:cs="Arial" w:eastAsia="Arial" w:hAnsi="Arial"/>
          <w:sz w:val="18"/>
          <w:szCs w:val="18"/>
          <w:color w:val="auto"/>
        </w:rPr>
      </w:pPr>
    </w:p>
    <w:p>
      <w:pPr>
        <w:ind w:left="76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anything to the contrary contained herein, the vesting of Phantom Stock granted pursuant to this Section 9 to Covered Employees may be based on the attainment by the Company of one or more of the performance criteria set forth in Section 8(j) hereof, in each case, as determined in accordance with generally accepted accounting principles. No payment in respect of any such Phantom Stock award shall be paid to a Covered Employee until the attainment of the respective performance measures have been certified by the Committee.</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Stock Bonuses</w:t>
      </w:r>
    </w:p>
    <w:p>
      <w:pPr>
        <w:spacing w:after="0" w:line="279"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In the event that the Committee grants a Stock Bonus, a certificate for 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224"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Other Awards</w:t>
      </w:r>
    </w:p>
    <w:p>
      <w:pPr>
        <w:spacing w:after="0" w:line="279" w:lineRule="exact"/>
        <w:rPr>
          <w:sz w:val="20"/>
          <w:szCs w:val="20"/>
          <w:color w:val="auto"/>
        </w:rPr>
      </w:pPr>
    </w:p>
    <w:p>
      <w:pPr>
        <w:jc w:val="both"/>
        <w:ind w:right="80" w:firstLine="270"/>
        <w:spacing w:after="0" w:line="256" w:lineRule="auto"/>
        <w:rPr>
          <w:sz w:val="20"/>
          <w:szCs w:val="20"/>
          <w:color w:val="auto"/>
        </w:rPr>
      </w:pPr>
      <w:r>
        <w:rPr>
          <w:rFonts w:ascii="Arial" w:cs="Arial" w:eastAsia="Arial" w:hAnsi="Arial"/>
          <w:sz w:val="18"/>
          <w:szCs w:val="18"/>
          <w:color w:val="auto"/>
        </w:rPr>
        <w:t>Other forms of Awards ("Other Awards")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224"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Nonemployee Director Formula Stock Options</w:t>
      </w:r>
    </w:p>
    <w:p>
      <w:pPr>
        <w:spacing w:after="0" w:line="279"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The provisions of this Section 12 shall apply only to grants of Nonqualified Stock Options to Nonemployee Directors.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31" w:right="259" w:bottom="1440" w:gutter="0" w:footer="0" w:header="0"/>
        </w:sectPr>
      </w:pPr>
    </w:p>
    <w:bookmarkStart w:id="26" w:name="page27"/>
    <w:bookmarkEnd w:id="26"/>
    <w:p>
      <w:pPr>
        <w:ind w:left="482" w:hanging="482"/>
        <w:spacing w:after="0"/>
        <w:tabs>
          <w:tab w:leader="none" w:pos="48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279" w:lineRule="exact"/>
        <w:rPr>
          <w:rFonts w:ascii="Arial" w:cs="Arial" w:eastAsia="Arial" w:hAnsi="Arial"/>
          <w:sz w:val="18"/>
          <w:szCs w:val="18"/>
          <w:color w:val="auto"/>
        </w:rPr>
      </w:pPr>
    </w:p>
    <w:p>
      <w:pPr>
        <w:ind w:left="482"/>
        <w:spacing w:after="0" w:line="370" w:lineRule="auto"/>
        <w:rPr>
          <w:rFonts w:ascii="Arial" w:cs="Arial" w:eastAsia="Arial" w:hAnsi="Arial"/>
          <w:sz w:val="18"/>
          <w:szCs w:val="18"/>
          <w:color w:val="auto"/>
        </w:rPr>
      </w:pPr>
      <w:r>
        <w:rPr>
          <w:rFonts w:ascii="Arial" w:cs="Arial" w:eastAsia="Arial" w:hAnsi="Arial"/>
          <w:sz w:val="15"/>
          <w:szCs w:val="15"/>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143" w:lineRule="exact"/>
        <w:rPr>
          <w:rFonts w:ascii="Arial" w:cs="Arial" w:eastAsia="Arial" w:hAnsi="Arial"/>
          <w:sz w:val="18"/>
          <w:szCs w:val="18"/>
          <w:color w:val="auto"/>
        </w:rPr>
      </w:pPr>
    </w:p>
    <w:p>
      <w:pPr>
        <w:ind w:left="482" w:hanging="482"/>
        <w:spacing w:after="0"/>
        <w:tabs>
          <w:tab w:leader="none" w:pos="48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Timing of Grant</w:t>
      </w:r>
    </w:p>
    <w:p>
      <w:pPr>
        <w:spacing w:after="0" w:line="279" w:lineRule="exact"/>
        <w:rPr>
          <w:rFonts w:ascii="Arial" w:cs="Arial" w:eastAsia="Arial" w:hAnsi="Arial"/>
          <w:sz w:val="18"/>
          <w:szCs w:val="18"/>
          <w:color w:val="auto"/>
        </w:rPr>
      </w:pPr>
    </w:p>
    <w:p>
      <w:pPr>
        <w:ind w:left="482"/>
        <w:spacing w:after="0" w:line="298" w:lineRule="auto"/>
        <w:rPr>
          <w:rFonts w:ascii="Arial" w:cs="Arial" w:eastAsia="Arial" w:hAnsi="Arial"/>
          <w:sz w:val="18"/>
          <w:szCs w:val="18"/>
          <w:color w:val="auto"/>
        </w:rPr>
      </w:pPr>
      <w:r>
        <w:rPr>
          <w:rFonts w:ascii="Arial" w:cs="Arial" w:eastAsia="Arial" w:hAnsi="Arial"/>
          <w:sz w:val="16"/>
          <w:szCs w:val="16"/>
          <w:color w:val="auto"/>
        </w:rPr>
        <w:t>On the first business day (i.e., a day other than Saturday, Sunday or any other day in which the securities exchange on which the Company Stock trades is closed) following January 1 of each calendar year, each then serving Nonemployee Director shall be automatically granted a Nonqualified Stock Option to purchase 15,000 shares of Company Stock. In addition, on the date that shareholders approve this Plan, each then Nonemployee Director shall be automatically granted a Nonqualified Stock Option to purchase 5,000 shares of Company Stock.</w:t>
      </w:r>
    </w:p>
    <w:p>
      <w:pPr>
        <w:spacing w:after="0" w:line="193" w:lineRule="exact"/>
        <w:rPr>
          <w:rFonts w:ascii="Arial" w:cs="Arial" w:eastAsia="Arial" w:hAnsi="Arial"/>
          <w:sz w:val="18"/>
          <w:szCs w:val="18"/>
          <w:color w:val="auto"/>
        </w:rPr>
      </w:pPr>
    </w:p>
    <w:p>
      <w:pPr>
        <w:ind w:left="482" w:hanging="482"/>
        <w:spacing w:after="0"/>
        <w:tabs>
          <w:tab w:leader="none" w:pos="48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Method and Time of Payment</w:t>
      </w:r>
    </w:p>
    <w:p>
      <w:pPr>
        <w:spacing w:after="0" w:line="279" w:lineRule="exact"/>
        <w:rPr>
          <w:rFonts w:ascii="Arial" w:cs="Arial" w:eastAsia="Arial" w:hAnsi="Arial"/>
          <w:sz w:val="18"/>
          <w:szCs w:val="18"/>
          <w:color w:val="auto"/>
        </w:rPr>
      </w:pPr>
    </w:p>
    <w:p>
      <w:pPr>
        <w:ind w:left="482"/>
        <w:spacing w:after="0"/>
        <w:rPr>
          <w:rFonts w:ascii="Arial" w:cs="Arial" w:eastAsia="Arial" w:hAnsi="Arial"/>
          <w:sz w:val="18"/>
          <w:szCs w:val="18"/>
          <w:color w:val="auto"/>
        </w:rPr>
      </w:pPr>
      <w:r>
        <w:rPr>
          <w:rFonts w:ascii="Arial" w:cs="Arial" w:eastAsia="Arial" w:hAnsi="Arial"/>
          <w:sz w:val="18"/>
          <w:szCs w:val="18"/>
          <w:color w:val="auto"/>
        </w:rPr>
        <w:t>Each Nonqualified Stock Option granted under this Section 12 shall be exercised in the manner described in Section 7(c)(3).</w:t>
      </w:r>
    </w:p>
    <w:p>
      <w:pPr>
        <w:spacing w:after="0" w:line="279" w:lineRule="exact"/>
        <w:rPr>
          <w:rFonts w:ascii="Arial" w:cs="Arial" w:eastAsia="Arial" w:hAnsi="Arial"/>
          <w:sz w:val="18"/>
          <w:szCs w:val="18"/>
          <w:color w:val="auto"/>
        </w:rPr>
      </w:pPr>
    </w:p>
    <w:p>
      <w:pPr>
        <w:ind w:left="482" w:hanging="482"/>
        <w:spacing w:after="0"/>
        <w:tabs>
          <w:tab w:leader="none" w:pos="48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Term and Exercisability</w:t>
      </w:r>
    </w:p>
    <w:p>
      <w:pPr>
        <w:spacing w:after="0" w:line="279" w:lineRule="exact"/>
        <w:rPr>
          <w:rFonts w:ascii="Arial" w:cs="Arial" w:eastAsia="Arial" w:hAnsi="Arial"/>
          <w:sz w:val="18"/>
          <w:szCs w:val="18"/>
          <w:color w:val="auto"/>
        </w:rPr>
      </w:pPr>
    </w:p>
    <w:p>
      <w:pPr>
        <w:ind w:left="482" w:right="100"/>
        <w:spacing w:after="0" w:line="256" w:lineRule="auto"/>
        <w:rPr>
          <w:rFonts w:ascii="Arial" w:cs="Arial" w:eastAsia="Arial" w:hAnsi="Arial"/>
          <w:sz w:val="18"/>
          <w:szCs w:val="18"/>
          <w:color w:val="auto"/>
        </w:rPr>
      </w:pPr>
      <w:r>
        <w:rPr>
          <w:rFonts w:ascii="Arial" w:cs="Arial" w:eastAsia="Arial" w:hAnsi="Arial"/>
          <w:sz w:val="18"/>
          <w:szCs w:val="18"/>
          <w:color w:val="auto"/>
        </w:rPr>
        <w:t>Each Nonqualified Stock Option granted under this Section 12 shall (1) become cumulatively exercisable as to 33-1/3% of the shares covered thereby on each of the first, second and third anniversaries of the date that the Nonqualified 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224" w:lineRule="exact"/>
        <w:rPr>
          <w:rFonts w:ascii="Arial" w:cs="Arial" w:eastAsia="Arial" w:hAnsi="Arial"/>
          <w:sz w:val="18"/>
          <w:szCs w:val="18"/>
          <w:color w:val="auto"/>
        </w:rPr>
      </w:pPr>
    </w:p>
    <w:p>
      <w:pPr>
        <w:ind w:left="482" w:hanging="482"/>
        <w:spacing w:after="0"/>
        <w:tabs>
          <w:tab w:leader="none" w:pos="48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Termination</w:t>
      </w:r>
    </w:p>
    <w:p>
      <w:pPr>
        <w:spacing w:after="0" w:line="279" w:lineRule="exact"/>
        <w:rPr>
          <w:rFonts w:ascii="Arial" w:cs="Arial" w:eastAsia="Arial" w:hAnsi="Arial"/>
          <w:sz w:val="18"/>
          <w:szCs w:val="18"/>
          <w:color w:val="auto"/>
        </w:rPr>
      </w:pPr>
    </w:p>
    <w:p>
      <w:pPr>
        <w:ind w:left="482"/>
        <w:spacing w:after="0" w:line="286" w:lineRule="auto"/>
        <w:rPr>
          <w:rFonts w:ascii="Arial" w:cs="Arial" w:eastAsia="Arial" w:hAnsi="Arial"/>
          <w:sz w:val="18"/>
          <w:szCs w:val="18"/>
          <w:color w:val="auto"/>
        </w:rPr>
      </w:pPr>
      <w:r>
        <w:rPr>
          <w:rFonts w:ascii="Arial" w:cs="Arial" w:eastAsia="Arial" w:hAnsi="Arial"/>
          <w:sz w:val="16"/>
          <w:szCs w:val="16"/>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as defined in the Agreement, any outstanding Nonqualified Stock Option held by such Nonemployee Director under this Section 12, to the extent that it is exercisable on the date of such termination, may be exercised by such Nonemployee Director (or, if applicable, 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as defined in the Agreement,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as consultant, employee or in any other capacity.</w:t>
      </w:r>
    </w:p>
    <w:p>
      <w:pPr>
        <w:spacing w:after="0" w:line="181" w:lineRule="exact"/>
        <w:rPr>
          <w:sz w:val="20"/>
          <w:szCs w:val="20"/>
          <w:color w:val="auto"/>
        </w:rPr>
      </w:pPr>
    </w:p>
    <w:p>
      <w:pPr>
        <w:jc w:val="center"/>
        <w:ind w:right="25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231775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22"/>
          </w:cols>
          <w:pgMar w:left="518" w:top="617" w:right="259" w:bottom="1440" w:gutter="0" w:footer="0" w:header="0"/>
        </w:sectPr>
      </w:pPr>
    </w:p>
    <w:bookmarkStart w:id="27" w:name="page28"/>
    <w:bookmarkEnd w:id="27"/>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7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No person shall have any rights as a shareholder with respect to any shares of Company Stock covered by or relating to any Award until the date of issuance of a stock certificate with respect to such shares. Except as otherwise expressly provided in Section 3(c), no adjustment to any Award shall be made for dividends or other rights for which the record date occurs prior to the date such stock certificate is issued.</w:t>
      </w:r>
    </w:p>
    <w:p>
      <w:pPr>
        <w:spacing w:after="0" w:line="221"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Employment Rights; No Right to Award</w:t>
      </w:r>
    </w:p>
    <w:p>
      <w:pPr>
        <w:spacing w:after="0" w:line="279"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248"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221"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p>
    <w:p>
      <w:pPr>
        <w:spacing w:after="0" w:line="252" w:lineRule="exact"/>
        <w:rPr>
          <w:rFonts w:ascii="Arial" w:cs="Arial" w:eastAsia="Arial" w:hAnsi="Arial"/>
          <w:sz w:val="18"/>
          <w:szCs w:val="18"/>
          <w:color w:val="auto"/>
        </w:rPr>
      </w:pPr>
    </w:p>
    <w:p>
      <w:pPr>
        <w:ind w:left="760" w:hanging="482"/>
        <w:spacing w:after="0" w:line="289" w:lineRule="auto"/>
        <w:tabs>
          <w:tab w:leader="none" w:pos="7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evidencing shares of Company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 evidencing shares of Company Stock pursuant to the terms hereof, that the recipient of such shares make such agreements and representations, and that such certificates bear such legends, as the Committee, in its sole discretion, deems necessary or desirable.</w:t>
      </w:r>
    </w:p>
    <w:p>
      <w:pPr>
        <w:spacing w:after="0" w:line="199" w:lineRule="exact"/>
        <w:rPr>
          <w:rFonts w:ascii="Arial" w:cs="Arial" w:eastAsia="Arial" w:hAnsi="Arial"/>
          <w:sz w:val="16"/>
          <w:szCs w:val="16"/>
          <w:color w:val="auto"/>
        </w:rPr>
      </w:pPr>
    </w:p>
    <w:p>
      <w:pPr>
        <w:ind w:left="760" w:right="60" w:hanging="482"/>
        <w:spacing w:after="0" w:line="290" w:lineRule="auto"/>
        <w:tabs>
          <w:tab w:leader="none" w:pos="7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8" w:name="page29"/>
    <w:bookmarkEnd w:id="28"/>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279"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Whenever cash is to be paid pursuant to an Award, the Company shall have the right to deduct therefrom an amount sufficient to satisfy any federal, state and local withholding tax requirements related thereto.</w:t>
      </w:r>
    </w:p>
    <w:p>
      <w:pPr>
        <w:spacing w:after="0" w:line="240"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w:t>
      </w:r>
      <w:r>
        <w:rPr>
          <w:rFonts w:ascii="Arial" w:cs="Arial" w:eastAsia="Arial" w:hAnsi="Arial"/>
          <w:sz w:val="18"/>
          <w:szCs w:val="18"/>
          <w:b w:val="1"/>
          <w:bCs w:val="1"/>
          <w:color w:val="auto"/>
        </w:rPr>
        <w:t>.</w:t>
      </w:r>
      <w:r>
        <w:rPr>
          <w:rFonts w:ascii="Arial" w:cs="Arial" w:eastAsia="Arial" w:hAnsi="Arial"/>
          <w:sz w:val="18"/>
          <w:szCs w:val="18"/>
          <w:color w:val="auto"/>
        </w:rPr>
        <w:t xml:space="preserve"> Fractional share amounts shall be settled in cash. Such a withholding election may be made with respect to all or any portion of the shares to be delivered pursuant to an Award.</w:t>
      </w:r>
    </w:p>
    <w:p>
      <w:pPr>
        <w:spacing w:after="0" w:line="225"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Notification of Election Under Section 83(b) of the Code</w:t>
      </w:r>
    </w:p>
    <w:p>
      <w:pPr>
        <w:spacing w:after="0" w:line="279"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166"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Notification Upon Disqualifying Disposition Under Section 421(b) of the Code</w:t>
      </w:r>
    </w:p>
    <w:p>
      <w:pPr>
        <w:spacing w:after="0" w:line="279"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221"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279" w:lineRule="exact"/>
        <w:rPr>
          <w:sz w:val="20"/>
          <w:szCs w:val="20"/>
          <w:color w:val="auto"/>
        </w:rPr>
      </w:pPr>
    </w:p>
    <w:p>
      <w:pPr>
        <w:ind w:right="20" w:firstLine="270"/>
        <w:spacing w:after="0" w:line="314" w:lineRule="auto"/>
        <w:rPr>
          <w:sz w:val="20"/>
          <w:szCs w:val="20"/>
          <w:color w:val="auto"/>
        </w:rPr>
      </w:pPr>
      <w:r>
        <w:rPr>
          <w:rFonts w:ascii="Arial" w:cs="Arial" w:eastAsia="Arial" w:hAnsi="Arial"/>
          <w:sz w:val="15"/>
          <w:szCs w:val="15"/>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No action hereunder may, without the consent of a Participant, reduce the Participant's rights under any outstanding Award.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7" w:right="299" w:bottom="1440" w:gutter="0" w:footer="0" w:header="0"/>
        </w:sectPr>
      </w:pPr>
    </w:p>
    <w:bookmarkStart w:id="29" w:name="page30"/>
    <w:bookmarkEnd w:id="29"/>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279"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Upon the death of a Participant or Nonemployee Director, outstanding Awards granted to such Participant or Nonemployee Director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or Nonemployee Director and to be bound by the acknowledgments made by the Participant or Nonemployee Director in connection with the grant of the Award.</w:t>
      </w:r>
    </w:p>
    <w:p>
      <w:pPr>
        <w:spacing w:after="0" w:line="226" w:lineRule="exact"/>
        <w:rPr>
          <w:sz w:val="20"/>
          <w:szCs w:val="20"/>
          <w:color w:val="auto"/>
        </w:rPr>
      </w:pPr>
    </w:p>
    <w:p>
      <w:pPr>
        <w:ind w:right="160" w:firstLine="270"/>
        <w:spacing w:after="0" w:line="290" w:lineRule="auto"/>
        <w:rPr>
          <w:sz w:val="20"/>
          <w:szCs w:val="20"/>
          <w:color w:val="auto"/>
        </w:rPr>
      </w:pPr>
      <w:r>
        <w:rPr>
          <w:rFonts w:ascii="Arial" w:cs="Arial" w:eastAsia="Arial" w:hAnsi="Arial"/>
          <w:sz w:val="16"/>
          <w:szCs w:val="16"/>
          <w:color w:val="auto"/>
        </w:rPr>
        <w:t>During the lifetime of a Participant or Nonemployee Director,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or Nonemployee Director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or Nonemployee Director may be made in exchange for consideration.</w:t>
      </w:r>
    </w:p>
    <w:p>
      <w:pPr>
        <w:spacing w:after="0" w:line="199"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Expenses and Receipts</w:t>
      </w:r>
    </w:p>
    <w:p>
      <w:pPr>
        <w:spacing w:after="0" w:line="279" w:lineRule="exact"/>
        <w:rPr>
          <w:sz w:val="20"/>
          <w:szCs w:val="20"/>
          <w:color w:val="auto"/>
        </w:rPr>
      </w:pPr>
    </w:p>
    <w:p>
      <w:pPr>
        <w:ind w:right="420" w:firstLine="270"/>
        <w:spacing w:after="0" w:line="268" w:lineRule="auto"/>
        <w:rPr>
          <w:sz w:val="20"/>
          <w:szCs w:val="20"/>
          <w:color w:val="auto"/>
        </w:rPr>
      </w:pPr>
      <w:r>
        <w:rPr>
          <w:rFonts w:ascii="Arial" w:cs="Arial" w:eastAsia="Arial" w:hAnsi="Arial"/>
          <w:sz w:val="18"/>
          <w:szCs w:val="18"/>
          <w:color w:val="auto"/>
        </w:rPr>
        <w:t>The expenses of the Plan shall be paid by the Company. Any proceeds received by the Company in connection with any Award shall be used for general corporate purposes.</w:t>
      </w:r>
    </w:p>
    <w:p>
      <w:pPr>
        <w:spacing w:after="0" w:line="213"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Failure to Comply</w:t>
      </w:r>
    </w:p>
    <w:p>
      <w:pPr>
        <w:spacing w:after="0" w:line="279"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In addition to the remedies of the Company elsewhere provided for herein, failure by a Participant or Nonemployee Director (or beneficiary) to comply with any of the terms and conditions of the Plan or the applicable Agreement, unless such failure is remedied by such Participant or Nonemployee Director (or beneficiary) within ten days after notice of such failure by the Committee, shall be grounds for the cancellation and forfeiture of such Award, in whole or in part, as the Committee, in its absolute discretion, may determine.</w:t>
      </w:r>
    </w:p>
    <w:p>
      <w:pPr>
        <w:spacing w:after="0" w:line="224"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279"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The Plan shall be subject to the requisite approval of the shareholders of the Company. Unless earlier terminated by the Board of Directors, the right to grant Awards under the Plan shall terminate on December 31, 2016. Awards outstanding at Plan termination shall remain in effect according to their terms and the provisions of the Plan.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30" w:name="page31"/>
    <w:bookmarkEnd w:id="30"/>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279"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New York without reference to its principles of conflicts of law.</w:t>
      </w:r>
    </w:p>
    <w:p>
      <w:pPr>
        <w:spacing w:after="0" w:line="213"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Participant Rights</w:t>
      </w:r>
    </w:p>
    <w:p>
      <w:pPr>
        <w:spacing w:after="0" w:line="279" w:lineRule="exact"/>
        <w:rPr>
          <w:sz w:val="20"/>
          <w:szCs w:val="20"/>
          <w:color w:val="auto"/>
        </w:rPr>
      </w:pPr>
    </w:p>
    <w:p>
      <w:pPr>
        <w:ind w:right="140" w:firstLine="270"/>
        <w:spacing w:after="0" w:line="306" w:lineRule="auto"/>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 Except as provided specifically herein, a Participant or a transferee of an Award (including a transferee of a Nonemployee Director) shall have no rights as a shareholder with respect to any shares covered by any Award until the date of the issuance of a Company Stock certificate to him or her for such shares.</w:t>
      </w:r>
    </w:p>
    <w:p>
      <w:pPr>
        <w:spacing w:after="0" w:line="188"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p>
    <w:p>
      <w:pPr>
        <w:spacing w:after="0" w:line="279"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221"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p>
    <w:p>
      <w:pPr>
        <w:spacing w:after="0" w:line="279" w:lineRule="exact"/>
        <w:rPr>
          <w:sz w:val="20"/>
          <w:szCs w:val="20"/>
          <w:color w:val="auto"/>
        </w:rPr>
      </w:pPr>
    </w:p>
    <w:p>
      <w:pPr>
        <w:ind w:right="20" w:firstLine="270"/>
        <w:spacing w:after="0" w:line="370" w:lineRule="auto"/>
        <w:rPr>
          <w:sz w:val="20"/>
          <w:szCs w:val="20"/>
          <w:color w:val="auto"/>
        </w:rPr>
      </w:pPr>
      <w:r>
        <w:rPr>
          <w:rFonts w:ascii="Arial" w:cs="Arial" w:eastAsia="Arial" w:hAnsi="Arial"/>
          <w:sz w:val="15"/>
          <w:szCs w:val="15"/>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43"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279" w:lineRule="exact"/>
        <w:rPr>
          <w:sz w:val="20"/>
          <w:szCs w:val="20"/>
          <w:color w:val="auto"/>
        </w:rPr>
      </w:pPr>
    </w:p>
    <w:p>
      <w:pPr>
        <w:ind w:right="280" w:firstLine="270"/>
        <w:spacing w:after="0" w:line="306" w:lineRule="auto"/>
        <w:rPr>
          <w:sz w:val="20"/>
          <w:szCs w:val="20"/>
          <w:color w:val="auto"/>
        </w:rPr>
      </w:pPr>
      <w:r>
        <w:rPr>
          <w:rFonts w:ascii="Arial" w:cs="Arial" w:eastAsia="Arial" w:hAnsi="Arial"/>
          <w:sz w:val="16"/>
          <w:szCs w:val="16"/>
          <w:color w:val="auto"/>
        </w:rPr>
        <w:t>A Participant or Nonemployee Director may file with the Committee a written designation of a beneficiary on such form as may be prescribed by the Committee and may, from time to time, amend or revoke such designation. If no designated beneficiary survives the Participant or Nonemployee Director, the executor or administrator of the Participant's or Nonemployee Director's estate shall be deemed to be the grantee's beneficiary.</w:t>
      </w:r>
    </w:p>
    <w:p>
      <w:pPr>
        <w:spacing w:after="0" w:line="188"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79"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The Plan is designed and intended to comply with Rule 16b-3 and, to the extent applicable, with Sections 162(m) and 409A of the Code, and all provisions hereof shall be construed in a manner to so comply.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31" w:name="page32"/>
    <w:bookmarkEnd w:id="31"/>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279"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213"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Certain Limitations on Vesting of Awards Other than Options and Stock Appreciation Rights</w:t>
      </w:r>
      <w:r>
        <w:rPr>
          <w:rFonts w:ascii="Arial" w:cs="Arial" w:eastAsia="Arial" w:hAnsi="Arial"/>
          <w:sz w:val="18"/>
          <w:szCs w:val="18"/>
          <w:color w:val="auto"/>
        </w:rPr>
        <w:t>.</w:t>
      </w:r>
    </w:p>
    <w:p>
      <w:pPr>
        <w:spacing w:after="0" w:line="27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Notwithstanding any provisions of the Plan to the contrary (but subject to the last two sentences of this Section 31), if the vesting condition for any Award (other than an Option or a stock appreciation right) made to a Participant who is an employee is based solely upon continued employment for a period of time, such vesting period shall not be less than 36 months for the vesting of the entire Award; provided that one third of each such Award may vest on each anniversary of the date of grant prior to the completion of such 36 month period. If the vesting condition for any Award (other than an Option or a stock appreciation right) made to a Participant who is an employee is based upon the attainment of specified performance measures, such performance vesting period shall not be less than one (1) year. The provisions of this Section 31 shall not be construed to limit the authority of the Committee to provide for accelerated vesting upon a Change in Control or upon a termination of a Participant's employment and shall not apply to awards granted prior to April 28, 2008. In addition, the Committee may, in its discretion, grant Awards after April 28, 2008 with respect to not more than 1,000,000 shares of Company Stock which do not comply with the conditions of this Section 31 (for the avoidance of doubt it being understood that this Section 31 does not limit or restrict in any way the vesting conditions that may be applicable to Awards consisting of Options or stock appreciation rights).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61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1)"/>
      <w:numFmt w:val="decimal"/>
      <w:start w:val="1"/>
    </w:lvl>
    <w:lvl w:ilvl="1">
      <w:lvlJc w:val="left"/>
      <w:lvlText w:val="(%2)"/>
      <w:numFmt w:val="lowerRoman"/>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2"/>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5"/>
    </w:lvl>
    <w:lvl w:ilvl="1">
      <w:lvlJc w:val="left"/>
      <w:lvlText w:val="(%2)"/>
      <w:numFmt w:val="decimal"/>
      <w:start w:val="1"/>
    </w:lvl>
  </w:abstractNum>
  <w:abstractNum w:abstractNumId="9">
    <w:nsid w:val="3006C83E"/>
    <w:multiLevelType w:val="hybridMultilevel"/>
    <w:lvl w:ilvl="0">
      <w:lvlJc w:val="left"/>
      <w:lvlText w:val="(%1)"/>
      <w:numFmt w:val="lowerLetter"/>
      <w:start w:val="6"/>
    </w:lvl>
  </w:abstractNum>
  <w:abstractNum w:abstractNumId="10">
    <w:nsid w:val="614FD4A1"/>
    <w:multiLevelType w:val="hybridMultilevel"/>
    <w:lvl w:ilvl="0">
      <w:lvlJc w:val="left"/>
      <w:lvlText w:val="(%1)"/>
      <w:numFmt w:val="lowerLetter"/>
      <w:start w:val="17"/>
    </w:lvl>
  </w:abstractNum>
  <w:abstractNum w:abstractNumId="11">
    <w:nsid w:val="419AC241"/>
    <w:multiLevelType w:val="hybridMultilevel"/>
    <w:lvl w:ilvl="0">
      <w:lvlJc w:val="left"/>
      <w:lvlText w:val="%1"/>
      <w:numFmt w:val="decimal"/>
      <w:start w:val="1"/>
    </w:lvl>
    <w:lvl w:ilvl="1">
      <w:lvlJc w:val="left"/>
      <w:lvlText w:val="(%2)"/>
      <w:numFmt w:val="lowerLetter"/>
      <w:start w:val="27"/>
    </w:lvl>
  </w:abstractNum>
  <w:abstractNum w:abstractNumId="12">
    <w:nsid w:val="5577F8E1"/>
    <w:multiLevelType w:val="hybridMultilevel"/>
    <w:lvl w:ilvl="0">
      <w:lvlJc w:val="left"/>
      <w:lvlText w:val="%1."/>
      <w:numFmt w:val="decimal"/>
      <w:start w:val="3"/>
    </w:lvl>
    <w:lvl w:ilvl="1">
      <w:lvlJc w:val="left"/>
      <w:lvlText w:val="(%2)"/>
      <w:numFmt w:val="lowerLetter"/>
      <w:start w:val="1"/>
    </w:lvl>
  </w:abstractNum>
  <w:abstractNum w:abstractNumId="13">
    <w:nsid w:val="440BADFC"/>
    <w:multiLevelType w:val="hybridMultilevel"/>
    <w:lvl w:ilvl="0">
      <w:lvlJc w:val="left"/>
      <w:lvlText w:val="(%1)"/>
      <w:numFmt w:val="lowerLetter"/>
      <w:start w:val="2"/>
    </w:lvl>
  </w:abstractNum>
  <w:abstractNum w:abstractNumId="14">
    <w:nsid w:val="5072367"/>
    <w:multiLevelType w:val="hybridMultilevel"/>
    <w:lvl w:ilvl="0">
      <w:lvlJc w:val="left"/>
      <w:lvlText w:val="(%1)"/>
      <w:numFmt w:val="lowerLetter"/>
      <w:start w:val="3"/>
    </w:lvl>
  </w:abstractNum>
  <w:abstractNum w:abstractNumId="15">
    <w:nsid w:val="3804823E"/>
    <w:multiLevelType w:val="hybridMultilevel"/>
    <w:lvl w:ilvl="0">
      <w:lvlJc w:val="left"/>
      <w:lvlText w:val="(%1)"/>
      <w:numFmt w:val="lowerLetter"/>
      <w:start w:val="4"/>
    </w:lvl>
  </w:abstractNum>
  <w:abstractNum w:abstractNumId="16">
    <w:nsid w:val="77465F01"/>
    <w:multiLevelType w:val="hybridMultilevel"/>
    <w:lvl w:ilvl="0">
      <w:lvlJc w:val="left"/>
      <w:lvlText w:val="(%1)"/>
      <w:numFmt w:val="lowerLetter"/>
      <w:start w:val="5"/>
    </w:lvl>
  </w:abstractNum>
  <w:abstractNum w:abstractNumId="17">
    <w:nsid w:val="7724C67E"/>
    <w:multiLevelType w:val="hybridMultilevel"/>
    <w:lvl w:ilvl="0">
      <w:lvlJc w:val="left"/>
      <w:lvlText w:val="%1."/>
      <w:numFmt w:val="decimal"/>
      <w:start w:val="4"/>
    </w:lvl>
  </w:abstractNum>
  <w:abstractNum w:abstractNumId="18">
    <w:nsid w:val="5C482A97"/>
    <w:multiLevelType w:val="hybridMultilevel"/>
    <w:lvl w:ilvl="0">
      <w:lvlJc w:val="left"/>
      <w:lvlText w:val="%1."/>
      <w:numFmt w:val="decimal"/>
      <w:start w:val="5"/>
    </w:lvl>
  </w:abstractNum>
  <w:abstractNum w:abstractNumId="19">
    <w:nsid w:val="2463B9EA"/>
    <w:multiLevelType w:val="hybridMultilevel"/>
    <w:lvl w:ilvl="0">
      <w:lvlJc w:val="left"/>
      <w:lvlText w:val="%1."/>
      <w:numFmt w:val="decimal"/>
      <w:start w:val="6"/>
    </w:lvl>
  </w:abstractNum>
  <w:abstractNum w:abstractNumId="20">
    <w:nsid w:val="5E884ADC"/>
    <w:multiLevelType w:val="hybridMultilevel"/>
    <w:lvl w:ilvl="0">
      <w:lvlJc w:val="left"/>
      <w:lvlText w:val="%1."/>
      <w:numFmt w:val="decimal"/>
      <w:start w:val="7"/>
    </w:lvl>
    <w:lvl w:ilvl="1">
      <w:lvlJc w:val="left"/>
      <w:lvlText w:val="(%2)"/>
      <w:numFmt w:val="lowerLetter"/>
      <w:start w:val="1"/>
    </w:lvl>
  </w:abstractNum>
  <w:abstractNum w:abstractNumId="21">
    <w:nsid w:val="51EAD36B"/>
    <w:multiLevelType w:val="hybridMultilevel"/>
    <w:lvl w:ilvl="0">
      <w:lvlJc w:val="left"/>
      <w:lvlText w:val="(%1)"/>
      <w:numFmt w:val="lowerLetter"/>
      <w:start w:val="3"/>
    </w:lvl>
    <w:lvl w:ilvl="1">
      <w:lvlJc w:val="left"/>
      <w:lvlText w:val="(%2)"/>
      <w:numFmt w:val="decimal"/>
      <w:start w:val="1"/>
    </w:lvl>
  </w:abstractNum>
  <w:abstractNum w:abstractNumId="22">
    <w:nsid w:val="2D517796"/>
    <w:multiLevelType w:val="hybridMultilevel"/>
    <w:lvl w:ilvl="0">
      <w:lvlJc w:val="left"/>
      <w:lvlText w:val="%1"/>
      <w:numFmt w:val="lowerLetter"/>
      <w:start w:val="1"/>
    </w:lvl>
    <w:lvl w:ilvl="1">
      <w:lvlJc w:val="left"/>
      <w:lvlText w:val="(%2)"/>
      <w:numFmt w:val="decimal"/>
      <w:start w:val="2"/>
    </w:lvl>
  </w:abstractNum>
  <w:abstractNum w:abstractNumId="23">
    <w:nsid w:val="580BD78F"/>
    <w:multiLevelType w:val="hybridMultilevel"/>
    <w:lvl w:ilvl="0">
      <w:lvlJc w:val="left"/>
      <w:lvlText w:val="(%1)"/>
      <w:numFmt w:val="lowerLetter"/>
      <w:start w:val="5"/>
    </w:lvl>
    <w:lvl w:ilvl="1">
      <w:lvlJc w:val="left"/>
      <w:lvlText w:val="(%2)"/>
      <w:numFmt w:val="decimal"/>
      <w:start w:val="1"/>
    </w:lvl>
  </w:abstractNum>
  <w:abstractNum w:abstractNumId="24">
    <w:nsid w:val="153EA438"/>
    <w:multiLevelType w:val="hybridMultilevel"/>
    <w:lvl w:ilvl="0">
      <w:lvlJc w:val="left"/>
      <w:lvlText w:val="%1"/>
      <w:numFmt w:val="decimal"/>
      <w:start w:val="1"/>
    </w:lvl>
    <w:lvl w:ilvl="1">
      <w:lvlJc w:val="left"/>
      <w:lvlText w:val="(%2)"/>
      <w:numFmt w:val="lowerLetter"/>
      <w:start w:val="6"/>
    </w:lvl>
  </w:abstractNum>
  <w:abstractNum w:abstractNumId="25">
    <w:nsid w:val="3855585C"/>
    <w:multiLevelType w:val="hybridMultilevel"/>
    <w:lvl w:ilvl="0">
      <w:lvlJc w:val="left"/>
      <w:lvlText w:val="%1."/>
      <w:numFmt w:val="decimal"/>
      <w:start w:val="8"/>
    </w:lvl>
    <w:lvl w:ilvl="1">
      <w:lvlJc w:val="left"/>
      <w:lvlText w:val="(%2)"/>
      <w:numFmt w:val="lowerLetter"/>
      <w:start w:val="1"/>
    </w:lvl>
  </w:abstractNum>
  <w:abstractNum w:abstractNumId="26">
    <w:nsid w:val="70A64E2A"/>
    <w:multiLevelType w:val="hybridMultilevel"/>
    <w:lvl w:ilvl="0">
      <w:lvlJc w:val="left"/>
      <w:lvlText w:val="(%1)"/>
      <w:numFmt w:val="lowerLetter"/>
      <w:start w:val="4"/>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lowerLetter"/>
      <w:start w:val="1"/>
    </w:lvl>
    <w:lvl w:ilvl="1">
      <w:lvlJc w:val="left"/>
      <w:lvlText w:val="(%2)"/>
      <w:numFmt w:val="decimal"/>
      <w:start w:val="2"/>
    </w:lvl>
  </w:abstractNum>
  <w:abstractNum w:abstractNumId="29">
    <w:nsid w:val="1D4ED43B"/>
    <w:multiLevelType w:val="hybridMultilevel"/>
    <w:lvl w:ilvl="0">
      <w:lvlJc w:val="left"/>
      <w:lvlText w:val="(%1)"/>
      <w:numFmt w:val="lowerLetter"/>
      <w:start w:val="7"/>
    </w:lvl>
    <w:lvl w:ilvl="1">
      <w:lvlJc w:val="left"/>
      <w:lvlText w:val="%2"/>
      <w:numFmt w:val="decimal"/>
      <w:start w:val="1"/>
    </w:lvl>
  </w:abstractNum>
  <w:abstractNum w:abstractNumId="30">
    <w:nsid w:val="725A06FB"/>
    <w:multiLevelType w:val="hybridMultilevel"/>
    <w:lvl w:ilvl="0">
      <w:lvlJc w:val="left"/>
      <w:lvlText w:val="(%1)"/>
      <w:numFmt w:val="lowerLetter"/>
      <w:start w:val="8"/>
    </w:lvl>
    <w:lvl w:ilvl="1">
      <w:lvlJc w:val="left"/>
      <w:lvlText w:val="(%2)"/>
      <w:numFmt w:val="decimal"/>
      <w:start w:val="1"/>
    </w:lvl>
  </w:abstractNum>
  <w:abstractNum w:abstractNumId="31">
    <w:nsid w:val="2CD89A32"/>
    <w:multiLevelType w:val="hybridMultilevel"/>
    <w:lvl w:ilvl="0">
      <w:lvlJc w:val="left"/>
      <w:lvlText w:val="%1"/>
      <w:numFmt w:val="lowerLetter"/>
      <w:start w:val="1"/>
    </w:lvl>
    <w:lvl w:ilvl="1">
      <w:lvlJc w:val="left"/>
      <w:lvlText w:val="(%2)"/>
      <w:numFmt w:val="decimal"/>
      <w:start w:val="13"/>
    </w:lvl>
  </w:abstractNum>
  <w:abstractNum w:abstractNumId="32">
    <w:nsid w:val="57E4CCAF"/>
    <w:multiLevelType w:val="hybridMultilevel"/>
    <w:lvl w:ilvl="0">
      <w:lvlJc w:val="left"/>
      <w:lvlText w:val="%1."/>
      <w:numFmt w:val="decimal"/>
      <w:start w:val="9"/>
    </w:lvl>
    <w:lvl w:ilvl="1">
      <w:lvlJc w:val="left"/>
      <w:lvlText w:val="(%2)"/>
      <w:numFmt w:val="lowerLetter"/>
      <w:start w:val="1"/>
    </w:lvl>
  </w:abstractNum>
  <w:abstractNum w:abstractNumId="33">
    <w:nsid w:val="7A6D8D3C"/>
    <w:multiLevelType w:val="hybridMultilevel"/>
    <w:lvl w:ilvl="0">
      <w:lvlJc w:val="left"/>
      <w:lvlText w:val="%1"/>
      <w:numFmt w:val="decimal"/>
      <w:start w:val="1"/>
    </w:lvl>
    <w:lvl w:ilvl="1">
      <w:lvlJc w:val="left"/>
      <w:lvlText w:val="(%2)"/>
      <w:numFmt w:val="lowerLetter"/>
      <w:start w:val="5"/>
    </w:lvl>
  </w:abstractNum>
  <w:abstractNum w:abstractNumId="34">
    <w:nsid w:val="4B588F54"/>
    <w:multiLevelType w:val="hybridMultilevel"/>
    <w:lvl w:ilvl="0">
      <w:lvlJc w:val="left"/>
      <w:lvlText w:val="%1."/>
      <w:numFmt w:val="decimal"/>
      <w:start w:val="10"/>
    </w:lvl>
    <w:lvl w:ilvl="1">
      <w:lvlJc w:val="left"/>
      <w:lvlText w:val="%2"/>
      <w:numFmt w:val="lowerLetter"/>
      <w:start w:val="1"/>
    </w:lvl>
  </w:abstractNum>
  <w:abstractNum w:abstractNumId="35">
    <w:nsid w:val="542289EC"/>
    <w:multiLevelType w:val="hybridMultilevel"/>
    <w:lvl w:ilvl="0">
      <w:lvlJc w:val="left"/>
      <w:lvlText w:val="%1."/>
      <w:numFmt w:val="decimal"/>
      <w:start w:val="11"/>
    </w:lvl>
  </w:abstractNum>
  <w:abstractNum w:abstractNumId="36">
    <w:nsid w:val="6DE91B18"/>
    <w:multiLevelType w:val="hybridMultilevel"/>
    <w:lvl w:ilvl="0">
      <w:lvlJc w:val="left"/>
      <w:lvlText w:val="%1."/>
      <w:numFmt w:val="decimal"/>
      <w:start w:val="12"/>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decimal"/>
      <w:start w:val="13"/>
    </w:lvl>
  </w:abstractNum>
  <w:abstractNum w:abstractNumId="39">
    <w:nsid w:val="32FFF902"/>
    <w:multiLevelType w:val="hybridMultilevel"/>
    <w:lvl w:ilvl="0">
      <w:lvlJc w:val="left"/>
      <w:lvlText w:val="%1."/>
      <w:numFmt w:val="decimal"/>
      <w:start w:val="14"/>
    </w:lvl>
  </w:abstractNum>
  <w:abstractNum w:abstractNumId="40">
    <w:nsid w:val="684A481A"/>
    <w:multiLevelType w:val="hybridMultilevel"/>
    <w:lvl w:ilvl="0">
      <w:lvlJc w:val="left"/>
      <w:lvlText w:val="%1."/>
      <w:numFmt w:val="decimal"/>
      <w:start w:val="15"/>
    </w:lvl>
    <w:lvl w:ilvl="1">
      <w:lvlJc w:val="left"/>
      <w:lvlText w:val="(%2)"/>
      <w:numFmt w:val="lowerLetter"/>
      <w:start w:val="1"/>
    </w:lvl>
  </w:abstractNum>
  <w:abstractNum w:abstractNumId="41">
    <w:nsid w:val="579478FE"/>
    <w:multiLevelType w:val="hybridMultilevel"/>
    <w:lvl w:ilvl="0">
      <w:lvlJc w:val="left"/>
      <w:lvlText w:val="%1."/>
      <w:numFmt w:val="decimal"/>
      <w:start w:val="16"/>
    </w:lvl>
  </w:abstractNum>
  <w:abstractNum w:abstractNumId="42">
    <w:nsid w:val="749ABB43"/>
    <w:multiLevelType w:val="hybridMultilevel"/>
    <w:lvl w:ilvl="0">
      <w:lvlJc w:val="left"/>
      <w:lvlText w:val="%1."/>
      <w:numFmt w:val="decimal"/>
      <w:start w:val="17"/>
    </w:lvl>
  </w:abstractNum>
  <w:abstractNum w:abstractNumId="43">
    <w:nsid w:val="3DC240FB"/>
    <w:multiLevelType w:val="hybridMultilevel"/>
    <w:lvl w:ilvl="0">
      <w:lvlJc w:val="left"/>
      <w:lvlText w:val="%1."/>
      <w:numFmt w:val="decimal"/>
      <w:start w:val="18"/>
    </w:lvl>
  </w:abstractNum>
  <w:abstractNum w:abstractNumId="44">
    <w:nsid w:val="1BA026FA"/>
    <w:multiLevelType w:val="hybridMultilevel"/>
    <w:lvl w:ilvl="0">
      <w:lvlJc w:val="left"/>
      <w:lvlText w:val="%1."/>
      <w:numFmt w:val="decimal"/>
      <w:start w:val="19"/>
    </w:lvl>
  </w:abstractNum>
  <w:abstractNum w:abstractNumId="45">
    <w:nsid w:val="79A1DEAA"/>
    <w:multiLevelType w:val="hybridMultilevel"/>
    <w:lvl w:ilvl="0">
      <w:lvlJc w:val="left"/>
      <w:lvlText w:val="%1."/>
      <w:numFmt w:val="decimal"/>
      <w:start w:val="20"/>
    </w:lvl>
  </w:abstractNum>
  <w:abstractNum w:abstractNumId="46">
    <w:nsid w:val="75C6C33A"/>
    <w:multiLevelType w:val="hybridMultilevel"/>
    <w:lvl w:ilvl="0">
      <w:lvlJc w:val="left"/>
      <w:lvlText w:val="%1."/>
      <w:numFmt w:val="decimal"/>
      <w:start w:val="21"/>
    </w:lvl>
  </w:abstractNum>
  <w:abstractNum w:abstractNumId="47">
    <w:nsid w:val="12E685FB"/>
    <w:multiLevelType w:val="hybridMultilevel"/>
    <w:lvl w:ilvl="0">
      <w:lvlJc w:val="left"/>
      <w:lvlText w:val="%1."/>
      <w:numFmt w:val="decimal"/>
      <w:start w:val="22"/>
    </w:lvl>
  </w:abstractNum>
  <w:abstractNum w:abstractNumId="48">
    <w:nsid w:val="70C6A529"/>
    <w:multiLevelType w:val="hybridMultilevel"/>
    <w:lvl w:ilvl="0">
      <w:lvlJc w:val="left"/>
      <w:lvlText w:val="%1."/>
      <w:numFmt w:val="decimal"/>
      <w:start w:val="23"/>
    </w:lvl>
  </w:abstractNum>
  <w:abstractNum w:abstractNumId="49">
    <w:nsid w:val="520EEDD1"/>
    <w:multiLevelType w:val="hybridMultilevel"/>
    <w:lvl w:ilvl="0">
      <w:lvlJc w:val="left"/>
      <w:lvlText w:val="%1."/>
      <w:numFmt w:val="decimal"/>
      <w:start w:val="24"/>
    </w:lvl>
  </w:abstractNum>
  <w:abstractNum w:abstractNumId="50">
    <w:nsid w:val="374A3FE6"/>
    <w:multiLevelType w:val="hybridMultilevel"/>
    <w:lvl w:ilvl="0">
      <w:lvlJc w:val="left"/>
      <w:lvlText w:val="%1."/>
      <w:numFmt w:val="decimal"/>
      <w:start w:val="25"/>
    </w:lvl>
  </w:abstractNum>
  <w:abstractNum w:abstractNumId="51">
    <w:nsid w:val="4F4EF005"/>
    <w:multiLevelType w:val="hybridMultilevel"/>
    <w:lvl w:ilvl="0">
      <w:lvlJc w:val="left"/>
      <w:lvlText w:val="%1."/>
      <w:numFmt w:val="decimal"/>
      <w:start w:val="26"/>
    </w:lvl>
  </w:abstractNum>
  <w:abstractNum w:abstractNumId="52">
    <w:nsid w:val="23F9C13C"/>
    <w:multiLevelType w:val="hybridMultilevel"/>
    <w:lvl w:ilvl="0">
      <w:lvlJc w:val="left"/>
      <w:lvlText w:val="%1."/>
      <w:numFmt w:val="decimal"/>
      <w:start w:val="27"/>
    </w:lvl>
  </w:abstractNum>
  <w:abstractNum w:abstractNumId="53">
    <w:nsid w:val="649BB77C"/>
    <w:multiLevelType w:val="hybridMultilevel"/>
    <w:lvl w:ilvl="0">
      <w:lvlJc w:val="left"/>
      <w:lvlText w:val="%1."/>
      <w:numFmt w:val="decimal"/>
      <w:start w:val="28"/>
    </w:lvl>
  </w:abstractNum>
  <w:abstractNum w:abstractNumId="54">
    <w:nsid w:val="275AC794"/>
    <w:multiLevelType w:val="hybridMultilevel"/>
    <w:lvl w:ilvl="0">
      <w:lvlJc w:val="left"/>
      <w:lvlText w:val="%1."/>
      <w:numFmt w:val="decimal"/>
      <w:start w:val="29"/>
    </w:lvl>
  </w:abstractNum>
  <w:abstractNum w:abstractNumId="55">
    <w:nsid w:val="39386575"/>
    <w:multiLevelType w:val="hybridMultilevel"/>
    <w:lvl w:ilvl="0">
      <w:lvlJc w:val="left"/>
      <w:lvlText w:val="%1."/>
      <w:numFmt w:val="decimal"/>
      <w:start w:val="30"/>
    </w:lvl>
  </w:abstractNum>
  <w:abstractNum w:abstractNumId="56">
    <w:nsid w:val="1CF10FD8"/>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2019-12-10T10:31:08Z</dcterms:created>
  <dcterms:modified xsi:type="dcterms:W3CDTF">2019-12-10T10:31:08Z</dcterms:modified>
</cp:coreProperties>
</file>