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Courier New" w:cs="Courier New" w:eastAsia="Courier New" w:hAnsi="Courier New"/>
          <w:sz w:val="18"/>
          <w:szCs w:val="18"/>
          <w:color w:val="auto"/>
        </w:rPr>
        <w:t>UNITED STATES</w:t>
      </w:r>
    </w:p>
    <w:p>
      <w:pPr>
        <w:jc w:val="center"/>
        <w:ind w:right="4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4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499"/>
        <w:spacing w:after="0"/>
        <w:rPr>
          <w:sz w:val="20"/>
          <w:szCs w:val="20"/>
          <w:color w:val="auto"/>
        </w:rPr>
      </w:pPr>
      <w:r>
        <w:rPr>
          <w:rFonts w:ascii="Courier New" w:cs="Courier New" w:eastAsia="Courier New" w:hAnsi="Courier New"/>
          <w:sz w:val="18"/>
          <w:szCs w:val="18"/>
          <w:color w:val="auto"/>
        </w:rPr>
        <w:t>SCHEDULE 13G</w:t>
      </w:r>
    </w:p>
    <w:p>
      <w:pPr>
        <w:jc w:val="center"/>
        <w:ind w:right="6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619"/>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4"/>
          <w:szCs w:val="24"/>
          <w:color w:val="auto"/>
        </w:rPr>
      </w:pPr>
    </w:p>
    <w:p>
      <w:pPr>
        <w:jc w:val="center"/>
        <w:ind w:right="93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93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93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75886F107</w:t>
      </w:r>
    </w:p>
    <w:p>
      <w:pPr>
        <w:spacing w:after="0" w:line="201" w:lineRule="exact"/>
        <w:rPr>
          <w:sz w:val="24"/>
          <w:szCs w:val="24"/>
          <w:color w:val="auto"/>
        </w:rPr>
      </w:pPr>
    </w:p>
    <w:p>
      <w:pPr>
        <w:jc w:val="center"/>
        <w:ind w:right="939"/>
        <w:spacing w:after="0"/>
        <w:rPr>
          <w:sz w:val="20"/>
          <w:szCs w:val="20"/>
          <w:color w:val="auto"/>
        </w:rPr>
      </w:pPr>
      <w:r>
        <w:rPr>
          <w:rFonts w:ascii="Courier New" w:cs="Courier New" w:eastAsia="Courier New" w:hAnsi="Courier New"/>
          <w:sz w:val="18"/>
          <w:szCs w:val="18"/>
          <w:color w:val="auto"/>
        </w:rPr>
        <w:t>(CUSIP Number)</w:t>
      </w:r>
    </w:p>
    <w:p>
      <w:pPr>
        <w:jc w:val="center"/>
        <w:ind w:right="939"/>
        <w:spacing w:after="0" w:line="238" w:lineRule="auto"/>
        <w:rPr>
          <w:sz w:val="20"/>
          <w:szCs w:val="20"/>
          <w:color w:val="auto"/>
        </w:rPr>
      </w:pPr>
      <w:r>
        <w:rPr>
          <w:rFonts w:ascii="Courier New" w:cs="Courier New" w:eastAsia="Courier New" w:hAnsi="Courier New"/>
          <w:sz w:val="18"/>
          <w:szCs w:val="18"/>
          <w:color w:val="auto"/>
        </w:rPr>
        <w:t>12/31/2007</w:t>
      </w:r>
    </w:p>
    <w:p>
      <w:pPr>
        <w:spacing w:after="0" w:line="202"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 Schedule is filed:</w:t>
      </w:r>
    </w:p>
    <w:p>
      <w:pPr>
        <w:spacing w:after="0" w:line="16" w:lineRule="exact"/>
        <w:rPr>
          <w:sz w:val="24"/>
          <w:szCs w:val="24"/>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7" w:lineRule="exact"/>
        <w:rPr>
          <w:sz w:val="24"/>
          <w:szCs w:val="24"/>
          <w:color w:val="auto"/>
        </w:rPr>
      </w:pPr>
    </w:p>
    <w:p>
      <w:pPr>
        <w:ind w:right="6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6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CUSIP No. 75886F107</w:t>
      </w:r>
    </w:p>
    <w:p>
      <w:pPr>
        <w:spacing w:after="0" w:line="207"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ind w:left="1700" w:right="5779" w:hanging="955"/>
        <w:spacing w:after="0" w:line="290" w:lineRule="auto"/>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w:t>
      </w:r>
    </w:p>
    <w:p>
      <w:pPr>
        <w:spacing w:after="0" w:line="164"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OppenheimerFunds, Inc.</w:t>
      </w:r>
    </w:p>
    <w:p>
      <w:pPr>
        <w:ind w:left="1700"/>
        <w:spacing w:after="0" w:line="238" w:lineRule="auto"/>
        <w:rPr>
          <w:sz w:val="20"/>
          <w:szCs w:val="20"/>
          <w:color w:val="auto"/>
        </w:rPr>
      </w:pPr>
      <w:r>
        <w:rPr>
          <w:rFonts w:ascii="Courier New" w:cs="Courier New" w:eastAsia="Courier New" w:hAnsi="Courier New"/>
          <w:sz w:val="18"/>
          <w:szCs w:val="18"/>
          <w:color w:val="auto"/>
        </w:rPr>
        <w:t>13-2527171</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ind w:left="1800" w:right="1259" w:hanging="1055"/>
        <w:spacing w:after="0" w:line="235" w:lineRule="auto"/>
        <w:tabs>
          <w:tab w:leader="none" w:pos="18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Joint filing</w:t>
      </w:r>
    </w:p>
    <w:p>
      <w:pPr>
        <w:spacing w:after="0" w:line="6"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1700" w:hanging="955"/>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ind w:left="1700" w:right="4619" w:hanging="955"/>
        <w:spacing w:after="0" w:line="235"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Colorado</w:t>
      </w:r>
    </w:p>
    <w:p>
      <w:pPr>
        <w:spacing w:after="0" w:line="6"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ind w:left="200"/>
        <w:spacing w:after="0"/>
        <w:rPr>
          <w:sz w:val="20"/>
          <w:szCs w:val="20"/>
          <w:color w:val="auto"/>
        </w:rPr>
      </w:pPr>
      <w:r>
        <w:rPr>
          <w:rFonts w:ascii="Courier New" w:cs="Courier New" w:eastAsia="Courier New" w:hAnsi="Courier New"/>
          <w:sz w:val="18"/>
          <w:szCs w:val="18"/>
          <w:color w:val="auto"/>
        </w:rPr>
        <w:t>Number of</w:t>
      </w:r>
    </w:p>
    <w:p>
      <w:pPr>
        <w:ind w:left="420"/>
        <w:spacing w:after="0"/>
        <w:tabs>
          <w:tab w:leader="none" w:pos="1560" w:val="left"/>
          <w:tab w:leader="none" w:pos="21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Sole Voting Power:</w:t>
      </w:r>
    </w:p>
    <w:p>
      <w:pPr>
        <w:ind w:left="100"/>
        <w:spacing w:after="0"/>
        <w:tabs>
          <w:tab w:leader="none" w:pos="208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8"/>
          <w:szCs w:val="18"/>
          <w:color w:val="auto"/>
        </w:rPr>
        <w:t>0</w:t>
      </w:r>
    </w:p>
    <w:p>
      <w:pPr>
        <w:ind w:left="300"/>
        <w:spacing w:after="0" w:line="237" w:lineRule="auto"/>
        <w:rPr>
          <w:sz w:val="20"/>
          <w:szCs w:val="20"/>
          <w:color w:val="auto"/>
        </w:rPr>
      </w:pPr>
      <w:r>
        <w:rPr>
          <w:rFonts w:ascii="Courier New" w:cs="Courier New" w:eastAsia="Courier New" w:hAnsi="Courier New"/>
          <w:sz w:val="18"/>
          <w:szCs w:val="18"/>
          <w:color w:val="auto"/>
        </w:rPr>
        <w:t>Owned by</w:t>
      </w:r>
    </w:p>
    <w:p>
      <w:pPr>
        <w:ind w:left="520"/>
        <w:spacing w:after="0" w:line="238" w:lineRule="auto"/>
        <w:rPr>
          <w:sz w:val="20"/>
          <w:szCs w:val="20"/>
          <w:color w:val="auto"/>
        </w:rPr>
      </w:pPr>
      <w:r>
        <w:rPr>
          <w:rFonts w:ascii="Courier New" w:cs="Courier New" w:eastAsia="Courier New" w:hAnsi="Courier New"/>
          <w:sz w:val="18"/>
          <w:szCs w:val="18"/>
          <w:color w:val="auto"/>
        </w:rPr>
        <w:t>Each</w:t>
      </w:r>
    </w:p>
    <w:p>
      <w:pPr>
        <w:ind w:left="200"/>
        <w:spacing w:after="0"/>
        <w:rPr>
          <w:sz w:val="20"/>
          <w:szCs w:val="20"/>
          <w:color w:val="auto"/>
        </w:rPr>
      </w:pPr>
      <w:r>
        <w:rPr>
          <w:rFonts w:ascii="Courier New" w:cs="Courier New" w:eastAsia="Courier New" w:hAnsi="Courier New"/>
          <w:sz w:val="18"/>
          <w:szCs w:val="18"/>
          <w:color w:val="auto"/>
        </w:rPr>
        <w:t>Reporting</w:t>
      </w:r>
    </w:p>
    <w:p>
      <w:pPr>
        <w:ind w:left="100"/>
        <w:spacing w:after="0" w:line="237" w:lineRule="auto"/>
        <w:rPr>
          <w:sz w:val="20"/>
          <w:szCs w:val="20"/>
          <w:color w:val="auto"/>
        </w:rPr>
      </w:pPr>
      <w:r>
        <w:rPr>
          <w:rFonts w:ascii="Courier New" w:cs="Courier New" w:eastAsia="Courier New" w:hAnsi="Courier New"/>
          <w:sz w:val="18"/>
          <w:szCs w:val="18"/>
          <w:color w:val="auto"/>
        </w:rPr>
        <w:t>Person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2100" w:right="5779" w:hanging="527"/>
        <w:spacing w:after="0" w:line="235" w:lineRule="auto"/>
        <w:tabs>
          <w:tab w:leader="none" w:pos="220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3,197,646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200" w:hanging="627"/>
        <w:spacing w:after="0"/>
        <w:tabs>
          <w:tab w:leader="none" w:pos="22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ind w:left="2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2100" w:right="5259" w:hanging="527"/>
        <w:spacing w:after="0" w:line="235" w:lineRule="auto"/>
        <w:tabs>
          <w:tab w:leader="none" w:pos="220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3,197,646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580" w:hanging="955"/>
        <w:spacing w:after="0"/>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4" w:lineRule="exact"/>
        <w:rPr>
          <w:rFonts w:ascii="Courier New" w:cs="Courier New" w:eastAsia="Courier New" w:hAnsi="Courier New"/>
          <w:sz w:val="18"/>
          <w:szCs w:val="18"/>
          <w:color w:val="auto"/>
        </w:rPr>
      </w:pPr>
    </w:p>
    <w:p>
      <w:pPr>
        <w:ind w:left="1580" w:right="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3,197,646 (beneficial ownership disclaimed pursuant to Rule 13d-4 of the Exchange Act of 1934)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580" w:hanging="1060"/>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w:t>
      </w:r>
    </w:p>
    <w:p>
      <w:pPr>
        <w:spacing w:after="0" w:line="201" w:lineRule="exact"/>
        <w:rPr>
          <w:sz w:val="20"/>
          <w:szCs w:val="20"/>
          <w:color w:val="auto"/>
        </w:rPr>
      </w:pPr>
    </w:p>
    <w:p>
      <w:pPr>
        <w:ind w:left="1880" w:hanging="307"/>
        <w:spacing w:after="0"/>
        <w:tabs>
          <w:tab w:leader="none" w:pos="18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ind w:left="1580" w:right="3159" w:hanging="1060"/>
        <w:spacing w:after="0" w:line="235" w:lineRule="auto"/>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5.00%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580" w:hanging="1060"/>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520"/>
        <w:spacing w:after="0"/>
        <w:tabs>
          <w:tab w:leader="none" w:pos="1560" w:val="left"/>
        </w:tabs>
        <w:rPr>
          <w:sz w:val="20"/>
          <w:szCs w:val="20"/>
          <w:color w:val="auto"/>
        </w:rPr>
      </w:pPr>
      <w:r>
        <w:rPr>
          <w:rFonts w:ascii="Courier New" w:cs="Courier New" w:eastAsia="Courier New" w:hAnsi="Courier New"/>
          <w:sz w:val="18"/>
          <w:szCs w:val="18"/>
          <w:color w:val="auto"/>
        </w:rPr>
        <w:t>1(a)</w:t>
      </w:r>
      <w:r>
        <w:rPr>
          <w:sz w:val="20"/>
          <w:szCs w:val="20"/>
          <w:color w:val="auto"/>
        </w:rPr>
        <w:tab/>
      </w:r>
      <w:r>
        <w:rPr>
          <w:rFonts w:ascii="Courier New" w:cs="Courier New" w:eastAsia="Courier New" w:hAnsi="Courier New"/>
          <w:sz w:val="18"/>
          <w:szCs w:val="18"/>
          <w:color w:val="auto"/>
        </w:rPr>
        <w:t>Name of Issuer:</w:t>
      </w:r>
    </w:p>
    <w:p>
      <w:pPr>
        <w:ind w:left="1580"/>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20"/>
        <w:spacing w:after="0"/>
        <w:tabs>
          <w:tab w:leader="none" w:pos="1560" w:val="left"/>
        </w:tabs>
        <w:rPr>
          <w:sz w:val="20"/>
          <w:szCs w:val="20"/>
          <w:color w:val="auto"/>
        </w:rPr>
      </w:pPr>
      <w:r>
        <w:rPr>
          <w:rFonts w:ascii="Courier New" w:cs="Courier New" w:eastAsia="Courier New" w:hAnsi="Courier New"/>
          <w:sz w:val="18"/>
          <w:szCs w:val="18"/>
          <w:color w:val="auto"/>
        </w:rPr>
        <w:t>1(b)</w:t>
      </w:r>
      <w:r>
        <w:rPr>
          <w:sz w:val="20"/>
          <w:szCs w:val="20"/>
          <w:color w:val="auto"/>
        </w:rPr>
        <w:tab/>
      </w:r>
      <w:r>
        <w:rPr>
          <w:rFonts w:ascii="Courier New" w:cs="Courier New" w:eastAsia="Courier New" w:hAnsi="Courier New"/>
          <w:sz w:val="18"/>
          <w:szCs w:val="18"/>
          <w:color w:val="auto"/>
        </w:rPr>
        <w:t>Address of Issuer's Principal Executive Offices:</w:t>
      </w:r>
    </w:p>
    <w:p>
      <w:pPr>
        <w:ind w:left="1580"/>
        <w:spacing w:after="0" w:line="238" w:lineRule="auto"/>
        <w:rPr>
          <w:sz w:val="20"/>
          <w:szCs w:val="20"/>
          <w:color w:val="auto"/>
        </w:rPr>
      </w:pPr>
      <w:r>
        <w:rPr>
          <w:rFonts w:ascii="Courier New" w:cs="Courier New" w:eastAsia="Courier New" w:hAnsi="Courier New"/>
          <w:sz w:val="18"/>
          <w:szCs w:val="18"/>
          <w:color w:val="auto"/>
        </w:rPr>
        <w:t>777 Old Saw Mill River Road</w:t>
      </w:r>
    </w:p>
    <w:p>
      <w:pPr>
        <w:ind w:left="1580"/>
        <w:spacing w:after="0"/>
        <w:tabs>
          <w:tab w:leader="none" w:pos="324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both"/>
        <w:ind w:left="520"/>
        <w:spacing w:after="0"/>
        <w:tabs>
          <w:tab w:leader="none" w:pos="1560" w:val="left"/>
        </w:tabs>
        <w:rPr>
          <w:sz w:val="20"/>
          <w:szCs w:val="20"/>
          <w:color w:val="auto"/>
        </w:rPr>
      </w:pPr>
      <w:r>
        <w:rPr>
          <w:rFonts w:ascii="Courier New" w:cs="Courier New" w:eastAsia="Courier New" w:hAnsi="Courier New"/>
          <w:sz w:val="18"/>
          <w:szCs w:val="18"/>
          <w:color w:val="auto"/>
        </w:rPr>
        <w:t>2(a)</w:t>
      </w:r>
      <w:r>
        <w:rPr>
          <w:sz w:val="20"/>
          <w:szCs w:val="20"/>
          <w:color w:val="auto"/>
        </w:rPr>
        <w:tab/>
      </w:r>
      <w:r>
        <w:rPr>
          <w:rFonts w:ascii="Courier New" w:cs="Courier New" w:eastAsia="Courier New" w:hAnsi="Courier New"/>
          <w:sz w:val="18"/>
          <w:szCs w:val="18"/>
          <w:color w:val="auto"/>
        </w:rPr>
        <w:t>Name of Person Filing:</w:t>
      </w:r>
    </w:p>
    <w:p>
      <w:pPr>
        <w:jc w:val="right"/>
        <w:ind w:right="6199"/>
        <w:spacing w:after="0" w:line="238" w:lineRule="auto"/>
        <w:rPr>
          <w:sz w:val="20"/>
          <w:szCs w:val="20"/>
          <w:color w:val="auto"/>
        </w:rPr>
      </w:pPr>
      <w:r>
        <w:rPr>
          <w:rFonts w:ascii="Courier New" w:cs="Courier New" w:eastAsia="Courier New" w:hAnsi="Courier New"/>
          <w:sz w:val="18"/>
          <w:szCs w:val="18"/>
          <w:color w:val="auto"/>
        </w:rPr>
        <w:t>OppenheimerFunds, Inc.</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20"/>
        <w:spacing w:after="0"/>
        <w:tabs>
          <w:tab w:leader="none" w:pos="1560" w:val="left"/>
        </w:tabs>
        <w:rPr>
          <w:sz w:val="20"/>
          <w:szCs w:val="20"/>
          <w:color w:val="auto"/>
        </w:rPr>
      </w:pPr>
      <w:r>
        <w:rPr>
          <w:rFonts w:ascii="Courier New" w:cs="Courier New" w:eastAsia="Courier New" w:hAnsi="Courier New"/>
          <w:sz w:val="18"/>
          <w:szCs w:val="18"/>
          <w:color w:val="auto"/>
        </w:rPr>
        <w:t>2(b)</w:t>
      </w:r>
      <w:r>
        <w:rPr>
          <w:sz w:val="20"/>
          <w:szCs w:val="20"/>
          <w:color w:val="auto"/>
        </w:rPr>
        <w:tab/>
      </w:r>
      <w:r>
        <w:rPr>
          <w:rFonts w:ascii="Courier New" w:cs="Courier New" w:eastAsia="Courier New" w:hAnsi="Courier New"/>
          <w:sz w:val="18"/>
          <w:szCs w:val="18"/>
          <w:color w:val="auto"/>
        </w:rPr>
        <w:t>Address of Principal Business Office or, if none, Residence:</w:t>
      </w:r>
    </w:p>
    <w:p>
      <w:pPr>
        <w:sectPr>
          <w:pgSz w:w="11900" w:h="16838" w:orient="portrait"/>
          <w:cols w:equalWidth="0" w:num="1">
            <w:col w:w="10099"/>
          </w:cols>
          <w:pgMar w:left="360" w:top="136" w:right="1440" w:bottom="0" w:gutter="0" w:footer="0" w:header="0"/>
        </w:sectPr>
      </w:pPr>
    </w:p>
    <w:bookmarkStart w:id="2" w:name="page3"/>
    <w:bookmarkEnd w:id="2"/>
    <w:p>
      <w:pPr>
        <w:ind w:left="1580"/>
        <w:spacing w:after="0"/>
        <w:rPr>
          <w:sz w:val="20"/>
          <w:szCs w:val="20"/>
          <w:color w:val="auto"/>
        </w:rPr>
      </w:pPr>
      <w:r>
        <w:rPr>
          <w:rFonts w:ascii="Courier New" w:cs="Courier New" w:eastAsia="Courier New" w:hAnsi="Courier New"/>
          <w:sz w:val="18"/>
          <w:szCs w:val="18"/>
          <w:color w:val="auto"/>
        </w:rPr>
        <w:t>Two World Financial Center</w:t>
      </w:r>
    </w:p>
    <w:p>
      <w:pPr>
        <w:ind w:left="1580"/>
        <w:spacing w:after="0" w:line="238" w:lineRule="auto"/>
        <w:rPr>
          <w:sz w:val="20"/>
          <w:szCs w:val="20"/>
          <w:color w:val="auto"/>
        </w:rPr>
      </w:pPr>
      <w:r>
        <w:rPr>
          <w:rFonts w:ascii="Courier New" w:cs="Courier New" w:eastAsia="Courier New" w:hAnsi="Courier New"/>
          <w:sz w:val="18"/>
          <w:szCs w:val="18"/>
          <w:color w:val="auto"/>
        </w:rPr>
        <w:t>225 Liberty Street</w:t>
      </w:r>
    </w:p>
    <w:p>
      <w:pPr>
        <w:ind w:left="1580"/>
        <w:spacing w:after="0"/>
        <w:rPr>
          <w:sz w:val="20"/>
          <w:szCs w:val="20"/>
          <w:color w:val="auto"/>
        </w:rPr>
      </w:pPr>
      <w:r>
        <w:rPr>
          <w:rFonts w:ascii="Courier New" w:cs="Courier New" w:eastAsia="Courier New" w:hAnsi="Courier New"/>
          <w:sz w:val="18"/>
          <w:szCs w:val="18"/>
          <w:color w:val="auto"/>
        </w:rPr>
        <w:t>New York, NY 10281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20"/>
        <w:spacing w:after="0"/>
        <w:tabs>
          <w:tab w:leader="none" w:pos="1560" w:val="left"/>
        </w:tabs>
        <w:rPr>
          <w:sz w:val="20"/>
          <w:szCs w:val="20"/>
          <w:color w:val="auto"/>
        </w:rPr>
      </w:pPr>
      <w:r>
        <w:rPr>
          <w:rFonts w:ascii="Courier New" w:cs="Courier New" w:eastAsia="Courier New" w:hAnsi="Courier New"/>
          <w:sz w:val="18"/>
          <w:szCs w:val="18"/>
          <w:color w:val="auto"/>
        </w:rPr>
        <w:t>2(c)</w:t>
      </w:r>
      <w:r>
        <w:rPr>
          <w:sz w:val="20"/>
          <w:szCs w:val="20"/>
          <w:color w:val="auto"/>
        </w:rPr>
        <w:tab/>
      </w:r>
      <w:r>
        <w:rPr>
          <w:rFonts w:ascii="Courier New" w:cs="Courier New" w:eastAsia="Courier New" w:hAnsi="Courier New"/>
          <w:sz w:val="18"/>
          <w:szCs w:val="18"/>
          <w:color w:val="auto"/>
        </w:rPr>
        <w:t>Citizenship:</w:t>
      </w:r>
    </w:p>
    <w:p>
      <w:pPr>
        <w:ind w:left="1580"/>
        <w:spacing w:after="0" w:line="238" w:lineRule="auto"/>
        <w:rPr>
          <w:sz w:val="20"/>
          <w:szCs w:val="20"/>
          <w:color w:val="auto"/>
        </w:rPr>
      </w:pPr>
      <w:r>
        <w:rPr>
          <w:rFonts w:ascii="Courier New" w:cs="Courier New" w:eastAsia="Courier New" w:hAnsi="Courier New"/>
          <w:sz w:val="18"/>
          <w:szCs w:val="18"/>
          <w:color w:val="auto"/>
        </w:rPr>
        <w:t>Colorado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20"/>
        <w:spacing w:after="0"/>
        <w:tabs>
          <w:tab w:leader="none" w:pos="1560" w:val="left"/>
        </w:tabs>
        <w:rPr>
          <w:sz w:val="20"/>
          <w:szCs w:val="20"/>
          <w:color w:val="auto"/>
        </w:rPr>
      </w:pPr>
      <w:r>
        <w:rPr>
          <w:rFonts w:ascii="Courier New" w:cs="Courier New" w:eastAsia="Courier New" w:hAnsi="Courier New"/>
          <w:sz w:val="18"/>
          <w:szCs w:val="18"/>
          <w:color w:val="auto"/>
        </w:rPr>
        <w:t>2(d)</w:t>
      </w:r>
      <w:r>
        <w:rPr>
          <w:sz w:val="20"/>
          <w:szCs w:val="20"/>
          <w:color w:val="auto"/>
        </w:rPr>
        <w:tab/>
      </w:r>
      <w:r>
        <w:rPr>
          <w:rFonts w:ascii="Courier New" w:cs="Courier New" w:eastAsia="Courier New" w:hAnsi="Courier New"/>
          <w:sz w:val="18"/>
          <w:szCs w:val="18"/>
          <w:color w:val="auto"/>
        </w:rPr>
        <w:t>Title of Class of Securities:</w:t>
      </w:r>
    </w:p>
    <w:p>
      <w:pPr>
        <w:ind w:left="158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20"/>
        <w:spacing w:after="0"/>
        <w:tabs>
          <w:tab w:leader="none" w:pos="1560" w:val="left"/>
        </w:tabs>
        <w:rPr>
          <w:sz w:val="20"/>
          <w:szCs w:val="20"/>
          <w:color w:val="auto"/>
        </w:rPr>
      </w:pPr>
      <w:r>
        <w:rPr>
          <w:rFonts w:ascii="Courier New" w:cs="Courier New" w:eastAsia="Courier New" w:hAnsi="Courier New"/>
          <w:sz w:val="18"/>
          <w:szCs w:val="18"/>
          <w:color w:val="auto"/>
        </w:rPr>
        <w:t>2(e)</w:t>
      </w:r>
      <w:r>
        <w:rPr>
          <w:sz w:val="20"/>
          <w:szCs w:val="20"/>
          <w:color w:val="auto"/>
        </w:rPr>
        <w:tab/>
      </w:r>
      <w:r>
        <w:rPr>
          <w:rFonts w:ascii="Courier New" w:cs="Courier New" w:eastAsia="Courier New" w:hAnsi="Courier New"/>
          <w:sz w:val="18"/>
          <w:szCs w:val="18"/>
          <w:color w:val="auto"/>
        </w:rPr>
        <w:t>CUSIP Number:</w:t>
      </w:r>
    </w:p>
    <w:p>
      <w:pPr>
        <w:ind w:left="158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1580" w:right="1579" w:hanging="955"/>
        <w:spacing w:after="0" w:line="235"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OppenheimerFunds, Inc. is an investment adviser in accordance with Rule 13d-1(b)(1)(ii)(E).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20"/>
        <w:spacing w:after="0"/>
        <w:tabs>
          <w:tab w:leader="none" w:pos="1560" w:val="left"/>
        </w:tabs>
        <w:rPr>
          <w:sz w:val="20"/>
          <w:szCs w:val="20"/>
          <w:color w:val="auto"/>
        </w:rPr>
      </w:pPr>
      <w:r>
        <w:rPr>
          <w:rFonts w:ascii="Courier New" w:cs="Courier New" w:eastAsia="Courier New" w:hAnsi="Courier New"/>
          <w:sz w:val="18"/>
          <w:szCs w:val="18"/>
          <w:color w:val="auto"/>
        </w:rPr>
        <w:t>4(a)</w:t>
      </w:r>
      <w:r>
        <w:rPr>
          <w:sz w:val="20"/>
          <w:szCs w:val="20"/>
          <w:color w:val="auto"/>
        </w:rPr>
        <w:tab/>
      </w:r>
      <w:r>
        <w:rPr>
          <w:rFonts w:ascii="Courier New" w:cs="Courier New" w:eastAsia="Courier New" w:hAnsi="Courier New"/>
          <w:sz w:val="18"/>
          <w:szCs w:val="18"/>
          <w:color w:val="auto"/>
        </w:rPr>
        <w:t>Amount beneficially owned:</w:t>
      </w:r>
    </w:p>
    <w:p>
      <w:pPr>
        <w:spacing w:after="0" w:line="4" w:lineRule="exact"/>
        <w:rPr>
          <w:sz w:val="20"/>
          <w:szCs w:val="20"/>
          <w:color w:val="auto"/>
        </w:rPr>
      </w:pPr>
    </w:p>
    <w:p>
      <w:pPr>
        <w:ind w:left="1580" w:right="1359"/>
        <w:spacing w:after="0" w:line="235" w:lineRule="auto"/>
        <w:rPr>
          <w:sz w:val="20"/>
          <w:szCs w:val="20"/>
          <w:color w:val="auto"/>
        </w:rPr>
      </w:pPr>
      <w:r>
        <w:rPr>
          <w:rFonts w:ascii="Courier New" w:cs="Courier New" w:eastAsia="Courier New" w:hAnsi="Courier New"/>
          <w:sz w:val="18"/>
          <w:szCs w:val="18"/>
          <w:color w:val="auto"/>
        </w:rPr>
        <w:t>3,197,646 (beneficial ownership disclaimed pursuant to Rule 13d-4 of the Exchange Act of 1934)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20"/>
        <w:spacing w:after="0"/>
        <w:tabs>
          <w:tab w:leader="none" w:pos="1560" w:val="left"/>
        </w:tabs>
        <w:rPr>
          <w:sz w:val="20"/>
          <w:szCs w:val="20"/>
          <w:color w:val="auto"/>
        </w:rPr>
      </w:pPr>
      <w:r>
        <w:rPr>
          <w:rFonts w:ascii="Courier New" w:cs="Courier New" w:eastAsia="Courier New" w:hAnsi="Courier New"/>
          <w:sz w:val="18"/>
          <w:szCs w:val="18"/>
          <w:color w:val="auto"/>
        </w:rPr>
        <w:t>4(b)</w:t>
      </w:r>
      <w:r>
        <w:rPr>
          <w:sz w:val="20"/>
          <w:szCs w:val="20"/>
          <w:color w:val="auto"/>
        </w:rPr>
        <w:tab/>
      </w:r>
      <w:r>
        <w:rPr>
          <w:rFonts w:ascii="Courier New" w:cs="Courier New" w:eastAsia="Courier New" w:hAnsi="Courier New"/>
          <w:sz w:val="18"/>
          <w:szCs w:val="18"/>
          <w:color w:val="auto"/>
        </w:rPr>
        <w:t>Percent of class:</w:t>
      </w:r>
    </w:p>
    <w:p>
      <w:pPr>
        <w:ind w:left="1580"/>
        <w:spacing w:after="0" w:line="238" w:lineRule="auto"/>
        <w:rPr>
          <w:sz w:val="20"/>
          <w:szCs w:val="20"/>
          <w:color w:val="auto"/>
        </w:rPr>
      </w:pPr>
      <w:r>
        <w:rPr>
          <w:rFonts w:ascii="Courier New" w:cs="Courier New" w:eastAsia="Courier New" w:hAnsi="Courier New"/>
          <w:sz w:val="18"/>
          <w:szCs w:val="18"/>
          <w:color w:val="auto"/>
        </w:rPr>
        <w:t>5.00%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20"/>
        <w:spacing w:after="0"/>
        <w:tabs>
          <w:tab w:leader="none" w:pos="1560" w:val="left"/>
        </w:tabs>
        <w:rPr>
          <w:sz w:val="20"/>
          <w:szCs w:val="20"/>
          <w:color w:val="auto"/>
        </w:rPr>
      </w:pPr>
      <w:r>
        <w:rPr>
          <w:rFonts w:ascii="Courier New" w:cs="Courier New" w:eastAsia="Courier New" w:hAnsi="Courier New"/>
          <w:sz w:val="18"/>
          <w:szCs w:val="18"/>
          <w:color w:val="auto"/>
        </w:rPr>
        <w:t>4(c)</w:t>
      </w:r>
      <w:r>
        <w:rPr>
          <w:sz w:val="20"/>
          <w:szCs w:val="20"/>
          <w:color w:val="auto"/>
        </w:rPr>
        <w:tab/>
      </w:r>
      <w:r>
        <w:rPr>
          <w:rFonts w:ascii="Courier New" w:cs="Courier New" w:eastAsia="Courier New" w:hAnsi="Courier New"/>
          <w:sz w:val="18"/>
          <w:szCs w:val="18"/>
          <w:color w:val="auto"/>
        </w:rPr>
        <w:t>Number of shares as to which the person has:</w:t>
      </w:r>
    </w:p>
    <w:p>
      <w:pPr>
        <w:spacing w:after="0" w:line="207" w:lineRule="exact"/>
        <w:rPr>
          <w:sz w:val="20"/>
          <w:szCs w:val="20"/>
          <w:color w:val="auto"/>
        </w:rPr>
      </w:pPr>
    </w:p>
    <w:p>
      <w:pPr>
        <w:ind w:left="1580" w:right="4199" w:hanging="639"/>
        <w:spacing w:after="0" w:line="235"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5" w:lineRule="exact"/>
        <w:rPr>
          <w:rFonts w:ascii="Courier New" w:cs="Courier New" w:eastAsia="Courier New" w:hAnsi="Courier New"/>
          <w:sz w:val="18"/>
          <w:szCs w:val="18"/>
          <w:color w:val="auto"/>
        </w:rPr>
      </w:pPr>
    </w:p>
    <w:p>
      <w:pPr>
        <w:ind w:left="1580" w:right="3999" w:hanging="639"/>
        <w:spacing w:after="0" w:line="235"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3,197,646</w:t>
      </w:r>
    </w:p>
    <w:p>
      <w:pPr>
        <w:spacing w:after="0" w:line="5" w:lineRule="exact"/>
        <w:rPr>
          <w:rFonts w:ascii="Courier New" w:cs="Courier New" w:eastAsia="Courier New" w:hAnsi="Courier New"/>
          <w:sz w:val="18"/>
          <w:szCs w:val="18"/>
          <w:color w:val="auto"/>
        </w:rPr>
      </w:pPr>
    </w:p>
    <w:p>
      <w:pPr>
        <w:ind w:left="1580" w:right="2839" w:hanging="639"/>
        <w:spacing w:after="0" w:line="235"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5" w:lineRule="exact"/>
        <w:rPr>
          <w:rFonts w:ascii="Courier New" w:cs="Courier New" w:eastAsia="Courier New" w:hAnsi="Courier New"/>
          <w:sz w:val="18"/>
          <w:szCs w:val="18"/>
          <w:color w:val="auto"/>
        </w:rPr>
      </w:pPr>
    </w:p>
    <w:p>
      <w:pPr>
        <w:ind w:left="1580" w:right="2619" w:hanging="639"/>
        <w:spacing w:after="0" w:line="235"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3,197,646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580" w:hanging="955"/>
        <w:spacing w:after="0"/>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Five Percent or Less of a Class: [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580" w:hanging="955"/>
        <w:spacing w:after="0"/>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More than Five Percent on Behalf of Another Person.:</w:t>
      </w:r>
    </w:p>
    <w:p>
      <w:pPr>
        <w:ind w:left="1580"/>
        <w:spacing w:after="0" w:line="238" w:lineRule="auto"/>
        <w:rPr>
          <w:sz w:val="20"/>
          <w:szCs w:val="20"/>
          <w:color w:val="auto"/>
        </w:rPr>
      </w:pPr>
      <w:r>
        <w:rPr>
          <w:rFonts w:ascii="Courier New" w:cs="Courier New" w:eastAsia="Courier New" w:hAnsi="Courier New"/>
          <w:sz w:val="18"/>
          <w:szCs w:val="18"/>
          <w:color w:val="auto"/>
        </w:rPr>
        <w:t>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1580" w:right="1159" w:hanging="955"/>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1580" w:right="2419" w:hanging="955"/>
        <w:spacing w:after="0" w:line="235" w:lineRule="auto"/>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Identification and Classification of Members of the Group: N/A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1580" w:right="5259" w:hanging="955"/>
        <w:spacing w:after="0" w:line="235"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Dissolution of Group: N/A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580" w:hanging="1060"/>
        <w:spacing w:after="0"/>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Certification:</w:t>
      </w:r>
    </w:p>
    <w:p>
      <w:pPr>
        <w:spacing w:after="0" w:line="4" w:lineRule="exact"/>
        <w:rPr>
          <w:rFonts w:ascii="Courier New" w:cs="Courier New" w:eastAsia="Courier New" w:hAnsi="Courier New"/>
          <w:sz w:val="18"/>
          <w:szCs w:val="18"/>
          <w:color w:val="auto"/>
        </w:rPr>
      </w:pPr>
    </w:p>
    <w:p>
      <w:pPr>
        <w:ind w:left="1580" w:right="115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w:t>
      </w:r>
    </w:p>
    <w:p>
      <w:pPr>
        <w:sectPr>
          <w:pgSz w:w="11900" w:h="16838" w:orient="portrait"/>
          <w:cols w:equalWidth="0" w:num="1">
            <w:col w:w="10099"/>
          </w:cols>
          <w:pgMar w:left="360" w:top="136" w:right="1440" w:bottom="0" w:gutter="0" w:footer="0" w:header="0"/>
        </w:sectPr>
      </w:pPr>
    </w:p>
    <w:bookmarkStart w:id="3" w:name="page4"/>
    <w:bookmarkEnd w:id="3"/>
    <w:p>
      <w:pPr>
        <w:ind w:left="1700" w:right="1579"/>
        <w:spacing w:after="0" w:line="235" w:lineRule="auto"/>
        <w:rPr>
          <w:sz w:val="20"/>
          <w:szCs w:val="20"/>
          <w:color w:val="auto"/>
        </w:rPr>
      </w:pPr>
      <w:r>
        <w:rPr>
          <w:rFonts w:ascii="Courier New" w:cs="Courier New" w:eastAsia="Courier New" w:hAnsi="Courier New"/>
          <w:sz w:val="18"/>
          <w:szCs w:val="18"/>
          <w:color w:val="auto"/>
        </w:rPr>
        <w:t>not held in connection with or as a participant in any transaction having that purpose or effect.</w:t>
      </w:r>
    </w:p>
    <w:p>
      <w:pPr>
        <w:spacing w:after="0" w:line="6"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619"/>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039"/>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02/05/2008</w:t>
      </w:r>
    </w:p>
    <w:p>
      <w:pPr>
        <w:ind w:left="632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 Mark S. Vandehey</w:t>
      </w:r>
    </w:p>
    <w:p>
      <w:pPr>
        <w:ind w:left="63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Mark S. Vandehey, Sr. Vice President</w:t>
      </w:r>
    </w:p>
    <w:p>
      <w:pPr>
        <w:ind w:left="5280"/>
        <w:spacing w:after="0" w:line="238" w:lineRule="auto"/>
        <w:rPr>
          <w:sz w:val="20"/>
          <w:szCs w:val="20"/>
          <w:color w:val="auto"/>
        </w:rPr>
      </w:pPr>
      <w:r>
        <w:rPr>
          <w:rFonts w:ascii="Courier New" w:cs="Courier New" w:eastAsia="Courier New" w:hAnsi="Courier New"/>
          <w:sz w:val="18"/>
          <w:szCs w:val="18"/>
          <w:color w:val="auto"/>
        </w:rPr>
        <w:t>and Chief Compliance Officer</w:t>
      </w:r>
    </w:p>
    <w:p>
      <w:pPr>
        <w:ind w:left="6320"/>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 initial 13g(123107).rtf</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2"/>
    </w:lvl>
  </w:abstractNum>
  <w:abstractNum w:abstractNumId="3">
    <w:nsid w:val="1F16E9E8"/>
    <w:multiLevelType w:val="hybridMultilevel"/>
    <w:lvl w:ilvl="0">
      <w:lvlJc w:val="left"/>
      <w:lvlText w:val="%1."/>
      <w:numFmt w:val="decimal"/>
      <w:start w:val="3"/>
    </w:lvl>
  </w:abstractNum>
  <w:abstractNum w:abstractNumId="4">
    <w:nsid w:val="1190CDE7"/>
    <w:multiLevelType w:val="hybridMultilevel"/>
    <w:lvl w:ilvl="0">
      <w:lvlJc w:val="left"/>
      <w:lvlText w:val="%1."/>
      <w:numFmt w:val="decimal"/>
      <w:start w:val="6"/>
    </w:lvl>
  </w:abstractNum>
  <w:abstractNum w:abstractNumId="5">
    <w:nsid w:val="66EF438D"/>
    <w:multiLevelType w:val="hybridMultilevel"/>
    <w:lvl w:ilvl="0">
      <w:lvlJc w:val="left"/>
      <w:lvlText w:val="%1."/>
      <w:numFmt w:val="decimal"/>
      <w:start w:val="7"/>
    </w:lvl>
  </w:abstractNum>
  <w:abstractNum w:abstractNumId="6">
    <w:nsid w:val="140E0F76"/>
    <w:multiLevelType w:val="hybridMultilevel"/>
    <w:lvl w:ilvl="0">
      <w:lvlJc w:val="left"/>
      <w:lvlText w:val="%1."/>
      <w:numFmt w:val="decimal"/>
      <w:start w:val="8"/>
    </w:lvl>
  </w:abstractNum>
  <w:abstractNum w:abstractNumId="7">
    <w:nsid w:val="3352255A"/>
    <w:multiLevelType w:val="hybridMultilevel"/>
    <w:lvl w:ilvl="0">
      <w:lvlJc w:val="left"/>
      <w:lvlText w:val="%1."/>
      <w:numFmt w:val="decimal"/>
      <w:start w:val="9"/>
    </w:lvl>
  </w:abstractNum>
  <w:abstractNum w:abstractNumId="8">
    <w:nsid w:val="109CF92E"/>
    <w:multiLevelType w:val="hybridMultilevel"/>
    <w:lvl w:ilvl="0">
      <w:lvlJc w:val="left"/>
      <w:lvlText w:val="%1."/>
      <w:numFmt w:val="decimal"/>
      <w:start w:val="10"/>
    </w:lvl>
  </w:abstractNum>
  <w:abstractNum w:abstractNumId="9">
    <w:nsid w:val="DED7263"/>
    <w:multiLevelType w:val="hybridMultilevel"/>
    <w:lvl w:ilvl="0">
      <w:lvlJc w:val="left"/>
      <w:lvlText w:val="%1."/>
      <w:numFmt w:val="decimal"/>
      <w:start w:val="10"/>
    </w:lvl>
    <w:lvl w:ilvl="1">
      <w:lvlJc w:val="left"/>
      <w:lvlText w:val="["/>
      <w:numFmt w:val="bullet"/>
      <w:start w:val="1"/>
    </w:lvl>
  </w:abstractNum>
  <w:abstractNum w:abstractNumId="10">
    <w:nsid w:val="7FDCC233"/>
    <w:multiLevelType w:val="hybridMultilevel"/>
    <w:lvl w:ilvl="0">
      <w:lvlJc w:val="left"/>
      <w:lvlText w:val="%1."/>
      <w:numFmt w:val="decimal"/>
      <w:start w:val="12"/>
    </w:lvl>
  </w:abstractNum>
  <w:abstractNum w:abstractNumId="11">
    <w:nsid w:val="1BEFD79F"/>
    <w:multiLevelType w:val="hybridMultilevel"/>
    <w:lvl w:ilvl="0">
      <w:lvlJc w:val="left"/>
      <w:lvlText w:val="3"/>
      <w:numFmt w:val="bullet"/>
      <w:start w:val="1"/>
    </w:lvl>
  </w:abstractNum>
  <w:abstractNum w:abstractNumId="12">
    <w:nsid w:val="41A7C4C9"/>
    <w:multiLevelType w:val="hybridMultilevel"/>
    <w:lvl w:ilvl="0">
      <w:lvlJc w:val="left"/>
      <w:lvlText w:val="(%1)"/>
      <w:numFmt w:val="lowerRoman"/>
      <w:start w:val="1"/>
    </w:lvl>
  </w:abstractNum>
  <w:abstractNum w:abstractNumId="13">
    <w:nsid w:val="6B68079A"/>
    <w:multiLevelType w:val="hybridMultilevel"/>
    <w:lvl w:ilvl="0">
      <w:lvlJc w:val="left"/>
      <w:lvlText w:val="%1."/>
      <w:numFmt w:val="decimal"/>
      <w:start w:val="5"/>
    </w:lvl>
  </w:abstractNum>
  <w:abstractNum w:abstractNumId="14">
    <w:nsid w:val="4E6AFB66"/>
    <w:multiLevelType w:val="hybridMultilevel"/>
    <w:lvl w:ilvl="0">
      <w:lvlJc w:val="left"/>
      <w:lvlText w:val="%1."/>
      <w:numFmt w:val="decimal"/>
      <w:start w:val="7"/>
    </w:lvl>
  </w:abstractNum>
  <w:abstractNum w:abstractNumId="15">
    <w:nsid w:val="25E45D32"/>
    <w:multiLevelType w:val="hybridMultilevel"/>
    <w:lvl w:ilvl="0">
      <w:lvlJc w:val="left"/>
      <w:lvlText w:val="%1."/>
      <w:numFmt w:val="decimal"/>
      <w:start w:val="8"/>
    </w:lvl>
  </w:abstractNum>
  <w:abstractNum w:abstractNumId="16">
    <w:nsid w:val="519B500D"/>
    <w:multiLevelType w:val="hybridMultilevel"/>
    <w:lvl w:ilvl="0">
      <w:lvlJc w:val="left"/>
      <w:lvlText w:val="%1."/>
      <w:numFmt w:val="decimal"/>
      <w:start w:val="9"/>
    </w:lvl>
  </w:abstractNum>
  <w:abstractNum w:abstractNumId="17">
    <w:nsid w:val="431BD7B7"/>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2019-12-19T21:28:41Z</dcterms:created>
  <dcterms:modified xsi:type="dcterms:W3CDTF">2019-12-19T21:28:41Z</dcterms:modified>
</cp:coreProperties>
</file>