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Intellia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45826J 105</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11, 2016</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45826J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796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Regeneron Pharmaceuticals,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63" w:right="259" w:bottom="45"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2,777,777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2,777,777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63" w:right="259" w:bottom="45" w:gutter="0" w:footer="0" w:header="0"/>
          <w:type w:val="continuous"/>
        </w:sectPr>
      </w:pPr>
    </w:p>
    <w:bookmarkStart w:id="1" w:name="page2"/>
    <w:bookmarkEnd w:id="1"/>
    <w:p>
      <w:pPr>
        <w:ind w:left="1000" w:right="5500" w:hanging="620"/>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2,777,777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7.7%*</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80" w:hanging="324"/>
        <w:spacing w:after="0" w:line="257" w:lineRule="auto"/>
        <w:rPr>
          <w:rFonts w:ascii="Arial" w:cs="Arial" w:eastAsia="Arial" w:hAnsi="Arial"/>
          <w:sz w:val="18"/>
          <w:szCs w:val="18"/>
          <w:color w:val="auto"/>
        </w:rPr>
      </w:pPr>
      <w:r>
        <w:rPr>
          <w:rFonts w:ascii="Arial" w:cs="Arial" w:eastAsia="Arial" w:hAnsi="Arial"/>
          <w:sz w:val="18"/>
          <w:szCs w:val="18"/>
          <w:color w:val="auto"/>
        </w:rPr>
        <w:t>* Based on 35,996,265 shares of common stock, par value $0.0001 per share (“Common Stock”), of Intellia Therapeutics, Inc. (the “Issuer”) outstanding as of December 31, 2015, as reported on a pro forma as adjusted basis to give effect to certain transactions (including those that occurred in connection with the Issuer’s initial public offering (the “IPO”)) in the Issuer’s Prospectus (Registration No. 333- 210689) filed pursuant to Rule 424(b)(4) under the Securities Act of 1933, as amended, on May 6, 2016, after giving further effect to the additional 900,000 shares of Common Stock issued and sold by the Issuer to the underwriters of the IPO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-985520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-1534160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-2083435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-2494915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-770890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Intellia Therapeutics, Inc.</w:t>
      </w:r>
    </w:p>
    <w:p>
      <w:pPr>
        <w:spacing w:after="0" w:line="130" w:lineRule="exact"/>
        <w:rPr>
          <w:rFonts w:ascii="Arial" w:cs="Arial" w:eastAsia="Arial" w:hAnsi="Arial"/>
          <w:sz w:val="18"/>
          <w:szCs w:val="18"/>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440" w:right="7580"/>
        <w:spacing w:after="0" w:line="277" w:lineRule="auto"/>
        <w:rPr>
          <w:rFonts w:ascii="Arial" w:cs="Arial" w:eastAsia="Arial" w:hAnsi="Arial"/>
          <w:sz w:val="18"/>
          <w:szCs w:val="18"/>
          <w:color w:val="auto"/>
        </w:rPr>
      </w:pPr>
      <w:r>
        <w:rPr>
          <w:rFonts w:ascii="Arial" w:cs="Arial" w:eastAsia="Arial" w:hAnsi="Arial"/>
          <w:sz w:val="18"/>
          <w:szCs w:val="18"/>
          <w:color w:val="auto"/>
        </w:rPr>
        <w:t>130 Brookline Street, Suite 201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-610870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right="7480" w:hanging="493"/>
        <w:spacing w:after="0" w:line="493"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Regeneron Pharmaceuticals, Inc.</w:t>
      </w:r>
    </w:p>
    <w:p>
      <w:pPr>
        <w:spacing w:after="0" w:line="13"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440" w:right="7680"/>
        <w:spacing w:after="0" w:line="308" w:lineRule="auto"/>
        <w:rPr>
          <w:rFonts w:ascii="Arial" w:cs="Arial" w:eastAsia="Arial" w:hAnsi="Arial"/>
          <w:sz w:val="18"/>
          <w:szCs w:val="18"/>
          <w:color w:val="auto"/>
        </w:rPr>
      </w:pPr>
      <w:r>
        <w:rPr>
          <w:rFonts w:ascii="Arial" w:cs="Arial" w:eastAsia="Arial" w:hAnsi="Arial"/>
          <w:sz w:val="17"/>
          <w:szCs w:val="17"/>
          <w:color w:val="auto"/>
        </w:rPr>
        <w:t>777 Old Saw Mill River Road Tarrytown, NY 10591</w:t>
      </w:r>
    </w:p>
    <w:p>
      <w:pPr>
        <w:spacing w:after="0" w:line="51" w:lineRule="exact"/>
        <w:rPr>
          <w:rFonts w:ascii="Arial" w:cs="Arial" w:eastAsia="Arial" w:hAnsi="Arial"/>
          <w:sz w:val="18"/>
          <w:szCs w:val="18"/>
          <w:color w:val="auto"/>
        </w:rPr>
      </w:pPr>
    </w:p>
    <w:p>
      <w:pPr>
        <w:ind w:left="1440" w:right="9040" w:hanging="493"/>
        <w:spacing w:after="0" w:line="493"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13"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130" w:lineRule="exact"/>
        <w:rPr>
          <w:rFonts w:ascii="Arial" w:cs="Arial" w:eastAsia="Arial" w:hAnsi="Arial"/>
          <w:sz w:val="18"/>
          <w:szCs w:val="18"/>
          <w:color w:val="auto"/>
        </w:rPr>
      </w:pPr>
    </w:p>
    <w:p>
      <w:pPr>
        <w:ind w:left="1440" w:right="8700" w:hanging="493"/>
        <w:spacing w:after="0" w:line="624"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45826J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-151765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-640715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-1129665</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-1618615</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-2244090</wp:posOffset>
            </wp:positionV>
            <wp:extent cx="6329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ectPr>
          <w:pgSz w:w="11900" w:h="16838" w:orient="portrait"/>
          <w:cols w:equalWidth="0" w:num="1">
            <w:col w:w="11300"/>
          </w:cols>
          <w:pgMar w:left="300" w:top="125" w:right="299" w:bottom="0" w:gutter="0" w:footer="0" w:header="0"/>
        </w:sectPr>
      </w:pPr>
    </w:p>
    <w:bookmarkStart w:id="2" w:name="page3"/>
    <w:bookmarkEnd w:id="2"/>
    <w:p>
      <w:pPr>
        <w:ind w:left="2020" w:right="200" w:hanging="1013"/>
        <w:spacing w:after="0" w:line="277" w:lineRule="auto"/>
        <w:tabs>
          <w:tab w:leader="none" w:pos="150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information set forth in Rows 5 through 11 of the cover pages to this Schedule 13G is incorporated herein by reference.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20" w:right="880" w:hanging="1107"/>
        <w:spacing w:after="0" w:line="282" w:lineRule="auto"/>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1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11,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REGENERON PHARMACEUTICALS, INC.</w:t>
            </w:r>
          </w:p>
        </w:tc>
      </w:tr>
      <w:tr>
        <w:trPr>
          <w:trHeight w:val="459"/>
        </w:trPr>
        <w:tc>
          <w:tcPr>
            <w:tcW w:w="3560" w:type="dxa"/>
            <w:vAlign w:val="bottom"/>
          </w:tcPr>
          <w:p>
            <w:pPr>
              <w:spacing w:after="0"/>
              <w:rPr>
                <w:sz w:val="24"/>
                <w:szCs w:val="24"/>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356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356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2294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lvl w:ilvl="1">
      <w:lvlJc w:val="left"/>
      <w:lvlText w:val="%2."/>
      <w:numFmt w:val="decimal"/>
      <w:start w:val="9"/>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2019-12-09T02:31:35Z</dcterms:created>
  <dcterms:modified xsi:type="dcterms:W3CDTF">2019-12-09T02:31:35Z</dcterms:modified>
</cp:coreProperties>
</file>