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800" w:right="3679" w:hanging="790"/>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June 30,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800" w:right="3499" w:hanging="790"/>
        <w:spacing w:after="0" w:line="234" w:lineRule="auto"/>
        <w:tabs>
          <w:tab w:leader="none" w:pos="2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39"/>
          </w:cols>
          <w:pgMar w:left="220" w:top="729" w:right="1440" w:bottom="1440" w:gutter="0" w:footer="0" w:header="0"/>
        </w:sectPr>
      </w:pP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to</w:t>
      </w:r>
    </w:p>
    <w:p>
      <w:pPr>
        <w:spacing w:after="0" w:line="200" w:lineRule="exact"/>
        <w:rPr>
          <w:sz w:val="24"/>
          <w:szCs w:val="24"/>
          <w:color w:val="auto"/>
        </w:rPr>
      </w:pPr>
    </w:p>
    <w:p>
      <w:pPr>
        <w:sectPr>
          <w:pgSz w:w="11900" w:h="16838" w:orient="portrait"/>
          <w:cols w:equalWidth="0" w:num="2">
            <w:col w:w="4020" w:space="720"/>
            <w:col w:w="5499"/>
          </w:cols>
          <w:pgMar w:left="220" w:top="729"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4"/>
          <w:szCs w:val="14"/>
          <w:color w:val="auto"/>
        </w:rPr>
        <w:t>Commission File Number 0-19034</w:t>
      </w:r>
    </w:p>
    <w:p>
      <w:pPr>
        <w:sectPr>
          <w:pgSz w:w="11900" w:h="16838" w:orient="portrait"/>
          <w:cols w:equalWidth="0" w:num="1">
            <w:col w:w="10239"/>
          </w:cols>
          <w:pgMar w:left="220" w:top="729" w:right="1440" w:bottom="1440" w:gutter="0" w:footer="0" w:header="0"/>
          <w:type w:val="continuous"/>
        </w:sectPr>
      </w:pP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9" w:right="1440"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(State or other jurisdiction of</w:t>
      </w:r>
    </w:p>
    <w:p>
      <w:pPr>
        <w:ind w:left="180"/>
        <w:spacing w:after="0" w:line="237" w:lineRule="auto"/>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13-3444607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67" w:lineRule="exact"/>
        <w:rPr>
          <w:sz w:val="24"/>
          <w:szCs w:val="24"/>
          <w:color w:val="auto"/>
        </w:rPr>
      </w:pPr>
    </w:p>
    <w:p>
      <w:pPr>
        <w:sectPr>
          <w:pgSz w:w="11900" w:h="16838" w:orient="portrait"/>
          <w:cols w:equalWidth="0" w:num="2">
            <w:col w:w="4280" w:space="720"/>
            <w:col w:w="5239"/>
          </w:cols>
          <w:pgMar w:left="220" w:top="729" w:right="1440" w:bottom="1440" w:gutter="0" w:footer="0" w:header="0"/>
          <w:type w:val="continuous"/>
        </w:sectPr>
      </w:pPr>
    </w:p>
    <w:p>
      <w:pPr>
        <w:spacing w:after="0" w:line="13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777 Old Saw Mill River Road</w:t>
      </w:r>
    </w:p>
    <w:p>
      <w:pPr>
        <w:ind w:left="700"/>
        <w:spacing w:after="0" w:line="237" w:lineRule="auto"/>
        <w:rPr>
          <w:sz w:val="20"/>
          <w:szCs w:val="20"/>
          <w:color w:val="auto"/>
        </w:rPr>
      </w:pPr>
      <w:r>
        <w:rPr>
          <w:rFonts w:ascii="Courier New" w:cs="Courier New" w:eastAsia="Courier New" w:hAnsi="Courier New"/>
          <w:sz w:val="15"/>
          <w:szCs w:val="15"/>
          <w:color w:val="auto"/>
        </w:rPr>
        <w:t>Tarrytown, New York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ind w:left="1300"/>
        <w:spacing w:after="0"/>
        <w:rPr>
          <w:sz w:val="20"/>
          <w:szCs w:val="20"/>
          <w:color w:val="auto"/>
        </w:rPr>
      </w:pPr>
      <w:r>
        <w:rPr>
          <w:rFonts w:ascii="Courier New" w:cs="Courier New" w:eastAsia="Courier New" w:hAnsi="Courier New"/>
          <w:sz w:val="15"/>
          <w:szCs w:val="15"/>
          <w:color w:val="auto"/>
        </w:rPr>
        <w:t>10591-6707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300"/>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460" w:space="720"/>
            <w:col w:w="5059"/>
          </w:cols>
          <w:pgMar w:left="220" w:top="729" w:right="1440" w:bottom="1440" w:gutter="0" w:footer="0" w:header="0"/>
          <w:type w:val="continuous"/>
        </w:sectPr>
      </w:pPr>
    </w:p>
    <w:p>
      <w:pPr>
        <w:spacing w:after="0" w:line="1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(914) 347-7000</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09"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29" w:right="1440" w:bottom="1440" w:gutter="0" w:footer="0" w:header="0"/>
          <w:type w:val="continuous"/>
        </w:sectPr>
      </w:pPr>
    </w:p>
    <w:p>
      <w:pPr>
        <w:spacing w:after="0" w:line="174" w:lineRule="exact"/>
        <w:rPr>
          <w:sz w:val="24"/>
          <w:szCs w:val="24"/>
          <w:color w:val="auto"/>
        </w:rPr>
      </w:pPr>
    </w:p>
    <w:p>
      <w:pPr>
        <w:ind w:left="3160"/>
        <w:spacing w:after="0"/>
        <w:rPr>
          <w:sz w:val="20"/>
          <w:szCs w:val="20"/>
          <w:color w:val="auto"/>
        </w:rPr>
      </w:pPr>
      <w:r>
        <w:rPr>
          <w:rFonts w:ascii="Courier New" w:cs="Courier New" w:eastAsia="Courier New" w:hAnsi="Courier New"/>
          <w:sz w:val="14"/>
          <w:szCs w:val="14"/>
          <w:color w:val="auto"/>
        </w:rPr>
        <w:t>Yes X</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2">
            <w:col w:w="3600" w:space="600"/>
            <w:col w:w="6039"/>
          </w:cols>
          <w:pgMar w:left="220" w:top="729"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860" w:space="520"/>
            <w:col w:w="5859"/>
          </w:cols>
          <w:pgMar w:left="220" w:top="729" w:right="1440" w:bottom="1440" w:gutter="0" w:footer="0" w:header="0"/>
          <w:type w:val="continuous"/>
        </w:sect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August 3, 2000:</w:t>
      </w:r>
    </w:p>
    <w:p>
      <w:pPr>
        <w:sectPr>
          <w:pgSz w:w="11900" w:h="16838" w:orient="portrait"/>
          <w:cols w:equalWidth="0" w:num="1">
            <w:col w:w="10239"/>
          </w:cols>
          <w:pgMar w:left="220" w:top="729" w:right="1440" w:bottom="1440" w:gutter="0" w:footer="0" w:header="0"/>
          <w:type w:val="continuous"/>
        </w:sectPr>
      </w:pPr>
    </w:p>
    <w:p>
      <w:pPr>
        <w:spacing w:after="0" w:line="173" w:lineRule="exact"/>
        <w:rPr>
          <w:sz w:val="24"/>
          <w:szCs w:val="24"/>
          <w:color w:val="auto"/>
        </w:rPr>
      </w:pPr>
    </w:p>
    <w:p>
      <w:pPr>
        <w:ind w:left="800" w:right="1040" w:firstLine="350"/>
        <w:spacing w:after="0" w:line="256" w:lineRule="auto"/>
        <w:rPr>
          <w:sz w:val="20"/>
          <w:szCs w:val="20"/>
          <w:color w:val="auto"/>
        </w:rPr>
      </w:pPr>
      <w:r>
        <w:rPr>
          <w:rFonts w:ascii="Courier New" w:cs="Courier New" w:eastAsia="Courier New" w:hAnsi="Courier New"/>
          <w:sz w:val="14"/>
          <w:szCs w:val="14"/>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2,766,095</w:t>
      </w:r>
    </w:p>
    <w:p>
      <w:pPr>
        <w:ind w:left="180"/>
        <w:spacing w:after="0" w:line="237" w:lineRule="auto"/>
        <w:rPr>
          <w:sz w:val="20"/>
          <w:szCs w:val="20"/>
          <w:color w:val="auto"/>
        </w:rPr>
      </w:pPr>
      <w:r>
        <w:rPr>
          <w:rFonts w:ascii="Courier New" w:cs="Courier New" w:eastAsia="Courier New" w:hAnsi="Courier New"/>
          <w:sz w:val="15"/>
          <w:szCs w:val="15"/>
          <w:color w:val="auto"/>
        </w:rPr>
        <w:t>33,853,210</w:t>
      </w:r>
    </w:p>
    <w:p>
      <w:pPr>
        <w:sectPr>
          <w:pgSz w:w="11900" w:h="16838" w:orient="portrait"/>
          <w:cols w:equalWidth="0" w:num="2">
            <w:col w:w="4540" w:space="720"/>
            <w:col w:w="4979"/>
          </w:cols>
          <w:pgMar w:left="220" w:top="72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jc w:val="center"/>
              <w:ind w:right="2107"/>
              <w:spacing w:after="0"/>
              <w:rPr>
                <w:sz w:val="20"/>
                <w:szCs w:val="20"/>
                <w:color w:val="auto"/>
              </w:rPr>
            </w:pPr>
            <w:r>
              <w:rPr>
                <w:rFonts w:ascii="Courier New" w:cs="Courier New" w:eastAsia="Courier New" w:hAnsi="Courier New"/>
                <w:sz w:val="15"/>
                <w:szCs w:val="15"/>
                <w:color w:val="auto"/>
                <w:w w:val="96"/>
              </w:rPr>
              <w:t>REGENERON PHARMACEUTICALS, INC.</w:t>
            </w:r>
          </w:p>
        </w:tc>
        <w:tc>
          <w:tcPr>
            <w:tcW w:w="184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jc w:val="center"/>
              <w:ind w:right="2107"/>
              <w:spacing w:after="0" w:line="168" w:lineRule="exact"/>
              <w:rPr>
                <w:sz w:val="20"/>
                <w:szCs w:val="20"/>
                <w:color w:val="auto"/>
              </w:rPr>
            </w:pPr>
            <w:r>
              <w:rPr>
                <w:rFonts w:ascii="Courier New" w:cs="Courier New" w:eastAsia="Courier New" w:hAnsi="Courier New"/>
                <w:sz w:val="15"/>
                <w:szCs w:val="15"/>
                <w:color w:val="auto"/>
                <w:w w:val="98"/>
              </w:rPr>
              <w:t>Table of Contents</w:t>
            </w:r>
          </w:p>
        </w:tc>
        <w:tc>
          <w:tcPr>
            <w:tcW w:w="184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jc w:val="center"/>
              <w:ind w:right="2107"/>
              <w:spacing w:after="0" w:line="168" w:lineRule="exact"/>
              <w:rPr>
                <w:sz w:val="20"/>
                <w:szCs w:val="20"/>
                <w:color w:val="auto"/>
              </w:rPr>
            </w:pPr>
            <w:r>
              <w:rPr>
                <w:rFonts w:ascii="Courier New" w:cs="Courier New" w:eastAsia="Courier New" w:hAnsi="Courier New"/>
                <w:sz w:val="15"/>
                <w:szCs w:val="15"/>
                <w:color w:val="auto"/>
                <w:w w:val="97"/>
              </w:rPr>
              <w:t>June 30, 2000</w:t>
            </w:r>
          </w:p>
        </w:tc>
        <w:tc>
          <w:tcPr>
            <w:tcW w:w="1840" w:type="dxa"/>
            <w:vAlign w:val="bottom"/>
          </w:tcPr>
          <w:p>
            <w:pPr>
              <w:spacing w:after="0"/>
              <w:rPr>
                <w:sz w:val="14"/>
                <w:szCs w:val="14"/>
                <w:color w:val="auto"/>
              </w:rPr>
            </w:pPr>
          </w:p>
        </w:tc>
      </w:tr>
      <w:tr>
        <w:trPr>
          <w:trHeight w:val="505"/>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40" w:type="dxa"/>
            <w:vAlign w:val="bottom"/>
          </w:tcPr>
          <w:p>
            <w:pPr>
              <w:ind w:left="780"/>
              <w:spacing w:after="0"/>
              <w:rPr>
                <w:sz w:val="20"/>
                <w:szCs w:val="20"/>
                <w:color w:val="auto"/>
              </w:rPr>
            </w:pPr>
            <w:r>
              <w:rPr>
                <w:rFonts w:ascii="Courier New" w:cs="Courier New" w:eastAsia="Courier New" w:hAnsi="Courier New"/>
                <w:sz w:val="15"/>
                <w:szCs w:val="15"/>
                <w:color w:val="auto"/>
                <w:w w:val="96"/>
              </w:rPr>
              <w:t>Page Numbers</w:t>
            </w: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84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1840" w:type="dxa"/>
            <w:vAlign w:val="bottom"/>
          </w:tcPr>
          <w:p>
            <w:pPr>
              <w:spacing w:after="0"/>
              <w:rPr>
                <w:sz w:val="24"/>
                <w:szCs w:val="24"/>
                <w:color w:val="auto"/>
              </w:rPr>
            </w:pP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4"/>
                <w:szCs w:val="14"/>
                <w:color w:val="auto"/>
              </w:rPr>
            </w:pP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Condensed balance sheets (unaudited) at June 30, 2000 and</w:t>
            </w:r>
          </w:p>
        </w:tc>
        <w:tc>
          <w:tcPr>
            <w:tcW w:w="18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1999</w:t>
            </w: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8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months and six months ended June 30, 2000 and 1999</w:t>
            </w: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8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six months ended June 30, 2000</w:t>
            </w: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8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six months ended June 30, 2000 and 1999</w:t>
            </w: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7-13</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840" w:type="dxa"/>
            <w:vAlign w:val="bottom"/>
          </w:tcPr>
          <w:p>
            <w:pPr>
              <w:spacing w:after="0"/>
              <w:rPr>
                <w:sz w:val="24"/>
                <w:szCs w:val="24"/>
                <w:color w:val="auto"/>
              </w:rPr>
            </w:pP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4"/>
                <w:szCs w:val="14"/>
                <w:color w:val="auto"/>
              </w:rPr>
            </w:pP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Results of Operations</w:t>
            </w:r>
          </w:p>
        </w:tc>
        <w:tc>
          <w:tcPr>
            <w:tcW w:w="18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3"/>
              </w:rPr>
              <w:t>14-25</w:t>
            </w:r>
          </w:p>
        </w:tc>
      </w:tr>
      <w:tr>
        <w:trPr>
          <w:trHeight w:val="168"/>
        </w:trPr>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Quantitative &amp; Qualitative Disclosure About Market Risk</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25</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4"/>
                <w:szCs w:val="14"/>
                <w:color w:val="auto"/>
              </w:rPr>
            </w:pP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673"/>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184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26</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4"/>
                <w:szCs w:val="14"/>
                <w:color w:val="auto"/>
              </w:rPr>
            </w:pP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4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Exhibits and Reports on Form 8-K</w:t>
            </w: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27</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4"/>
                <w:szCs w:val="14"/>
                <w:color w:val="auto"/>
              </w:rPr>
            </w:pP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673"/>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648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Courier New" w:cs="Courier New" w:eastAsia="Courier New" w:hAnsi="Courier New"/>
                <w:sz w:val="15"/>
                <w:szCs w:val="15"/>
                <w:color w:val="auto"/>
              </w:rPr>
              <w:t>28</w:t>
            </w:r>
          </w:p>
        </w:tc>
      </w:tr>
      <w:tr>
        <w:trPr>
          <w:trHeight w:val="505"/>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Exhibit 27</w:t>
            </w: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schedule</w:t>
            </w:r>
          </w:p>
        </w:tc>
        <w:tc>
          <w:tcPr>
            <w:tcW w:w="1840" w:type="dxa"/>
            <w:vAlign w:val="bottom"/>
          </w:tcPr>
          <w:p>
            <w:pPr>
              <w:spacing w:after="0"/>
              <w:rPr>
                <w:sz w:val="24"/>
                <w:szCs w:val="24"/>
                <w:color w:val="auto"/>
              </w:rPr>
            </w:pP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6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r>
        <w:trPr>
          <w:trHeight w:val="505"/>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tcPr>
          <w:p>
            <w:pPr>
              <w:jc w:val="center"/>
              <w:ind w:right="2107"/>
              <w:spacing w:after="0"/>
              <w:rPr>
                <w:sz w:val="20"/>
                <w:szCs w:val="20"/>
                <w:color w:val="auto"/>
              </w:rPr>
            </w:pPr>
            <w:r>
              <w:rPr>
                <w:rFonts w:ascii="Courier New" w:cs="Courier New" w:eastAsia="Courier New" w:hAnsi="Courier New"/>
                <w:sz w:val="15"/>
                <w:szCs w:val="15"/>
                <w:color w:val="auto"/>
              </w:rPr>
              <w:t>2</w:t>
            </w:r>
          </w:p>
        </w:tc>
        <w:tc>
          <w:tcPr>
            <w:tcW w:w="1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w:t>
            </w:r>
          </w:p>
        </w:tc>
        <w:tc>
          <w:tcPr>
            <w:tcW w:w="6380" w:type="dxa"/>
            <w:vAlign w:val="bottom"/>
          </w:tcPr>
          <w:p>
            <w:pPr>
              <w:jc w:val="right"/>
              <w:ind w:right="4287"/>
              <w:spacing w:after="0"/>
              <w:rPr>
                <w:sz w:val="20"/>
                <w:szCs w:val="20"/>
                <w:color w:val="auto"/>
              </w:rPr>
            </w:pPr>
            <w:r>
              <w:rPr>
                <w:rFonts w:ascii="Courier New" w:cs="Courier New" w:eastAsia="Courier New" w:hAnsi="Courier New"/>
                <w:sz w:val="15"/>
                <w:szCs w:val="15"/>
                <w:color w:val="auto"/>
              </w:rPr>
              <w:t>FINANCIAL INFORMATION</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ITEM 1.</w:t>
            </w:r>
          </w:p>
        </w:tc>
        <w:tc>
          <w:tcPr>
            <w:tcW w:w="6380" w:type="dxa"/>
            <w:vAlign w:val="bottom"/>
          </w:tcPr>
          <w:p>
            <w:pPr>
              <w:jc w:val="right"/>
              <w:ind w:right="4287"/>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CONDENSED BALANCE SHEETS AT JUNE 30, 2000 AND DECEMBER 31, 1999 (Unaudited)</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6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June 30,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20" w:type="dxa"/>
            <w:vAlign w:val="bottom"/>
          </w:tcPr>
          <w:p>
            <w:pPr>
              <w:spacing w:after="0"/>
              <w:rPr>
                <w:sz w:val="14"/>
                <w:szCs w:val="14"/>
                <w:color w:val="auto"/>
              </w:rPr>
            </w:pPr>
          </w:p>
        </w:tc>
        <w:tc>
          <w:tcPr>
            <w:tcW w:w="638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ASSETS</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$81,751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$23,697</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36,110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42,463</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The Procter &amp; Gamble Company</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7,263</w:t>
            </w:r>
          </w:p>
        </w:tc>
        <w:tc>
          <w:tcPr>
            <w:tcW w:w="1620" w:type="dxa"/>
            <w:vAlign w:val="bottom"/>
          </w:tcPr>
          <w:p>
            <w:pPr>
              <w:spacing w:after="0"/>
              <w:rPr>
                <w:sz w:val="14"/>
                <w:szCs w:val="1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Amgen-Regeneron Partners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Sumitomo Pharmaceuticals Company, Ltd.</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2,104</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Inventory</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7,931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4,552</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137,464</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73,044</w:t>
            </w: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27,058</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27,439</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37,434</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36,298</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$202,117</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$136,999</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0" w:type="dxa"/>
            <w:vAlign w:val="bottom"/>
          </w:tcPr>
          <w:p>
            <w:pPr>
              <w:spacing w:after="0"/>
              <w:rPr>
                <w:sz w:val="24"/>
                <w:szCs w:val="24"/>
                <w:color w:val="auto"/>
              </w:rPr>
            </w:pPr>
          </w:p>
        </w:tc>
        <w:tc>
          <w:tcPr>
            <w:tcW w:w="6380" w:type="dxa"/>
            <w:vAlign w:val="bottom"/>
          </w:tcPr>
          <w:p>
            <w:pPr>
              <w:ind w:left="1760"/>
              <w:spacing w:after="0"/>
              <w:rPr>
                <w:sz w:val="20"/>
                <w:szCs w:val="20"/>
                <w:color w:val="auto"/>
              </w:rPr>
            </w:pPr>
            <w:r>
              <w:rPr>
                <w:rFonts w:ascii="Courier New" w:cs="Courier New" w:eastAsia="Courier New" w:hAnsi="Courier New"/>
                <w:sz w:val="15"/>
                <w:szCs w:val="15"/>
                <w:color w:val="auto"/>
              </w:rPr>
              <w:t>LIABILITIES and STOCKHOLDERS' EQUITY</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$7,637</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$6,551</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Deferred revenue, current portion</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4,252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4,686</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Due to Merck &amp; Co., Inc.</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Due to Amgen-Regeneron Partners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Capital lease obligations, current portion</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1,039</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1,380</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Note payable, current portion</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67</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13,027</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13,319</w:t>
            </w: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10,491</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11,130</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836</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1,204</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 payable</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1,500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1,527</w:t>
            </w:r>
          </w:p>
        </w:tc>
      </w:tr>
      <w:tr>
        <w:trPr>
          <w:trHeight w:val="168"/>
        </w:trPr>
        <w:tc>
          <w:tcPr>
            <w:tcW w:w="7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w:t>
            </w: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6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outstanding - none</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Class A Stock, convertible, $.001 par value; 40,000,000 shares authorized;</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6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2,766,095 shares issued and outstanding in 2000</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6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3,605,133 shares issued and outstanding in 1999</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Common Stock, $.001 par value; 60,000,000 shares authorized;</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6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32,317,425 shares issued and outstanding in 2000</w:t>
            </w: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6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27,817,636 shares issued and outstanding in 1999</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386,925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310,296</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(210,568)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(200,303)</w:t>
            </w:r>
          </w:p>
        </w:tc>
      </w:tr>
      <w:tr>
        <w:trPr>
          <w:trHeight w:val="168"/>
        </w:trPr>
        <w:tc>
          <w:tcPr>
            <w:tcW w:w="70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(421)</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175,971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109,532</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$202,117</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$136,999</w:t>
            </w:r>
          </w:p>
        </w:tc>
      </w:tr>
      <w:tr>
        <w:trPr>
          <w:trHeight w:val="168"/>
        </w:trPr>
        <w:tc>
          <w:tcPr>
            <w:tcW w:w="6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20"/>
          </w:cols>
          <w:pgMar w:left="220" w:top="617" w:right="125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CONDENSED STATEMENTS OF OPERATIONS (Unaudited)</w:t>
      </w:r>
    </w:p>
    <w:p>
      <w:pPr>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40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 June 30,</w:t>
            </w:r>
          </w:p>
        </w:tc>
        <w:tc>
          <w:tcPr>
            <w:tcW w:w="28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 research and development</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$9,138</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$3,397</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$18,260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$6,741</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2,700</w:t>
            </w:r>
          </w:p>
        </w:tc>
        <w:tc>
          <w:tcPr>
            <w:tcW w:w="1720" w:type="dxa"/>
            <w:vAlign w:val="bottom"/>
          </w:tcPr>
          <w:p>
            <w:pPr>
              <w:spacing w:after="0"/>
              <w:rPr>
                <w:sz w:val="14"/>
                <w:szCs w:val="14"/>
                <w:color w:val="auto"/>
              </w:rPr>
            </w:pP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2,700</w:t>
            </w:r>
          </w:p>
        </w:tc>
        <w:tc>
          <w:tcPr>
            <w:tcW w:w="120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2,618</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2,454</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3,994</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4,569</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2,211</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1,319</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3,437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2,778</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16,667</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7,170</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28,391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14,088</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14,410</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10,818</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26,385</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22,039</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1,080</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591</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2,351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1,711</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1,520</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3,466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3,113</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1,045</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829</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1,971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1,554</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1,265</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1,164</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4,316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2,418</w:t>
            </w: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81</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19,614</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15,003</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38,656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30,851</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($2,947)</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($7,833)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($10,265)</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($16,763)</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 basic and diluted</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($0.08)</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r>
      <w:tr>
        <w:trPr>
          <w:trHeight w:val="168"/>
        </w:trPr>
        <w:tc>
          <w:tcPr>
            <w:tcW w:w="4640" w:type="dxa"/>
            <w:vAlign w:val="bottom"/>
          </w:tcPr>
          <w:p>
            <w:pPr>
              <w:spacing w:after="0"/>
              <w:rPr>
                <w:sz w:val="14"/>
                <w:szCs w:val="14"/>
                <w:color w:val="auto"/>
              </w:rPr>
            </w:pP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617"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 OF STOCKHOLDERS' EQUITY (Unaudited)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 June 30, 2000</w:t>
      </w:r>
    </w:p>
    <w:p>
      <w:pPr>
        <w:spacing w:after="0" w:line="237" w:lineRule="auto"/>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760"/>
          </w:cols>
          <w:pgMar w:left="220" w:top="617" w:right="919" w:bottom="3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5"/>
          <w:szCs w:val="15"/>
          <w:color w:val="auto"/>
        </w:rPr>
        <w:t>Class A Stock</w:t>
      </w:r>
    </w:p>
    <w:p>
      <w:pPr>
        <w:spacing w:after="0" w:line="5"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5600"/>
        <w:spacing w:after="0"/>
        <w:tabs>
          <w:tab w:leader="none" w:pos="10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jc w:val="center"/>
        <w:ind w:left="5600"/>
        <w:spacing w:after="0" w:line="237" w:lineRule="auto"/>
        <w:tabs>
          <w:tab w:leader="none" w:pos="1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1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ind w:left="180"/>
        <w:spacing w:after="0" w:line="237" w:lineRule="auto"/>
        <w:tabs>
          <w:tab w:leader="none" w:pos="1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ectPr>
          <w:pgSz w:w="11900" w:h="16838" w:orient="portrait"/>
          <w:cols w:equalWidth="0" w:num="2">
            <w:col w:w="7700" w:space="360"/>
            <w:col w:w="2700"/>
          </w:cols>
          <w:pgMar w:left="220" w:top="617" w:right="919" w:bottom="354"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27,818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w:t>
      </w:r>
    </w:p>
    <w:p>
      <w:pPr>
        <w:spacing w:after="0" w:line="177" w:lineRule="exact"/>
        <w:rPr>
          <w:sz w:val="20"/>
          <w:szCs w:val="20"/>
          <w:color w:val="auto"/>
        </w:rPr>
      </w:pPr>
    </w:p>
    <w:p>
      <w:pPr>
        <w:sectPr>
          <w:pgSz w:w="11900" w:h="16838" w:orient="portrait"/>
          <w:cols w:equalWidth="0" w:num="5">
            <w:col w:w="5240" w:space="720"/>
            <w:col w:w="680" w:space="720"/>
            <w:col w:w="180" w:space="700"/>
            <w:col w:w="760" w:space="720"/>
            <w:col w:w="104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a public offering</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$29.75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w:t>
      </w:r>
    </w:p>
    <w:p>
      <w:pPr>
        <w:spacing w:after="0" w:line="32" w:lineRule="exact"/>
        <w:rPr>
          <w:sz w:val="20"/>
          <w:szCs w:val="20"/>
          <w:color w:val="auto"/>
        </w:rPr>
      </w:pPr>
    </w:p>
    <w:p>
      <w:pPr>
        <w:sectPr>
          <w:pgSz w:w="11900" w:h="16838" w:orient="portrait"/>
          <w:cols w:equalWidth="0" w:num="3">
            <w:col w:w="7600" w:space="720"/>
            <w:col w:w="860" w:space="720"/>
            <w:col w:w="86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 associated with issuance of equity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528</w:t>
      </w:r>
    </w:p>
    <w:p>
      <w:pPr>
        <w:spacing w:after="0" w:line="3" w:lineRule="exact"/>
        <w:rPr>
          <w:sz w:val="20"/>
          <w:szCs w:val="20"/>
          <w:color w:val="auto"/>
        </w:rPr>
      </w:pPr>
    </w:p>
    <w:p>
      <w:pPr>
        <w:sectPr>
          <w:pgSz w:w="11900" w:h="16838" w:orient="portrait"/>
          <w:cols w:equalWidth="0" w:num="2">
            <w:col w:w="7780" w:space="720"/>
            <w:col w:w="226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issuance of Common Stock to Amgen in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connection with a cashless exercise of</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478</w:t>
      </w:r>
    </w:p>
    <w:p>
      <w:pPr>
        <w:spacing w:after="0" w:line="10" w:lineRule="exact"/>
        <w:rPr>
          <w:sz w:val="20"/>
          <w:szCs w:val="20"/>
          <w:color w:val="auto"/>
        </w:rPr>
      </w:pPr>
    </w:p>
    <w:p>
      <w:pPr>
        <w:sectPr>
          <w:pgSz w:w="11900" w:h="16838" w:orient="portrait"/>
          <w:cols w:equalWidth="0" w:num="2">
            <w:col w:w="7780" w:space="720"/>
            <w:col w:w="226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right="1380" w:firstLine="437"/>
        <w:spacing w:after="0" w:line="254" w:lineRule="auto"/>
        <w:rPr>
          <w:sz w:val="20"/>
          <w:szCs w:val="20"/>
          <w:color w:val="auto"/>
        </w:rPr>
      </w:pPr>
      <w:r>
        <w:rPr>
          <w:rFonts w:ascii="Courier New" w:cs="Courier New" w:eastAsia="Courier New" w:hAnsi="Courier New"/>
          <w:sz w:val="14"/>
          <w:szCs w:val="14"/>
          <w:color w:val="auto"/>
        </w:rPr>
        <w:t>Company 401(k) Savings Plan contribution Conversion of Class A Stock to Common Stock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(839)</w:t>
      </w:r>
      <w:r>
        <w:rPr>
          <w:sz w:val="20"/>
          <w:szCs w:val="20"/>
          <w:color w:val="auto"/>
        </w:rPr>
        <w:tab/>
      </w: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w:t>
      </w:r>
    </w:p>
    <w:p>
      <w:pPr>
        <w:spacing w:after="0" w:line="32" w:lineRule="exact"/>
        <w:rPr>
          <w:sz w:val="20"/>
          <w:szCs w:val="20"/>
          <w:color w:val="auto"/>
        </w:rPr>
      </w:pPr>
    </w:p>
    <w:p>
      <w:pPr>
        <w:sectPr>
          <w:pgSz w:w="11900" w:h="16838" w:orient="portrait"/>
          <w:cols w:equalWidth="0" w:num="4">
            <w:col w:w="5320" w:space="720"/>
            <w:col w:w="1740" w:space="720"/>
            <w:col w:w="680" w:space="720"/>
            <w:col w:w="860"/>
          </w:cols>
          <w:pgMar w:left="220" w:top="617" w:right="919" w:bottom="354" w:gutter="0" w:footer="0" w:header="0"/>
          <w:type w:val="continuous"/>
        </w:sectPr>
      </w:pPr>
    </w:p>
    <w:p>
      <w:pPr>
        <w:spacing w:after="0" w:line="231" w:lineRule="auto"/>
        <w:rPr>
          <w:sz w:val="20"/>
          <w:szCs w:val="20"/>
          <w:color w:val="auto"/>
        </w:rPr>
      </w:pPr>
      <w:r>
        <w:rPr>
          <w:rFonts w:ascii="Courier New" w:cs="Courier New" w:eastAsia="Courier New" w:hAnsi="Courier New"/>
          <w:sz w:val="15"/>
          <w:szCs w:val="15"/>
          <w:color w:val="auto"/>
        </w:rPr>
        <w:t>Net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net unrealized loss on marketable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w:t>
      </w:r>
    </w:p>
    <w:p>
      <w:pPr>
        <w:sectPr>
          <w:pgSz w:w="11900" w:h="16838" w:orient="portrait"/>
          <w:cols w:equalWidth="0" w:num="1">
            <w:col w:w="10760"/>
          </w:cols>
          <w:pgMar w:left="220" w:top="617" w:right="919" w:bottom="354" w:gutter="0" w:footer="0" w:header="0"/>
          <w:type w:val="continuous"/>
        </w:sectPr>
      </w:pP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June 30,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tab/>
        <w:t>------------</w:t>
      </w:r>
    </w:p>
    <w:p>
      <w:pPr>
        <w:spacing w:after="0" w:line="3"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2,766</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tabs>
          <w:tab w:leader="none" w:pos="1740" w:val="left"/>
        </w:tabs>
        <w:rPr>
          <w:sz w:val="20"/>
          <w:szCs w:val="20"/>
          <w:color w:val="auto"/>
        </w:rPr>
      </w:pPr>
      <w:r>
        <w:rPr>
          <w:rFonts w:ascii="Courier New" w:cs="Courier New" w:eastAsia="Courier New" w:hAnsi="Courier New"/>
          <w:sz w:val="15"/>
          <w:szCs w:val="15"/>
          <w:color w:val="auto"/>
        </w:rPr>
        <w:t>32,317</w:t>
      </w:r>
      <w:r>
        <w:rPr>
          <w:sz w:val="20"/>
          <w:szCs w:val="20"/>
          <w:color w:val="auto"/>
        </w:rPr>
        <w:tab/>
      </w:r>
      <w:r>
        <w:rPr>
          <w:rFonts w:ascii="Courier New" w:cs="Courier New" w:eastAsia="Courier New" w:hAnsi="Courier New"/>
          <w:sz w:val="15"/>
          <w:szCs w:val="15"/>
          <w:color w:val="auto"/>
        </w:rPr>
        <w:t>$32</w:t>
      </w:r>
    </w:p>
    <w:p>
      <w:pPr>
        <w:spacing w:after="0" w:line="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800" w:space="720"/>
            <w:col w:w="2100" w:space="340"/>
            <w:col w:w="2800"/>
          </w:cols>
          <w:pgMar w:left="220" w:top="617" w:right="919" w:bottom="354"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Additional</w:t>
      </w:r>
    </w:p>
    <w:p>
      <w:pPr>
        <w:ind w:left="5520"/>
        <w:spacing w:after="0" w:line="237" w:lineRule="auto"/>
        <w:rPr>
          <w:sz w:val="20"/>
          <w:szCs w:val="20"/>
          <w:color w:val="auto"/>
        </w:rPr>
      </w:pPr>
      <w:r>
        <w:rPr>
          <w:rFonts w:ascii="Courier New" w:cs="Courier New" w:eastAsia="Courier New" w:hAnsi="Courier New"/>
          <w:sz w:val="15"/>
          <w:szCs w:val="15"/>
          <w:color w:val="auto"/>
        </w:rPr>
        <w:t>Paid-in</w:t>
      </w:r>
    </w:p>
    <w:p>
      <w:pPr>
        <w:ind w:left="5520"/>
        <w:spacing w:after="0" w:line="238" w:lineRule="auto"/>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Accumulated</w:t>
      </w:r>
    </w:p>
    <w:p>
      <w:pPr>
        <w:ind w:left="440"/>
        <w:spacing w:after="0" w:line="237" w:lineRule="auto"/>
        <w:rPr>
          <w:sz w:val="20"/>
          <w:szCs w:val="20"/>
          <w:color w:val="auto"/>
        </w:rPr>
      </w:pPr>
      <w:r>
        <w:rPr>
          <w:rFonts w:ascii="Courier New" w:cs="Courier New" w:eastAsia="Courier New" w:hAnsi="Courier New"/>
          <w:sz w:val="15"/>
          <w:szCs w:val="15"/>
          <w:color w:val="auto"/>
        </w:rPr>
        <w:t>Deficit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Accumulated</w:t>
      </w:r>
    </w:p>
    <w:p>
      <w:pPr>
        <w:ind w:left="700"/>
        <w:spacing w:after="0" w:line="237" w:lineRule="auto"/>
        <w:rPr>
          <w:sz w:val="20"/>
          <w:szCs w:val="20"/>
          <w:color w:val="auto"/>
        </w:rPr>
      </w:pPr>
      <w:r>
        <w:rPr>
          <w:rFonts w:ascii="Courier New" w:cs="Courier New" w:eastAsia="Courier New" w:hAnsi="Courier New"/>
          <w:sz w:val="15"/>
          <w:szCs w:val="15"/>
          <w:color w:val="auto"/>
        </w:rPr>
        <w:t>Other</w:t>
      </w:r>
    </w:p>
    <w:p>
      <w:pPr>
        <w:ind w:left="360"/>
        <w:spacing w:after="0" w:line="238" w:lineRule="auto"/>
        <w:rPr>
          <w:sz w:val="20"/>
          <w:szCs w:val="20"/>
          <w:color w:val="auto"/>
        </w:rPr>
      </w:pPr>
      <w:r>
        <w:rPr>
          <w:rFonts w:ascii="Courier New" w:cs="Courier New" w:eastAsia="Courier New" w:hAnsi="Courier New"/>
          <w:sz w:val="15"/>
          <w:szCs w:val="15"/>
          <w:color w:val="auto"/>
        </w:rPr>
        <w:t>Comprehensive</w:t>
      </w:r>
    </w:p>
    <w:p>
      <w:pPr>
        <w:ind w:left="700"/>
        <w:spacing w:after="0" w:line="237" w:lineRule="auto"/>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560" w:space="360"/>
            <w:col w:w="1580" w:space="340"/>
            <w:col w:w="192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$310,296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($200,303)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($493)</w:t>
      </w:r>
    </w:p>
    <w:p>
      <w:pPr>
        <w:spacing w:after="0" w:line="178" w:lineRule="exact"/>
        <w:rPr>
          <w:sz w:val="20"/>
          <w:szCs w:val="20"/>
          <w:color w:val="auto"/>
        </w:rPr>
      </w:pPr>
    </w:p>
    <w:p>
      <w:pPr>
        <w:sectPr>
          <w:pgSz w:w="11900" w:h="16838" w:orient="portrait"/>
          <w:cols w:equalWidth="0" w:num="4">
            <w:col w:w="5060" w:space="720"/>
            <w:col w:w="1120" w:space="720"/>
            <w:col w:w="1900" w:space="720"/>
            <w:col w:w="52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a public offering</w:t>
      </w:r>
    </w:p>
    <w:p>
      <w:pPr>
        <w:sectPr>
          <w:pgSz w:w="11900" w:h="16838" w:orient="portrait"/>
          <w:cols w:equalWidth="0" w:num="1">
            <w:col w:w="10760"/>
          </w:cols>
          <w:pgMar w:left="220" w:top="617" w:right="919" w:bottom="354"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$29.75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associated with issuance of 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77,347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(4,470)</w:t>
      </w:r>
    </w:p>
    <w:p>
      <w:pPr>
        <w:spacing w:after="0" w:line="10" w:lineRule="exact"/>
        <w:rPr>
          <w:sz w:val="20"/>
          <w:szCs w:val="20"/>
          <w:color w:val="auto"/>
        </w:rPr>
      </w:pPr>
    </w:p>
    <w:p>
      <w:pPr>
        <w:sectPr>
          <w:pgSz w:w="11900" w:h="16838" w:orient="portrait"/>
          <w:cols w:equalWidth="0" w:num="2">
            <w:col w:w="5240" w:space="720"/>
            <w:col w:w="480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3,331</w:t>
      </w:r>
    </w:p>
    <w:p>
      <w:pPr>
        <w:spacing w:after="0" w:line="3" w:lineRule="exact"/>
        <w:rPr>
          <w:sz w:val="20"/>
          <w:szCs w:val="20"/>
          <w:color w:val="auto"/>
        </w:rPr>
      </w:pPr>
    </w:p>
    <w:p>
      <w:pPr>
        <w:sectPr>
          <w:pgSz w:w="11900" w:h="16838" w:orient="portrait"/>
          <w:cols w:equalWidth="0" w:num="2">
            <w:col w:w="5320" w:space="720"/>
            <w:col w:w="472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issuance of Common Stock to Amgen in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connection with a cashless exercise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401(k) Savings Plan 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421</w:t>
      </w:r>
    </w:p>
    <w:p>
      <w:pPr>
        <w:spacing w:after="0" w:line="10" w:lineRule="exact"/>
        <w:rPr>
          <w:sz w:val="20"/>
          <w:szCs w:val="20"/>
          <w:color w:val="auto"/>
        </w:rPr>
      </w:pPr>
    </w:p>
    <w:p>
      <w:pPr>
        <w:sectPr>
          <w:pgSz w:w="11900" w:h="16838" w:orient="portrait"/>
          <w:cols w:equalWidth="0" w:num="2">
            <w:col w:w="5500" w:space="720"/>
            <w:col w:w="454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of Class A Stock to Common Stock</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(10,265)</w:t>
      </w:r>
    </w:p>
    <w:p>
      <w:pPr>
        <w:spacing w:after="0" w:line="10" w:lineRule="exact"/>
        <w:rPr>
          <w:sz w:val="20"/>
          <w:szCs w:val="20"/>
          <w:color w:val="auto"/>
        </w:rPr>
      </w:pPr>
    </w:p>
    <w:p>
      <w:pPr>
        <w:sectPr>
          <w:pgSz w:w="11900" w:h="16838" w:orient="portrait"/>
          <w:cols w:equalWidth="0" w:num="2">
            <w:col w:w="7080" w:space="720"/>
            <w:col w:w="296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net unrealized loss on marketable</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sectPr>
          <w:pgSz w:w="11900" w:h="16838" w:orient="portrait"/>
          <w:cols w:equalWidth="0" w:num="2">
            <w:col w:w="9780" w:space="720"/>
            <w:col w:w="260"/>
          </w:cols>
          <w:pgMar w:left="220" w:top="617" w:right="919" w:bottom="354" w:gutter="0" w:footer="0" w:header="0"/>
          <w:type w:val="continuous"/>
        </w:sectPr>
      </w:pP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June 30, 2000</w:t>
      </w:r>
    </w:p>
    <w:p>
      <w:pPr>
        <w:spacing w:after="0" w:line="20" w:lineRule="exact"/>
        <w:rPr>
          <w:sz w:val="20"/>
          <w:szCs w:val="20"/>
          <w:color w:val="auto"/>
        </w:rPr>
      </w:pPr>
      <w:r>
        <w:rPr>
          <w:sz w:val="20"/>
          <w:szCs w:val="20"/>
          <w:color w:val="auto"/>
        </w:rPr>
        <w:br w:type="column"/>
      </w:r>
    </w:p>
    <w:p>
      <w:pPr>
        <w:jc w:val="right"/>
        <w:spacing w:after="0" w:line="258" w:lineRule="auto"/>
        <w:rPr>
          <w:sz w:val="20"/>
          <w:szCs w:val="20"/>
          <w:color w:val="auto"/>
        </w:rPr>
      </w:pPr>
      <w:r>
        <w:rPr>
          <w:rFonts w:ascii="Courier New" w:cs="Courier New" w:eastAsia="Courier New" w:hAnsi="Courier New"/>
          <w:sz w:val="14"/>
          <w:szCs w:val="14"/>
          <w:color w:val="auto"/>
        </w:rPr>
        <w:t>-------------    ------------------    ---------------------- $386,925             ($210,568)                    ($421) =============    ==================    ======================</w:t>
      </w:r>
    </w:p>
    <w:p>
      <w:pPr>
        <w:spacing w:after="0" w:line="200" w:lineRule="exact"/>
        <w:rPr>
          <w:sz w:val="20"/>
          <w:szCs w:val="20"/>
          <w:color w:val="auto"/>
        </w:rPr>
      </w:pPr>
    </w:p>
    <w:p>
      <w:pPr>
        <w:sectPr>
          <w:pgSz w:w="11900" w:h="16838" w:orient="portrait"/>
          <w:cols w:equalWidth="0" w:num="2">
            <w:col w:w="4720" w:space="720"/>
            <w:col w:w="5320"/>
          </w:cols>
          <w:pgMar w:left="220" w:top="617" w:right="919" w:bottom="354" w:gutter="0" w:footer="0" w:header="0"/>
          <w:type w:val="continuous"/>
        </w:sectPr>
      </w:pPr>
    </w:p>
    <w:p>
      <w:pPr>
        <w:spacing w:after="0" w:line="291"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Stockholders'</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Equity</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160" w:space="720"/>
            <w:col w:w="288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$109,532</w:t>
      </w:r>
    </w:p>
    <w:p>
      <w:pPr>
        <w:spacing w:after="0" w:line="178" w:lineRule="exact"/>
        <w:rPr>
          <w:sz w:val="20"/>
          <w:szCs w:val="20"/>
          <w:color w:val="auto"/>
        </w:rPr>
      </w:pPr>
    </w:p>
    <w:p>
      <w:pPr>
        <w:sectPr>
          <w:pgSz w:w="11900" w:h="16838" w:orient="portrait"/>
          <w:cols w:equalWidth="0" w:num="2">
            <w:col w:w="5060" w:space="720"/>
            <w:col w:w="498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a public offering</w:t>
      </w:r>
    </w:p>
    <w:p>
      <w:pPr>
        <w:sectPr>
          <w:pgSz w:w="11900" w:h="16838" w:orient="portrait"/>
          <w:cols w:equalWidth="0" w:num="1">
            <w:col w:w="10760"/>
          </w:cols>
          <w:pgMar w:left="220" w:top="617" w:right="919" w:bottom="354"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$29.75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associated with issuance of 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77,350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(4,470)</w:t>
      </w:r>
    </w:p>
    <w:p>
      <w:pPr>
        <w:spacing w:after="0" w:line="10" w:lineRule="exact"/>
        <w:rPr>
          <w:sz w:val="20"/>
          <w:szCs w:val="20"/>
          <w:color w:val="auto"/>
        </w:rPr>
      </w:pPr>
    </w:p>
    <w:p>
      <w:pPr>
        <w:sectPr>
          <w:pgSz w:w="11900" w:h="16838" w:orient="portrait"/>
          <w:cols w:equalWidth="0" w:num="2">
            <w:col w:w="5240" w:space="720"/>
            <w:col w:w="480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3,331</w:t>
      </w:r>
    </w:p>
    <w:p>
      <w:pPr>
        <w:spacing w:after="0" w:line="3" w:lineRule="exact"/>
        <w:rPr>
          <w:sz w:val="20"/>
          <w:szCs w:val="20"/>
          <w:color w:val="auto"/>
        </w:rPr>
      </w:pPr>
    </w:p>
    <w:p>
      <w:pPr>
        <w:sectPr>
          <w:pgSz w:w="11900" w:h="16838" w:orient="portrait"/>
          <w:cols w:equalWidth="0" w:num="2">
            <w:col w:w="5320" w:space="720"/>
            <w:col w:w="472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issuance of Common Stock to Amgen in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connection with a cashless exercise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 with</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401(k) Savings Plan 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421</w:t>
      </w:r>
    </w:p>
    <w:p>
      <w:pPr>
        <w:spacing w:after="0" w:line="10" w:lineRule="exact"/>
        <w:rPr>
          <w:sz w:val="20"/>
          <w:szCs w:val="20"/>
          <w:color w:val="auto"/>
        </w:rPr>
      </w:pPr>
    </w:p>
    <w:p>
      <w:pPr>
        <w:sectPr>
          <w:pgSz w:w="11900" w:h="16838" w:orient="portrait"/>
          <w:cols w:equalWidth="0" w:num="2">
            <w:col w:w="5500" w:space="720"/>
            <w:col w:w="454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Conversion of Class A Stock to Common Stock</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($10,265)</w:t>
      </w:r>
    </w:p>
    <w:p>
      <w:pPr>
        <w:spacing w:after="0" w:line="10" w:lineRule="exact"/>
        <w:rPr>
          <w:sz w:val="20"/>
          <w:szCs w:val="20"/>
          <w:color w:val="auto"/>
        </w:rPr>
      </w:pPr>
    </w:p>
    <w:p>
      <w:pPr>
        <w:sectPr>
          <w:pgSz w:w="11900" w:h="16838" w:orient="portrait"/>
          <w:cols w:equalWidth="0" w:num="3">
            <w:col w:w="5140" w:space="720"/>
            <w:col w:w="1380" w:space="720"/>
            <w:col w:w="2800"/>
          </w:cols>
          <w:pgMar w:left="220" w:top="617" w:right="919" w:bottom="35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net unrealized loss on marketable</w:t>
      </w:r>
    </w:p>
    <w:p>
      <w:pPr>
        <w:sectPr>
          <w:pgSz w:w="11900" w:h="16838" w:orient="portrait"/>
          <w:cols w:equalWidth="0" w:num="1">
            <w:col w:w="10760"/>
          </w:cols>
          <w:pgMar w:left="220" w:top="617" w:right="919" w:bottom="354"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Courier New" w:cs="Courier New" w:eastAsia="Courier New" w:hAnsi="Courier New"/>
          <w:sz w:val="12"/>
          <w:szCs w:val="12"/>
          <w:color w:val="auto"/>
        </w:rPr>
        <w:t>72</w:t>
      </w:r>
    </w:p>
    <w:p>
      <w:pPr>
        <w:spacing w:after="0" w:line="200" w:lineRule="exact"/>
        <w:rPr>
          <w:sz w:val="20"/>
          <w:szCs w:val="20"/>
          <w:color w:val="auto"/>
        </w:rPr>
      </w:pPr>
    </w:p>
    <w:p>
      <w:pPr>
        <w:sectPr>
          <w:pgSz w:w="11900" w:h="16838" w:orient="portrait"/>
          <w:cols w:equalWidth="0" w:num="3">
            <w:col w:w="5580" w:space="720"/>
            <w:col w:w="1480" w:space="720"/>
            <w:col w:w="2260"/>
          </w:cols>
          <w:pgMar w:left="220" w:top="617" w:right="919" w:bottom="354" w:gutter="0" w:footer="0" w:header="0"/>
          <w:type w:val="continuous"/>
        </w:sectPr>
      </w:pP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June 30,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$175,971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($10,193)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4800" w:space="720"/>
            <w:col w:w="1460" w:space="720"/>
            <w:col w:w="3060"/>
          </w:cols>
          <w:pgMar w:left="220" w:top="617" w:right="919" w:bottom="354"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41"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CONDENSED STATEMENTS OF CASH FLOWS (Unaudited)</w:t>
      </w:r>
    </w:p>
    <w:p>
      <w:pPr>
        <w:spacing w:after="0" w:line="238" w:lineRule="auto"/>
        <w:rPr>
          <w:sz w:val="20"/>
          <w:szCs w:val="20"/>
          <w:color w:val="auto"/>
        </w:rPr>
      </w:pPr>
      <w:r>
        <w:rPr>
          <w:rFonts w:ascii="Courier New" w:cs="Courier New" w:eastAsia="Courier New" w:hAnsi="Courier New"/>
          <w:sz w:val="15"/>
          <w:szCs w:val="15"/>
          <w:color w:val="auto"/>
        </w:rPr>
        <w:t>Increase (Decrease) in Cash and Cash Equivalents</w:t>
      </w:r>
    </w:p>
    <w:p>
      <w:pPr>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33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($10,265)</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($16,763)</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8240" w:type="dxa"/>
            <w:vAlign w:val="bottom"/>
          </w:tcPr>
          <w:p>
            <w:pPr>
              <w:jc w:val="right"/>
              <w:ind w:right="5187"/>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8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2,351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w:t>
            </w:r>
          </w:p>
        </w:tc>
      </w:tr>
      <w:tr>
        <w:trPr>
          <w:trHeight w:val="168"/>
        </w:trPr>
        <w:tc>
          <w:tcPr>
            <w:tcW w:w="8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1,971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1,554</w:t>
            </w:r>
          </w:p>
        </w:tc>
      </w:tr>
      <w:tr>
        <w:trPr>
          <w:trHeight w:val="168"/>
        </w:trPr>
        <w:tc>
          <w:tcPr>
            <w:tcW w:w="8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issued in consideration for services rendered</w:t>
            </w:r>
          </w:p>
        </w:tc>
        <w:tc>
          <w:tcPr>
            <w:tcW w:w="2100" w:type="dxa"/>
            <w:vAlign w:val="bottom"/>
          </w:tcPr>
          <w:p>
            <w:pPr>
              <w:spacing w:after="0"/>
              <w:rPr>
                <w:sz w:val="14"/>
                <w:szCs w:val="14"/>
                <w:color w:val="auto"/>
              </w:rPr>
            </w:pP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82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decrease in amounts due from The Procter &amp; Gamble Company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(7,263)</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in amounts due from/decrease in amounts due to Merck &amp; Co., Inc.</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decrease in amounts due from Amgen-Regeneron Partners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decrease in amounts due from Sumitomo Pharmaceuticals Co., Ltd.</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in investment in Amgen-Regeneron Partners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(2,632)</w:t>
            </w:r>
          </w:p>
        </w:tc>
        <w:tc>
          <w:tcPr>
            <w:tcW w:w="1200" w:type="dxa"/>
            <w:vAlign w:val="bottom"/>
          </w:tcPr>
          <w:p>
            <w:pPr>
              <w:spacing w:after="0"/>
              <w:rPr>
                <w:sz w:val="14"/>
                <w:szCs w:val="14"/>
                <w:color w:val="auto"/>
              </w:rPr>
            </w:pP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in prepaid expenses and other assets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(339)</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in inventory</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(2,598)</w:t>
            </w:r>
          </w:p>
        </w:tc>
        <w:tc>
          <w:tcPr>
            <w:tcW w:w="1200" w:type="dxa"/>
            <w:vAlign w:val="bottom"/>
          </w:tcPr>
          <w:p>
            <w:pPr>
              <w:spacing w:after="0"/>
              <w:rPr>
                <w:sz w:val="14"/>
                <w:szCs w:val="14"/>
                <w:color w:val="auto"/>
              </w:rPr>
            </w:pP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Decrease in deferred revenue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(1,073)</w:t>
            </w:r>
          </w:p>
        </w:tc>
        <w:tc>
          <w:tcPr>
            <w:tcW w:w="1200" w:type="dxa"/>
            <w:vAlign w:val="bottom"/>
          </w:tcPr>
          <w:p>
            <w:pPr>
              <w:spacing w:after="0"/>
              <w:rPr>
                <w:sz w:val="14"/>
                <w:szCs w:val="14"/>
                <w:color w:val="auto"/>
              </w:rPr>
            </w:pPr>
          </w:p>
        </w:tc>
      </w:tr>
      <w:tr>
        <w:trPr>
          <w:trHeight w:val="168"/>
        </w:trPr>
        <w:tc>
          <w:tcPr>
            <w:tcW w:w="82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Increase (decrease) in accounts payable, accrued expenses,</w:t>
            </w: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8240" w:type="dxa"/>
            <w:vAlign w:val="bottom"/>
          </w:tcPr>
          <w:p>
            <w:pPr>
              <w:jc w:val="right"/>
              <w:ind w:right="5187"/>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1,914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(9,671)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3,644</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(19,936)</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(13,119)</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marketable securities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(42,225)</w:t>
            </w: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 of marketable securities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35,106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59,503</w:t>
            </w: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(4,289)</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(3,728)</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investing activities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2,517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13,550</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the issuance of stock</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76,211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note payable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8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payments</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75,473</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ind w:left="980"/>
              <w:spacing w:after="0"/>
              <w:rPr>
                <w:sz w:val="20"/>
                <w:szCs w:val="20"/>
                <w:color w:val="auto"/>
              </w:rPr>
            </w:pPr>
            <w:r>
              <w:rPr>
                <w:rFonts w:ascii="Courier New" w:cs="Courier New" w:eastAsia="Courier New" w:hAnsi="Courier New"/>
                <w:sz w:val="15"/>
                <w:szCs w:val="15"/>
                <w:color w:val="auto"/>
              </w:rPr>
              <w:t>Net increase in cash and cash equivalents</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58,054</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803</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23,697</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19,757</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240" w:type="dxa"/>
            <w:vAlign w:val="bottom"/>
          </w:tcPr>
          <w:p>
            <w:pPr>
              <w:ind w:left="9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$ 81,751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$ 20,560</w:t>
            </w:r>
          </w:p>
        </w:tc>
      </w:tr>
      <w:tr>
        <w:trPr>
          <w:trHeight w:val="168"/>
        </w:trPr>
        <w:tc>
          <w:tcPr>
            <w:tcW w:w="824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785"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35"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2" w:lineRule="exact"/>
        <w:rPr>
          <w:rFonts w:ascii="Courier New" w:cs="Courier New" w:eastAsia="Courier New" w:hAnsi="Courier New"/>
          <w:sz w:val="15"/>
          <w:szCs w:val="15"/>
          <w:color w:val="auto"/>
        </w:rPr>
      </w:pPr>
    </w:p>
    <w:p>
      <w:pPr>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1999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1999.</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June 30, 2000 and December 31, 1999 are $295 and $697, respectively, of accrued capital expenditures. Included in accounts payable and accrued expenses at June 30, 1999 and December 31, 1998 are $455 and $469, respectively, of accrued capital expenditures.</w:t>
      </w:r>
    </w:p>
    <w:p>
      <w:pPr>
        <w:spacing w:after="0" w:line="173"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Included in accounts payable and accrued expenses at December 31, 1999 and 1998 are $421 and $308, respectively, of accrued Company 401(k) Savings Plan contribution expense. During January 2000 and January 1999, the Company contributed 54,003 and 37,653 shares, respectively, of Common Stock to the 401(k) Savings Plan in satisfaction of these obligations.</w:t>
      </w:r>
    </w:p>
    <w:p>
      <w:pPr>
        <w:spacing w:after="0" w:line="1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ind w:left="44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consist of raw materials and other direct and indirect costs associated with the production of brain-derived neurotrophic factor ("BDNF") for Sumitomo Pharmaceuticals Company, Ltd. under a research and development agreement and the production of an intermediate for a Merck &amp; Co., Inc. pediatric vaccine under a long-term manufacturing agreement.</w:t>
      </w:r>
    </w:p>
    <w:p>
      <w:pPr>
        <w:spacing w:after="0" w:line="163" w:lineRule="exact"/>
        <w:rPr>
          <w:rFonts w:ascii="Courier New" w:cs="Courier New" w:eastAsia="Courier New" w:hAnsi="Courier New"/>
          <w:sz w:val="15"/>
          <w:szCs w:val="15"/>
          <w:color w:val="auto"/>
        </w:rPr>
      </w:pPr>
    </w:p>
    <w:p>
      <w:pPr>
        <w:ind w:left="440" w:right="38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as of June 30, 2000 and December 31, 1999 consist of the following:</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964</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Work-in-process</w:t>
            </w:r>
          </w:p>
        </w:tc>
        <w:tc>
          <w:tcPr>
            <w:tcW w:w="2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780(1)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products</w:t>
            </w:r>
          </w:p>
        </w:tc>
        <w:tc>
          <w:tcPr>
            <w:tcW w:w="2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6,187(2)</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3,345</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$7,931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$4,552</w:t>
            </w:r>
          </w:p>
        </w:tc>
      </w:tr>
      <w:tr>
        <w:trPr>
          <w:trHeight w:val="168"/>
        </w:trPr>
        <w:tc>
          <w:tcPr>
            <w:tcW w:w="2680" w:type="dxa"/>
            <w:vAlign w:val="bottom"/>
          </w:tcPr>
          <w:p>
            <w:pPr>
              <w:spacing w:after="0"/>
              <w:rPr>
                <w:sz w:val="14"/>
                <w:szCs w:val="14"/>
                <w:color w:val="auto"/>
              </w:rPr>
            </w:pPr>
          </w:p>
        </w:tc>
        <w:tc>
          <w:tcPr>
            <w:tcW w:w="2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$657.</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$365.</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reserves of $675.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June 30, 2000 and December 31,</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consist of the following:</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and related costs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clinical trial expense</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other</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$7,637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$6,551</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2"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with Amgen Inc. ("Amgen") to develop and commercialize BDNF and neurotrophin-3 ("NT-3"). Pursuant to that agreement, the Company and Amgen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77" w:lineRule="exact"/>
        <w:rPr>
          <w:rFonts w:ascii="Courier New" w:cs="Courier New" w:eastAsia="Courier New" w:hAnsi="Courier New"/>
          <w:sz w:val="15"/>
          <w:szCs w:val="15"/>
          <w:color w:val="auto"/>
        </w:rPr>
      </w:pPr>
    </w:p>
    <w:p>
      <w:pPr>
        <w:ind w:left="4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operating statement data of the Partnership for the three and six months ended June 30, 2000 and 1999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0" w:type="dxa"/>
            <w:vAlign w:val="bottom"/>
            <w:gridSpan w:val="3"/>
          </w:tcPr>
          <w:p>
            <w:pPr>
              <w:jc w:val="right"/>
              <w:ind w:right="567"/>
              <w:spacing w:after="0"/>
              <w:rPr>
                <w:sz w:val="20"/>
                <w:szCs w:val="20"/>
                <w:color w:val="auto"/>
              </w:rPr>
            </w:pPr>
            <w:r>
              <w:rPr>
                <w:rFonts w:ascii="Courier New" w:cs="Courier New" w:eastAsia="Courier New" w:hAnsi="Courier New"/>
                <w:sz w:val="15"/>
                <w:szCs w:val="15"/>
                <w:color w:val="auto"/>
                <w:w w:val="96"/>
              </w:rPr>
              <w:t>Three Months Ended June 30,</w:t>
            </w:r>
          </w:p>
        </w:tc>
        <w:tc>
          <w:tcPr>
            <w:tcW w:w="302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Six Months Ended June 30,</w:t>
            </w:r>
          </w:p>
        </w:tc>
      </w:tr>
      <w:tr>
        <w:trPr>
          <w:trHeight w:val="168"/>
        </w:trPr>
        <w:tc>
          <w:tcPr>
            <w:tcW w:w="1840" w:type="dxa"/>
            <w:vAlign w:val="bottom"/>
          </w:tcPr>
          <w:p>
            <w:pPr>
              <w:spacing w:after="0"/>
              <w:rPr>
                <w:sz w:val="14"/>
                <w:szCs w:val="14"/>
                <w:color w:val="auto"/>
              </w:rPr>
            </w:pPr>
          </w:p>
        </w:tc>
        <w:tc>
          <w:tcPr>
            <w:tcW w:w="1820" w:type="dxa"/>
            <w:vAlign w:val="bottom"/>
            <w:gridSpan w:val="2"/>
          </w:tcPr>
          <w:p>
            <w:pPr>
              <w:ind w:left="600"/>
              <w:spacing w:after="0"/>
              <w:rPr>
                <w:sz w:val="20"/>
                <w:szCs w:val="20"/>
                <w:color w:val="auto"/>
              </w:rPr>
            </w:pPr>
            <w:r>
              <w:rPr>
                <w:rFonts w:ascii="Courier New" w:cs="Courier New" w:eastAsia="Courier New" w:hAnsi="Courier New"/>
                <w:sz w:val="10"/>
                <w:szCs w:val="10"/>
                <w:color w:val="auto"/>
                <w:w w:val="74"/>
              </w:rPr>
              <w: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1999</w:t>
            </w:r>
          </w:p>
        </w:tc>
        <w:tc>
          <w:tcPr>
            <w:tcW w:w="18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40" w:type="dxa"/>
            <w:vAlign w:val="bottom"/>
          </w:tcPr>
          <w:p>
            <w:pPr>
              <w:spacing w:after="0"/>
              <w:rPr>
                <w:sz w:val="14"/>
                <w:szCs w:val="14"/>
                <w:color w:val="auto"/>
              </w:rPr>
            </w:pPr>
          </w:p>
        </w:tc>
        <w:tc>
          <w:tcPr>
            <w:tcW w:w="18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Total revenues</w:t>
            </w:r>
          </w:p>
        </w:tc>
        <w:tc>
          <w:tcPr>
            <w:tcW w:w="700" w:type="dxa"/>
            <w:vAlign w:val="bottom"/>
          </w:tcPr>
          <w:p>
            <w:pPr>
              <w:ind w:left="60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164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206</w:t>
            </w:r>
          </w:p>
        </w:tc>
      </w:tr>
      <w:tr>
        <w:trPr>
          <w:trHeight w:val="168"/>
        </w:trPr>
        <w:tc>
          <w:tcPr>
            <w:tcW w:w="184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6"/>
              </w:rPr>
              <w:t>Total expenses</w:t>
            </w:r>
          </w:p>
        </w:tc>
        <w:tc>
          <w:tcPr>
            <w:tcW w:w="70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1"/>
              </w:rPr>
              <w:t>(2,246)</w:t>
            </w:r>
          </w:p>
        </w:tc>
        <w:tc>
          <w:tcPr>
            <w:tcW w:w="62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5"/>
              </w:rPr>
              <w:t>(1,272)</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(4,865)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w:t>
            </w:r>
          </w:p>
        </w:tc>
      </w:tr>
      <w:tr>
        <w:trPr>
          <w:trHeight w:val="168"/>
        </w:trPr>
        <w:tc>
          <w:tcPr>
            <w:tcW w:w="1840" w:type="dxa"/>
            <w:vAlign w:val="bottom"/>
          </w:tcPr>
          <w:p>
            <w:pPr>
              <w:spacing w:after="0"/>
              <w:rPr>
                <w:sz w:val="14"/>
                <w:szCs w:val="14"/>
                <w:color w:val="auto"/>
              </w:rPr>
            </w:pPr>
          </w:p>
        </w:tc>
        <w:tc>
          <w:tcPr>
            <w:tcW w:w="18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1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($2,160)</w:t>
            </w:r>
          </w:p>
        </w:tc>
        <w:tc>
          <w:tcPr>
            <w:tcW w:w="188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($1,182)</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($3,114)</w:t>
            </w:r>
          </w:p>
        </w:tc>
      </w:tr>
      <w:tr>
        <w:trPr>
          <w:trHeight w:val="168"/>
        </w:trPr>
        <w:tc>
          <w:tcPr>
            <w:tcW w:w="1840" w:type="dxa"/>
            <w:vAlign w:val="bottom"/>
          </w:tcPr>
          <w:p>
            <w:pPr>
              <w:spacing w:after="0"/>
              <w:rPr>
                <w:sz w:val="14"/>
                <w:szCs w:val="14"/>
                <w:color w:val="auto"/>
              </w:rPr>
            </w:pPr>
          </w:p>
        </w:tc>
        <w:tc>
          <w:tcPr>
            <w:tcW w:w="18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six months ended June 30, 2000 and 1999, the components of comprehensive loss are: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640" w:type="dxa"/>
            <w:vAlign w:val="bottom"/>
          </w:tcPr>
          <w:p>
            <w:pPr>
              <w:spacing w:after="0"/>
              <w:rPr>
                <w:sz w:val="14"/>
                <w:szCs w:val="14"/>
                <w:color w:val="auto"/>
              </w:rPr>
            </w:pPr>
          </w:p>
        </w:tc>
        <w:tc>
          <w:tcPr>
            <w:tcW w:w="16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($10,265)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($16,763)</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gain/loss on marketable securities</w:t>
            </w:r>
          </w:p>
        </w:tc>
        <w:tc>
          <w:tcPr>
            <w:tcW w:w="16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5640" w:type="dxa"/>
            <w:vAlign w:val="bottom"/>
          </w:tcPr>
          <w:p>
            <w:pPr>
              <w:spacing w:after="0"/>
              <w:rPr>
                <w:sz w:val="14"/>
                <w:szCs w:val="14"/>
                <w:color w:val="auto"/>
              </w:rPr>
            </w:pPr>
          </w:p>
        </w:tc>
        <w:tc>
          <w:tcPr>
            <w:tcW w:w="16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comprehensive loss</w:t>
            </w:r>
          </w:p>
        </w:tc>
        <w:tc>
          <w:tcPr>
            <w:tcW w:w="1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($17,250)</w:t>
            </w:r>
          </w:p>
        </w:tc>
      </w:tr>
      <w:tr>
        <w:trPr>
          <w:trHeight w:val="168"/>
        </w:trPr>
        <w:tc>
          <w:tcPr>
            <w:tcW w:w="5640" w:type="dxa"/>
            <w:vAlign w:val="bottom"/>
          </w:tcPr>
          <w:p>
            <w:pPr>
              <w:spacing w:after="0"/>
              <w:rPr>
                <w:sz w:val="14"/>
                <w:szCs w:val="14"/>
                <w:color w:val="auto"/>
              </w:rPr>
            </w:pPr>
          </w:p>
        </w:tc>
        <w:tc>
          <w:tcPr>
            <w:tcW w:w="16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40" w:type="dxa"/>
            <w:vAlign w:val="bottom"/>
          </w:tcPr>
          <w:p>
            <w:pPr>
              <w:jc w:val="right"/>
              <w:ind w:right="2507"/>
              <w:spacing w:after="0"/>
              <w:rPr>
                <w:sz w:val="20"/>
                <w:szCs w:val="20"/>
                <w:color w:val="auto"/>
              </w:rPr>
            </w:pPr>
            <w:r>
              <w:rPr>
                <w:rFonts w:ascii="Courier New" w:cs="Courier New" w:eastAsia="Courier New" w:hAnsi="Courier New"/>
                <w:sz w:val="15"/>
                <w:szCs w:val="15"/>
                <w:color w:val="auto"/>
              </w:rPr>
              <w:t>8</w:t>
            </w: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167"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Transactions</w:t>
      </w:r>
    </w:p>
    <w:p>
      <w:pPr>
        <w:spacing w:after="0" w:line="172"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 2000, in accordance with the terms of their warrant agreement, as amended, Amgen exercised 700,000 warrants with an exercise price of $16.00 per share. As consideration for the exercise price, Amgen tendered 221,958 shares of the Company's Common Stock which had an aggregate fair market value at the time of exercise equal to the aggregate exercise price of the warrants. The shares of Common Stock delivered to the Company by Amgen were retired upon receipt.</w:t>
      </w:r>
    </w:p>
    <w:p>
      <w:pPr>
        <w:spacing w:after="0" w:line="175" w:lineRule="exact"/>
        <w:rPr>
          <w:rFonts w:ascii="Courier New" w:cs="Courier New" w:eastAsia="Courier New" w:hAnsi="Courier New"/>
          <w:sz w:val="15"/>
          <w:szCs w:val="15"/>
          <w:color w:val="auto"/>
        </w:rPr>
      </w:pPr>
    </w:p>
    <w:p>
      <w:pPr>
        <w:ind w:left="44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4, 2000, the Company completed a public offering of 2.6 million shares of Common Stock at a price of $29.75 per share for net proceeds, after commissions and expenses, of $72.9 million.</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72"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and six months ended June 30, 2000 and 1999,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Three Months Ended June 30,</w:t>
      </w:r>
    </w:p>
    <w:p>
      <w:pPr>
        <w:ind w:left="4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440" w:type="dxa"/>
        <w:tblCellMar>
          <w:top w:w="0" w:type="dxa"/>
          <w:left w:w="0" w:type="dxa"/>
          <w:bottom w:w="0" w:type="dxa"/>
          <w:right w:w="0" w:type="dxa"/>
        </w:tblCellMar>
      </w:tblPr>
      <w:tr>
        <w:trPr>
          <w:trHeight w:val="169"/>
        </w:trPr>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tcPr>
          <w:p>
            <w:pPr>
              <w:jc w:val="right"/>
              <w:ind w:right="667"/>
              <w:spacing w:after="0" w:line="169" w:lineRule="exact"/>
              <w:rPr>
                <w:sz w:val="20"/>
                <w:szCs w:val="20"/>
                <w:color w:val="auto"/>
              </w:rPr>
            </w:pPr>
            <w:r>
              <w:rPr>
                <w:rFonts w:ascii="Courier New" w:cs="Courier New" w:eastAsia="Courier New" w:hAnsi="Courier New"/>
                <w:sz w:val="15"/>
                <w:szCs w:val="15"/>
                <w:color w:val="auto"/>
              </w:rPr>
              <w:t>Shares, in</w:t>
            </w:r>
          </w:p>
        </w:tc>
        <w:tc>
          <w:tcPr>
            <w:tcW w:w="136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23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Net Loss</w:t>
            </w:r>
          </w:p>
        </w:tc>
        <w:tc>
          <w:tcPr>
            <w:tcW w:w="21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thousands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2940" w:type="dxa"/>
            <w:vAlign w:val="bottom"/>
          </w:tcPr>
          <w:p>
            <w:pPr>
              <w:spacing w:after="0"/>
              <w:rPr>
                <w:sz w:val="14"/>
                <w:szCs w:val="14"/>
                <w:color w:val="auto"/>
              </w:rPr>
            </w:pP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(Numerator)</w:t>
            </w:r>
          </w:p>
        </w:tc>
        <w:tc>
          <w:tcPr>
            <w:tcW w:w="21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(Denominator)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940" w:type="dxa"/>
            <w:vAlign w:val="bottom"/>
          </w:tcPr>
          <w:p>
            <w:pPr>
              <w:spacing w:after="0"/>
              <w:rPr>
                <w:sz w:val="14"/>
                <w:szCs w:val="14"/>
                <w:color w:val="auto"/>
              </w:rPr>
            </w:pP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jc w:val="right"/>
              <w:ind w:right="2427"/>
              <w:spacing w:after="0"/>
              <w:rPr>
                <w:sz w:val="20"/>
                <w:szCs w:val="20"/>
                <w:color w:val="auto"/>
              </w:rPr>
            </w:pPr>
            <w:r>
              <w:rPr>
                <w:rFonts w:ascii="Courier New" w:cs="Courier New" w:eastAsia="Courier New" w:hAnsi="Courier New"/>
                <w:sz w:val="15"/>
                <w:szCs w:val="15"/>
                <w:color w:val="auto"/>
                <w:w w:val="93"/>
              </w:rPr>
              <w:t>2000:</w:t>
            </w:r>
          </w:p>
        </w:tc>
        <w:tc>
          <w:tcPr>
            <w:tcW w:w="2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9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3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($2,947)</w:t>
            </w:r>
          </w:p>
        </w:tc>
        <w:tc>
          <w:tcPr>
            <w:tcW w:w="2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34,971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($0.08)</w:t>
            </w:r>
          </w:p>
        </w:tc>
      </w:tr>
      <w:tr>
        <w:trPr>
          <w:trHeight w:val="336"/>
        </w:trPr>
        <w:tc>
          <w:tcPr>
            <w:tcW w:w="2940" w:type="dxa"/>
            <w:vAlign w:val="bottom"/>
          </w:tcPr>
          <w:p>
            <w:pPr>
              <w:jc w:val="right"/>
              <w:ind w:right="2427"/>
              <w:spacing w:after="0"/>
              <w:rPr>
                <w:sz w:val="20"/>
                <w:szCs w:val="20"/>
                <w:color w:val="auto"/>
              </w:rPr>
            </w:pPr>
            <w:r>
              <w:rPr>
                <w:rFonts w:ascii="Courier New" w:cs="Courier New" w:eastAsia="Courier New" w:hAnsi="Courier New"/>
                <w:sz w:val="15"/>
                <w:szCs w:val="15"/>
                <w:color w:val="auto"/>
                <w:w w:val="93"/>
              </w:rPr>
              <w:t>1999:</w:t>
            </w:r>
          </w:p>
        </w:tc>
        <w:tc>
          <w:tcPr>
            <w:tcW w:w="2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9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3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($7,833)</w:t>
            </w:r>
          </w:p>
        </w:tc>
        <w:tc>
          <w:tcPr>
            <w:tcW w:w="21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31,303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04"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Three Months Ended June 30,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80"/>
        <w:spacing w:after="0"/>
        <w:tabs>
          <w:tab w:leader="none" w:pos="83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120"/>
        <w:spacing w:after="0"/>
        <w:tabs>
          <w:tab w:leader="none" w:pos="724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ind w:left="4200"/>
        <w:spacing w:after="0"/>
        <w:tabs>
          <w:tab w:leader="none" w:pos="5680" w:val="left"/>
          <w:tab w:leader="none" w:pos="7340" w:val="left"/>
          <w:tab w:leader="none" w:pos="900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Weighted</w:t>
      </w:r>
    </w:p>
    <w:p>
      <w:pPr>
        <w:ind w:left="4200"/>
        <w:spacing w:after="0"/>
        <w:tabs>
          <w:tab w:leader="none" w:pos="5680" w:val="left"/>
          <w:tab w:leader="none" w:pos="7340" w:val="left"/>
          <w:tab w:leader="none" w:pos="900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ind w:left="3940"/>
        <w:spacing w:after="0"/>
        <w:tabs>
          <w:tab w:leader="none" w:pos="5420" w:val="left"/>
          <w:tab w:leader="none" w:pos="7160" w:val="left"/>
          <w:tab w:leader="none" w:pos="87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Exercise Price</w:t>
      </w:r>
    </w:p>
    <w:p>
      <w:pPr>
        <w:ind w:left="3940"/>
        <w:spacing w:after="0"/>
        <w:tabs>
          <w:tab w:leader="none" w:pos="5420" w:val="left"/>
          <w:tab w:leader="none" w:pos="7160" w:val="left"/>
          <w:tab w:leader="none" w:pos="8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and warrants with exercise</w:t>
      </w:r>
    </w:p>
    <w:p>
      <w:pPr>
        <w:ind w:left="440"/>
        <w:spacing w:after="0" w:line="237" w:lineRule="auto"/>
        <w:rPr>
          <w:sz w:val="20"/>
          <w:szCs w:val="20"/>
          <w:color w:val="auto"/>
        </w:rPr>
      </w:pPr>
      <w:r>
        <w:rPr>
          <w:rFonts w:ascii="Courier New" w:cs="Courier New" w:eastAsia="Courier New" w:hAnsi="Courier New"/>
          <w:sz w:val="15"/>
          <w:szCs w:val="15"/>
          <w:color w:val="auto"/>
        </w:rPr>
        <w:t>prices below the average fair market</w:t>
      </w:r>
    </w:p>
    <w:p>
      <w:pPr>
        <w:ind w:left="440"/>
        <w:spacing w:after="0" w:line="238" w:lineRule="auto"/>
        <w:rPr>
          <w:sz w:val="20"/>
          <w:szCs w:val="20"/>
          <w:color w:val="auto"/>
        </w:rPr>
      </w:pPr>
      <w:r>
        <w:rPr>
          <w:rFonts w:ascii="Courier New" w:cs="Courier New" w:eastAsia="Courier New" w:hAnsi="Courier New"/>
          <w:sz w:val="15"/>
          <w:szCs w:val="15"/>
          <w:color w:val="auto"/>
        </w:rPr>
        <w:t>value of the Company's common stock</w:t>
      </w:r>
    </w:p>
    <w:p>
      <w:pPr>
        <w:sectPr>
          <w:pgSz w:w="11900" w:h="16838" w:orient="portrait"/>
          <w:cols w:equalWidth="0" w:num="1">
            <w:col w:w="10239"/>
          </w:cols>
          <w:pgMar w:left="220" w:top="785" w:right="1440"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$4.76</w:t>
      </w:r>
    </w:p>
    <w:p>
      <w:pPr>
        <w:spacing w:after="0" w:line="171" w:lineRule="exact"/>
        <w:rPr>
          <w:sz w:val="20"/>
          <w:szCs w:val="20"/>
          <w:color w:val="auto"/>
        </w:rPr>
      </w:pPr>
    </w:p>
    <w:p>
      <w:pPr>
        <w:sectPr>
          <w:pgSz w:w="11900" w:h="16838" w:orient="portrait"/>
          <w:cols w:equalWidth="0" w:num="5">
            <w:col w:w="3660" w:space="720"/>
            <w:col w:w="860" w:space="720"/>
            <w:col w:w="1020" w:space="720"/>
            <w:col w:w="860" w:space="720"/>
            <w:col w:w="959"/>
          </w:cols>
          <w:pgMar w:left="220" w:top="7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Options and warrants with exercise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prices above the average fair market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value of the Company's common stock</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ind w:left="1240" w:right="1020" w:hanging="786"/>
        <w:spacing w:after="0" w:line="465" w:lineRule="auto"/>
        <w:rPr>
          <w:sz w:val="20"/>
          <w:szCs w:val="20"/>
          <w:color w:val="auto"/>
        </w:rPr>
      </w:pPr>
      <w:r>
        <w:rPr>
          <w:rFonts w:ascii="Courier New" w:cs="Courier New" w:eastAsia="Courier New" w:hAnsi="Courier New"/>
          <w:sz w:val="15"/>
          <w:szCs w:val="15"/>
          <w:color w:val="auto"/>
        </w:rPr>
        <w:t>for the respective period Total</w:t>
      </w:r>
    </w:p>
    <w:p>
      <w:pPr>
        <w:spacing w:after="0" w:line="20" w:lineRule="exact"/>
        <w:rPr>
          <w:sz w:val="20"/>
          <w:szCs w:val="20"/>
          <w:color w:val="auto"/>
        </w:rPr>
      </w:pPr>
      <w:r>
        <w:rPr>
          <w:sz w:val="20"/>
          <w:szCs w:val="20"/>
          <w:color w:val="auto"/>
        </w:rPr>
        <w:br w:type="column"/>
      </w:r>
    </w:p>
    <w:p>
      <w:pPr>
        <w:jc w:val="both"/>
        <w:ind w:right="340" w:firstLine="175"/>
        <w:spacing w:after="0"/>
        <w:rPr>
          <w:sz w:val="20"/>
          <w:szCs w:val="20"/>
          <w:color w:val="auto"/>
        </w:rPr>
      </w:pPr>
      <w:r>
        <w:rPr>
          <w:rFonts w:ascii="Courier New" w:cs="Courier New" w:eastAsia="Courier New" w:hAnsi="Courier New"/>
          <w:sz w:val="15"/>
          <w:szCs w:val="15"/>
          <w:color w:val="auto"/>
        </w:rPr>
        <w:t>467 $36.05 5,538 ----- ----- 7,694 7,105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$10.82</w:t>
      </w:r>
    </w:p>
    <w:p>
      <w:pPr>
        <w:spacing w:after="0" w:line="513" w:lineRule="exact"/>
        <w:rPr>
          <w:sz w:val="20"/>
          <w:szCs w:val="20"/>
          <w:color w:val="auto"/>
        </w:rPr>
      </w:pPr>
    </w:p>
    <w:p>
      <w:pPr>
        <w:sectPr>
          <w:pgSz w:w="11900" w:h="16838" w:orient="portrait"/>
          <w:cols w:equalWidth="0" w:num="3">
            <w:col w:w="3660" w:space="720"/>
            <w:col w:w="4100" w:space="720"/>
            <w:col w:w="1039"/>
          </w:cols>
          <w:pgMar w:left="220" w:top="7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Six Months Ended June 30,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Shares, in</w:t>
            </w:r>
          </w:p>
        </w:tc>
        <w:tc>
          <w:tcPr>
            <w:tcW w:w="13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5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Net Loss</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thousands</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Per Share</w:t>
            </w:r>
          </w:p>
        </w:tc>
      </w:tr>
      <w:tr>
        <w:trPr>
          <w:trHeight w:val="168"/>
        </w:trPr>
        <w:tc>
          <w:tcPr>
            <w:tcW w:w="3200" w:type="dxa"/>
            <w:vAlign w:val="bottom"/>
          </w:tcPr>
          <w:p>
            <w:pPr>
              <w:spacing w:after="0"/>
              <w:rPr>
                <w:sz w:val="14"/>
                <w:szCs w:val="14"/>
                <w:color w:val="auto"/>
              </w:rPr>
            </w:pPr>
          </w:p>
        </w:tc>
        <w:tc>
          <w:tcPr>
            <w:tcW w:w="25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(Numerator)</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(Denominator)</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200" w:type="dxa"/>
            <w:vAlign w:val="bottom"/>
          </w:tcPr>
          <w:p>
            <w:pPr>
              <w:spacing w:after="0"/>
              <w:rPr>
                <w:sz w:val="14"/>
                <w:szCs w:val="14"/>
                <w:color w:val="auto"/>
              </w:rPr>
            </w:pPr>
          </w:p>
        </w:tc>
        <w:tc>
          <w:tcPr>
            <w:tcW w:w="258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6"/>
              </w:rPr>
              <w:t>-----------</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0" w:type="dxa"/>
            <w:vAlign w:val="bottom"/>
          </w:tcPr>
          <w:p>
            <w:pPr>
              <w:jc w:val="right"/>
              <w:ind w:right="2687"/>
              <w:spacing w:after="0"/>
              <w:rPr>
                <w:sz w:val="20"/>
                <w:szCs w:val="20"/>
                <w:color w:val="auto"/>
              </w:rPr>
            </w:pPr>
            <w:r>
              <w:rPr>
                <w:rFonts w:ascii="Courier New" w:cs="Courier New" w:eastAsia="Courier New" w:hAnsi="Courier New"/>
                <w:sz w:val="15"/>
                <w:szCs w:val="15"/>
                <w:color w:val="auto"/>
                <w:w w:val="93"/>
              </w:rPr>
              <w:t>2000:</w:t>
            </w:r>
          </w:p>
        </w:tc>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2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58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($10,265)</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33,449</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($0.31)</w:t>
            </w:r>
          </w:p>
        </w:tc>
      </w:tr>
      <w:tr>
        <w:trPr>
          <w:trHeight w:val="336"/>
        </w:trPr>
        <w:tc>
          <w:tcPr>
            <w:tcW w:w="3200" w:type="dxa"/>
            <w:vAlign w:val="bottom"/>
          </w:tcPr>
          <w:p>
            <w:pPr>
              <w:jc w:val="right"/>
              <w:ind w:right="2687"/>
              <w:spacing w:after="0"/>
              <w:rPr>
                <w:sz w:val="20"/>
                <w:szCs w:val="20"/>
                <w:color w:val="auto"/>
              </w:rPr>
            </w:pPr>
            <w:r>
              <w:rPr>
                <w:rFonts w:ascii="Courier New" w:cs="Courier New" w:eastAsia="Courier New" w:hAnsi="Courier New"/>
                <w:sz w:val="15"/>
                <w:szCs w:val="15"/>
                <w:color w:val="auto"/>
                <w:w w:val="93"/>
              </w:rPr>
              <w:t>1999:</w:t>
            </w:r>
          </w:p>
        </w:tc>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2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Basic and Diluted</w:t>
            </w:r>
          </w:p>
        </w:tc>
        <w:tc>
          <w:tcPr>
            <w:tcW w:w="258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w w:val="98"/>
              </w:rPr>
              <w:t>($16,763)</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31,289</w:t>
            </w:r>
          </w:p>
        </w:tc>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($0.54)</w:t>
            </w:r>
          </w:p>
        </w:tc>
      </w:tr>
    </w:tbl>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 ---------------------</w:t>
      </w:r>
    </w:p>
    <w:p>
      <w:pPr>
        <w:spacing w:after="0" w:line="346"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290"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Six Months Ended June 30,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spacing w:after="0"/>
              <w:rPr>
                <w:sz w:val="14"/>
                <w:szCs w:val="14"/>
                <w:color w:val="auto"/>
              </w:rPr>
            </w:pPr>
          </w:p>
        </w:tc>
        <w:tc>
          <w:tcPr>
            <w:tcW w:w="188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9"/>
              </w:rPr>
              <w:t>1999</w:t>
            </w:r>
          </w:p>
        </w:tc>
      </w:tr>
      <w:tr>
        <w:trPr>
          <w:trHeight w:val="168"/>
        </w:trPr>
        <w:tc>
          <w:tcPr>
            <w:tcW w:w="3280" w:type="dxa"/>
            <w:vAlign w:val="bottom"/>
          </w:tcPr>
          <w:p>
            <w:pPr>
              <w:spacing w:after="0"/>
              <w:rPr>
                <w:sz w:val="14"/>
                <w:szCs w:val="14"/>
                <w:color w:val="auto"/>
              </w:rPr>
            </w:pPr>
          </w:p>
        </w:tc>
        <w:tc>
          <w:tcPr>
            <w:tcW w:w="6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28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w:t>
            </w:r>
          </w:p>
        </w:tc>
        <w:tc>
          <w:tcPr>
            <w:tcW w:w="1880" w:type="dxa"/>
            <w:vAlign w:val="bottom"/>
          </w:tcPr>
          <w:p>
            <w:pPr>
              <w:spacing w:after="0"/>
              <w:rPr>
                <w:sz w:val="14"/>
                <w:szCs w:val="14"/>
                <w:color w:val="auto"/>
              </w:rPr>
            </w:pPr>
          </w:p>
        </w:tc>
        <w:tc>
          <w:tcPr>
            <w:tcW w:w="13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1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Average</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Weighted</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8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28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18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Number,</w:t>
            </w:r>
          </w:p>
        </w:tc>
        <w:tc>
          <w:tcPr>
            <w:tcW w:w="18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2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 Price</w:t>
            </w:r>
          </w:p>
        </w:tc>
        <w:tc>
          <w:tcPr>
            <w:tcW w:w="13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32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and warrants with exercise</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 below the average fair market</w:t>
            </w: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of the Company's common stock</w:t>
            </w: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respective period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7,625</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$8.74</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1,570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$4.81</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and warrants with exercise</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 above the average fair market</w:t>
            </w: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of the Company's common stock</w:t>
            </w: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respective period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$36.05</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5,479</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$10.85</w:t>
            </w:r>
          </w:p>
        </w:tc>
      </w:tr>
      <w:tr>
        <w:trPr>
          <w:trHeight w:val="168"/>
        </w:trPr>
        <w:tc>
          <w:tcPr>
            <w:tcW w:w="328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r>
        <w:trPr>
          <w:trHeight w:val="168"/>
        </w:trPr>
        <w:tc>
          <w:tcPr>
            <w:tcW w:w="32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7,910</w:t>
            </w:r>
          </w:p>
        </w:tc>
        <w:tc>
          <w:tcPr>
            <w:tcW w:w="1880" w:type="dxa"/>
            <w:vAlign w:val="bottom"/>
          </w:tcPr>
          <w:p>
            <w:pPr>
              <w:spacing w:after="0"/>
              <w:rPr>
                <w:sz w:val="14"/>
                <w:szCs w:val="14"/>
                <w:color w:val="auto"/>
              </w:rPr>
            </w:pP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7,049</w:t>
            </w:r>
          </w:p>
        </w:tc>
        <w:tc>
          <w:tcPr>
            <w:tcW w:w="1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tcPr>
          <w:p>
            <w:pPr>
              <w:spacing w:after="0"/>
              <w:rPr>
                <w:sz w:val="14"/>
                <w:szCs w:val="14"/>
                <w:color w:val="auto"/>
              </w:rPr>
            </w:pPr>
          </w:p>
        </w:tc>
      </w:tr>
    </w:tbl>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 ----------------- ------------------- -----------------</w:t>
      </w:r>
    </w:p>
    <w:p>
      <w:pPr>
        <w:spacing w:after="0" w:line="340"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172" w:lineRule="exact"/>
        <w:rPr>
          <w:rFonts w:ascii="Courier New" w:cs="Courier New" w:eastAsia="Courier New" w:hAnsi="Courier New"/>
          <w:sz w:val="15"/>
          <w:szCs w:val="15"/>
          <w:color w:val="auto"/>
        </w:rPr>
      </w:pPr>
    </w:p>
    <w:p>
      <w:pPr>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April 2000, the Company adopted the Regeneron Pharmaceuticals, Inc. 2000 Long-Term Incentive Plan ("2000 Incentive Plan"). The 2000 Incentive Plan provides for the issuance of up to 6,000,000 shares of Common Stock in respect of awards.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Incentive Plan include: (a) Incentive Stock Options ("ISOs") and Nonqualified Stock Options, (b) shares of Restricted Stock,(c) shares of Phantom Stock, (d) Stock Bonuses, and (e) Other Awards.</w:t>
      </w:r>
    </w:p>
    <w:p>
      <w:pPr>
        <w:spacing w:after="0" w:line="165"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 Options are awards in which Participants receive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or five year period. The Committee also determines the expiration date of each Option; however, no ISO is exercisable more than ten years after the date of grant.</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41"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Shares of Restricted Stock may be awarded to Participants at a price determined by the Committee. Such shares are nontransferable for a period determined by the Committee ("vesting period"). The holder of the Restricted Shares has the right to vote and receive dividends during the vesting period. Should employment terminate, as defined by the 2000 Incentive Plan, the ownership of the shares will be transferred to the Company, except under defined circumstances with Committee approval, in consideration of amounts paid by the Participant to acquire such shares. In addition, if the Company requires a return of the Restricted Shares, it also has the right to require a return of all dividends paid on such shares.</w:t>
      </w:r>
    </w:p>
    <w:p>
      <w:pPr>
        <w:spacing w:after="0" w:line="180"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Shares of Phantom Stock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177" w:lineRule="exact"/>
        <w:rPr>
          <w:sz w:val="20"/>
          <w:szCs w:val="20"/>
          <w:color w:val="auto"/>
        </w:rPr>
      </w:pPr>
    </w:p>
    <w:p>
      <w:pPr>
        <w:ind w:left="440" w:right="3759"/>
        <w:spacing w:after="0" w:line="234" w:lineRule="auto"/>
        <w:rPr>
          <w:sz w:val="20"/>
          <w:szCs w:val="20"/>
          <w:color w:val="auto"/>
        </w:rPr>
      </w:pPr>
      <w:r>
        <w:rPr>
          <w:rFonts w:ascii="Courier New" w:cs="Courier New" w:eastAsia="Courier New" w:hAnsi="Courier New"/>
          <w:sz w:val="15"/>
          <w:szCs w:val="15"/>
          <w:color w:val="auto"/>
        </w:rPr>
        <w:t>Stock Bonuses are bonuses payable in shares of Common Stock which are granted at the discretion of the Committee.</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75" w:lineRule="exact"/>
        <w:rPr>
          <w:sz w:val="20"/>
          <w:szCs w:val="20"/>
          <w:color w:val="auto"/>
        </w:rPr>
      </w:pPr>
    </w:p>
    <w:p>
      <w:pPr>
        <w:ind w:left="440" w:right="3679"/>
        <w:spacing w:after="0" w:line="261" w:lineRule="auto"/>
        <w:rPr>
          <w:sz w:val="20"/>
          <w:szCs w:val="20"/>
          <w:color w:val="auto"/>
        </w:rPr>
      </w:pPr>
      <w:r>
        <w:rPr>
          <w:rFonts w:ascii="Courier New" w:cs="Courier New" w:eastAsia="Courier New" w:hAnsi="Courier New"/>
          <w:sz w:val="14"/>
          <w:szCs w:val="14"/>
          <w:color w:val="auto"/>
        </w:rPr>
        <w:t>The 2000 Incentive Plan allows the Committee to provide for immediate vesting of awards upon a change in control of the Company, as defined.</w:t>
      </w:r>
    </w:p>
    <w:p>
      <w:pPr>
        <w:spacing w:after="0" w:line="160" w:lineRule="exact"/>
        <w:rPr>
          <w:sz w:val="20"/>
          <w:szCs w:val="20"/>
          <w:color w:val="auto"/>
        </w:rPr>
      </w:pPr>
    </w:p>
    <w:p>
      <w:pPr>
        <w:ind w:left="440" w:right="3839"/>
        <w:spacing w:after="0" w:line="234" w:lineRule="auto"/>
        <w:rPr>
          <w:sz w:val="20"/>
          <w:szCs w:val="20"/>
          <w:color w:val="auto"/>
        </w:rPr>
      </w:pPr>
      <w:r>
        <w:rPr>
          <w:rFonts w:ascii="Courier New" w:cs="Courier New" w:eastAsia="Courier New" w:hAnsi="Courier New"/>
          <w:sz w:val="15"/>
          <w:szCs w:val="15"/>
          <w:color w:val="auto"/>
        </w:rPr>
        <w:t>The Company may incur charges to operations in connection with these awards.</w:t>
      </w:r>
    </w:p>
    <w:p>
      <w:pPr>
        <w:spacing w:after="0" w:line="167"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2"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ended June 30, 2000, the Company's operations were principally managed in two business segments: research and development, and contract manufacturing.</w:t>
      </w:r>
    </w:p>
    <w:p>
      <w:pPr>
        <w:spacing w:after="0" w:line="173" w:lineRule="exact"/>
        <w:rPr>
          <w:rFonts w:ascii="Courier New" w:cs="Courier New" w:eastAsia="Courier New" w:hAnsi="Courier New"/>
          <w:sz w:val="15"/>
          <w:szCs w:val="15"/>
          <w:color w:val="auto"/>
        </w:rPr>
      </w:pPr>
    </w:p>
    <w:p>
      <w:pPr>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w:t>
      </w:r>
    </w:p>
    <w:p>
      <w:pPr>
        <w:spacing w:after="0" w:line="163"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manufacturing: Includes all revenues and expenses related to the commercial production of products under contract manufacturing arrangements. The Company produces BDNF for Sumitomo Pharmaceuticals Company, Ltd. under a research and development agreement and an intermediate for a Merck &amp; Co., Inc. pediatric vaccine under a long-term manufacturing agreement.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41"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Prior to 2000, the Company's operations were all conducted under the research and development business segment. The table below presents information about reported segments for the three and six months ended June 30, 2000:</w:t>
      </w: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Three Months Ended June 30, 2000</w:t>
            </w:r>
          </w:p>
        </w:tc>
        <w:tc>
          <w:tcPr>
            <w:tcW w:w="11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2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Research &amp;</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Contract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Reconciling</w:t>
            </w:r>
          </w:p>
        </w:tc>
        <w:tc>
          <w:tcPr>
            <w:tcW w:w="11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Development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Manufacturing</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Items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$11,838</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$2,618</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$2,211(1)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$16,667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Amgen-</w:t>
            </w:r>
          </w:p>
        </w:tc>
        <w:tc>
          <w:tcPr>
            <w:tcW w:w="1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Regeneron Partners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1,080</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1,045</w:t>
            </w: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(6,486)</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1,328</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(2,947)</w:t>
            </w:r>
          </w:p>
        </w:tc>
      </w:tr>
      <w:tr>
        <w:trPr>
          <w:trHeight w:val="841"/>
        </w:trPr>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Six Months Ended June 30, 2000</w:t>
            </w:r>
          </w:p>
        </w:tc>
        <w:tc>
          <w:tcPr>
            <w:tcW w:w="118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2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Research &amp;</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Contract</w:t>
            </w:r>
          </w:p>
        </w:tc>
        <w:tc>
          <w:tcPr>
            <w:tcW w:w="1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Reconciling</w:t>
            </w:r>
          </w:p>
        </w:tc>
        <w:tc>
          <w:tcPr>
            <w:tcW w:w="118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Development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Manufacturing</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Items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320" w:type="dxa"/>
            <w:vAlign w:val="bottom"/>
          </w:tcPr>
          <w:p>
            <w:pPr>
              <w:spacing w:after="0"/>
              <w:rPr>
                <w:sz w:val="14"/>
                <w:szCs w:val="14"/>
                <w:color w:val="auto"/>
              </w:rPr>
            </w:pPr>
          </w:p>
        </w:tc>
        <w:tc>
          <w:tcPr>
            <w:tcW w:w="1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$20,960</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$3,994</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$3,437(1)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$28,391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Amgen-</w:t>
            </w:r>
          </w:p>
        </w:tc>
        <w:tc>
          <w:tcPr>
            <w:tcW w:w="1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Regeneron Partners</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2,351</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1,971</w:t>
            </w:r>
          </w:p>
        </w:tc>
        <w:tc>
          <w:tcPr>
            <w:tcW w:w="2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111</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1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(13,324)</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(378)</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3,437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(10,265)</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17,690</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37,243</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147,184(3)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202,117</w:t>
            </w:r>
          </w:p>
        </w:tc>
      </w:tr>
    </w:tbl>
    <w:p>
      <w:pPr>
        <w:spacing w:after="0" w:line="335" w:lineRule="exact"/>
        <w:rPr>
          <w:sz w:val="20"/>
          <w:szCs w:val="20"/>
          <w:color w:val="auto"/>
        </w:rPr>
      </w:pPr>
    </w:p>
    <w:p>
      <w:pPr>
        <w:ind w:left="800" w:hanging="353"/>
        <w:spacing w:after="0"/>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investment income.</w:t>
      </w:r>
    </w:p>
    <w:p>
      <w:pPr>
        <w:spacing w:after="0" w:line="4"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related to contract manufacturing is capitalized into inventory.</w:t>
      </w:r>
    </w:p>
    <w:p>
      <w:pPr>
        <w:spacing w:after="0" w:line="5" w:lineRule="exact"/>
        <w:rPr>
          <w:rFonts w:ascii="Courier New" w:cs="Courier New" w:eastAsia="Courier New" w:hAnsi="Courier New"/>
          <w:sz w:val="15"/>
          <w:szCs w:val="15"/>
          <w:color w:val="auto"/>
        </w:rPr>
      </w:pPr>
    </w:p>
    <w:p>
      <w:pPr>
        <w:ind w:left="800" w:right="3679" w:hanging="353"/>
        <w:spacing w:after="0" w:line="234" w:lineRule="auto"/>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and cash equivalents, marketable securities, prepaid expenses and other current assets, and other assets.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Adoption of Recently Issued Accounting Standards</w:t>
      </w:r>
    </w:p>
    <w:p>
      <w:pPr>
        <w:spacing w:after="0" w:line="172" w:lineRule="exact"/>
        <w:rPr>
          <w:rFonts w:ascii="Courier New" w:cs="Courier New" w:eastAsia="Courier New" w:hAnsi="Courier New"/>
          <w:sz w:val="15"/>
          <w:szCs w:val="15"/>
          <w:color w:val="auto"/>
        </w:rPr>
      </w:pPr>
    </w:p>
    <w:p>
      <w:pPr>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173"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ended December 31, 2000, and is currently evaluating how to apply SAB 101 and the impact that it will have on the Company's financial statements. Although the effects of SAB 101 cannot be fully determined at this time, the Company estimates that, if SAB 101 had been adopted as of June 30, 2000, the cumulative charge to earnings, and corresponding increase in deferred revenue which will be recognized in future periods, would have been less than $7 million.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Notes to Condensed Financial Statements</w:t>
      </w:r>
    </w:p>
    <w:p>
      <w:pPr>
        <w:spacing w:after="0" w:line="238" w:lineRule="auto"/>
        <w:rPr>
          <w:sz w:val="20"/>
          <w:szCs w:val="20"/>
          <w:color w:val="auto"/>
        </w:rPr>
      </w:pPr>
      <w:r>
        <w:rPr>
          <w:rFonts w:ascii="Courier New" w:cs="Courier New" w:eastAsia="Courier New" w:hAnsi="Courier New"/>
          <w:sz w:val="15"/>
          <w:szCs w:val="15"/>
          <w:color w:val="auto"/>
        </w:rPr>
        <w:t>(Dollars in thousands, except per share data)</w:t>
      </w:r>
    </w:p>
    <w:p>
      <w:pPr>
        <w:spacing w:after="0" w:line="335"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2" w:lineRule="exact"/>
        <w:rPr>
          <w:rFonts w:ascii="Courier New" w:cs="Courier New" w:eastAsia="Courier New" w:hAnsi="Courier New"/>
          <w:sz w:val="15"/>
          <w:szCs w:val="15"/>
          <w:color w:val="auto"/>
        </w:rPr>
      </w:pPr>
    </w:p>
    <w:p>
      <w:pPr>
        <w:ind w:left="44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 2000, the Company sold 573,630 shares of Common Stock to The Procter &amp; Gamble Company ("P&amp;G") at a price of $29.75 per share for total proceeds of $17.1 million in cash. The $29.75 price is the same price per share as in Regeneron's public offering of 2.6 million shares of Common Stock in April 2000. The sale of stock was made pursuant to a 1997 agreement between Regeneron and P&amp;G. In addition, in accordance with the terms of their warrant agreement, as amended, P&amp;G exercised 1,450,000 warrants with an exercise price of $9.87 per share. As consideration for the exercise price, P&amp;G tendered 511,125 shares of the Company's Common Stock which had an aggregate value at the time of exercise, based upon the average market price of the Company's Common Stock over approximately the prior 30 trading days, equal to the aggregate exercise price of the warrants. The shares of Common Stock delivered to the Company by P&amp;G were retired upon receipt.</w:t>
      </w:r>
    </w:p>
    <w:p>
      <w:pPr>
        <w:spacing w:after="0" w:line="173"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August 3, 2000, the Company and P&amp;G agreed through a binding memorandum of understanding to enter into a new collaboration agreement, replacing their 1997 agreement. The new agreement will extend P&amp;G's obligation to fund Regeneron research through December 2005, with no further research obligations by either party thereafter, and focus their collaborative research on therapeutic areas that are of particular interest to P&amp;G, including muscle atrophy and muscle diseases, fibrotic diseases, and certain G-protein coupled receptors. Under the new agreement, P&amp;G's research funding from July 2000 through December 2005 is expected to total approximately $64 million (before adjustments for future inflation). Any drugs that result from the collaboration will continue to be jointly developed and marketed worldwide, with the companies equally sharing development costs and profits. P&amp;G and the Company have agreed to divide rights to the programs that are no longer part of their collaboration.</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4" w:name="page15"/>
    <w:bookmarkEnd w:id="14"/>
    <w:p>
      <w:pPr>
        <w:ind w:right="331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Regeneron's product candidates and research programs, the timing and nature of the clinical and research programs now underway or planned, a variety of items described herein and in the footnotes to Regeneron's financial statements (including the useful life of assets, the anticipated length of agreements, and other matters), and the future uses of capital and financial needs of Regeneron. These statements are made by Regeneron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Regeneron Pharmaceuticals, Inc. (Regeneron or the Company) is a biopharmaceutical company that discovers, develops, and intends to commercialize therapeutic drugs for the treatment of serious medical conditions. Expanding from our initial focus on degenerative neurologic diseases, we have more recently broadened our product pipeline to include drug candidates for the treatment of obesity, rheumatoid arthritis, cancer, allergies, asthma, ischemia, and other diseases and disorders.</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ability to discover and develop product candidates for such a wide variety of serious medical conditions results from the leveraging of several powerful technology platforms, many of which were developed or enhanced by us. In contrast to basic genomics approaches, which attempt to identify every gene in a cell or genome, we use Targeted Genomics(TM) and Functionomics(TM) (functional cloning) technology platforms that are designed to discover specific genes of therapeutic interest for a particular disease or cell type. Using these approaches, we have discovered many new families of growth factors and receptors, many of which are already protected by issued patents, and which have led to several product candidates. If the natural protein itself is not a product candidate, we utilize our Designer Protein Therapeutics(TM) platform to genetically engineer product candidates with the desired properties. This technology platform has already produced more than 10 patented proteins, several of which are in preclinical development.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sophisticated application of all of these technology platforms, coupled with our biologic expertise in preclinical models of disease, has allowed us to discover drug candidates that address a wide variety of important medical needs. We have three products in ongoing clinical trials and several product candidates are expected to enter clinical trials over the next one to two years, including:</w:t>
      </w:r>
    </w:p>
    <w:p>
      <w:pPr>
        <w:spacing w:after="0" w:line="175" w:lineRule="exact"/>
        <w:rPr>
          <w:sz w:val="20"/>
          <w:szCs w:val="20"/>
          <w:color w:val="auto"/>
        </w:rPr>
      </w:pPr>
    </w:p>
    <w:p>
      <w:pPr>
        <w:ind w:left="800" w:right="3319" w:hanging="353"/>
        <w:spacing w:after="0" w:line="236"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second generation ciliary neurotrophic factor: Acts on the brain region regulating food intake and energy expenditure. AXOKINE is being developed for the treatment of obesity and complications of obesity such as Type II diabetes, and is in clinical trials. We are also developing a modified form of</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5" w:name="page16"/>
    <w:bookmarkEnd w:id="15"/>
    <w:p>
      <w:pPr>
        <w:jc w:val="both"/>
        <w:ind w:left="800" w:right="3239"/>
        <w:spacing w:after="0" w:line="235" w:lineRule="auto"/>
        <w:rPr>
          <w:sz w:val="20"/>
          <w:szCs w:val="20"/>
          <w:color w:val="auto"/>
        </w:rPr>
      </w:pPr>
      <w:r>
        <w:rPr>
          <w:rFonts w:ascii="Courier New" w:cs="Courier New" w:eastAsia="Courier New" w:hAnsi="Courier New"/>
          <w:sz w:val="15"/>
          <w:szCs w:val="15"/>
          <w:color w:val="auto"/>
        </w:rPr>
        <w:t>AXOKINE (pegylated) that in preclinical studies is substantially longer acting than unmodified AXOKINE. This may allow less frequent and lower dosing in patients.</w:t>
      </w:r>
    </w:p>
    <w:p>
      <w:pPr>
        <w:spacing w:after="0" w:line="174" w:lineRule="exact"/>
        <w:rPr>
          <w:sz w:val="20"/>
          <w:szCs w:val="20"/>
          <w:color w:val="auto"/>
        </w:rPr>
      </w:pPr>
    </w:p>
    <w:p>
      <w:pPr>
        <w:ind w:left="800" w:right="3239" w:hanging="353"/>
        <w:spacing w:after="0" w:line="236"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Cytokine Traps: Protein-based antagonists for cytokines such as interleukin-1 (called IL-1), interleukin-4 (IL-4), interleukin-6 (IL-6), and a single antagonist that blocks both IL-4 and interleukin-13 (IL-13). These cytokines are thought to play a major role in diseases such as rheumatoid arthritis and other inflammatory diseases, asthma, allergic disorders, and cancer. Cytokine Traps are potential treatments for these diseases, and at least one Cytokine Trap is expected to enter clinical trials by 2001.</w:t>
      </w:r>
    </w:p>
    <w:p>
      <w:pPr>
        <w:spacing w:after="0" w:line="177"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VEGF Trap: An antagonist to Vascular Endothelial Growth Factor (called VEGF), which is required for the growth of blood vessels that are needed for tumors to grow. In a preclinical model of cancer, the VEGF Trap blocked the growth of tumors by an anti-angiogenesis mechanism. VEGF Trap is a potential treatment for cancer and is expected to enter clinical trials in 2001.</w:t>
      </w:r>
    </w:p>
    <w:p>
      <w:pPr>
        <w:spacing w:after="0" w:line="174"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Angiopoietins: A new family of growth factors, discovered by us, that are specific for blood vessels and early hemopoietic stem cells. The Angiopoietins, and engineered forms of these growth factors that can act as activators and blockers, are in preclinical testing for promoting blood vessel growth (to provide blood flow in diseased hearts and other tissues that have lost their original blood supplies), for blocking blood vessel growth (for the treatment of cancers), for fixing leaky blood vessels (that cause swelling and edema in many different diseases such as stroke, diabetic retinopathy, and inflammatory diseases), and for promoting the growth and mobilization of certain hemopoietic cells such as stem cells and platelets.</w:t>
      </w:r>
    </w:p>
    <w:p>
      <w:pPr>
        <w:spacing w:after="0" w:line="164" w:lineRule="exact"/>
        <w:rPr>
          <w:rFonts w:ascii="Courier New" w:cs="Courier New" w:eastAsia="Courier New" w:hAnsi="Courier New"/>
          <w:sz w:val="14"/>
          <w:szCs w:val="14"/>
          <w:color w:val="auto"/>
        </w:rPr>
      </w:pPr>
    </w:p>
    <w:p>
      <w:pPr>
        <w:ind w:left="800" w:right="3319" w:hanging="353"/>
        <w:spacing w:after="0" w:line="236" w:lineRule="auto"/>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or BDNF: Promotes survival of the spinal cord neurons that die in amyotropic lateral sclerosis (or ALS, commonly known as Lou Gehrig's Disease) in preclinical models. BDNF is in clinical trials for ALS using two routes of administration; one of these trials is based on the results of a prior Phase III clinical trial.</w:t>
      </w:r>
    </w:p>
    <w:p>
      <w:pPr>
        <w:spacing w:after="0" w:line="174" w:lineRule="exact"/>
        <w:rPr>
          <w:rFonts w:ascii="Courier New" w:cs="Courier New" w:eastAsia="Courier New" w:hAnsi="Courier New"/>
          <w:sz w:val="15"/>
          <w:szCs w:val="15"/>
          <w:color w:val="auto"/>
        </w:rPr>
      </w:pPr>
    </w:p>
    <w:p>
      <w:pPr>
        <w:ind w:left="800" w:right="3399" w:hanging="353"/>
        <w:spacing w:after="0" w:line="258" w:lineRule="auto"/>
        <w:tabs>
          <w:tab w:leader="none" w:pos="8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Neurotrophin-3, or NT-3: Acts on the neurons of the intestinal tract, and is in clinical trial for the treatment of constipating disorders associated with spinal cord injury and other neurologic diseases.</w:t>
      </w:r>
    </w:p>
    <w:p>
      <w:pPr>
        <w:spacing w:after="0" w:line="16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Discussion of Second Quarter 2000 Activities. In the second quarter of 2000, Regeneron continued its Phase II dose-ranging trial to study the safety and efficacy of AXOKINE in obese patients. AXOKINE is being developed for the treatment of obesity and complications of obesity such as Type II diabetes. The double-blind, placebo-controlled multicenter clinical trial, which is now fully enrolled, is being conducted in approximately 175 severely obese patients who will be treated for 90 days at doses up to 2 micrograms per kilogram per day administered subcutaneously. The Phase II study follows a two-week Phase I study, completed in late 1999, in which mildly to moderately obese subjects treated with AXOKINE lost weight and had reduced food intake compared to those on placebo. In the Phase I study, some patients who received higher doses of AXOKINE and who had previously contracted herpes simplex virus (HSV) experienced "cold sores" related to reactivation of their HSV infection. Increased cold sores caused</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by HSV were also reported in previous clinical studies of ciliary neurotrophic factor (also called CNTF), AXOKINE's parent molecule. In addition, some patients in the study experienced a reversible and generally asymptomatic increase in pulse rate in a dose-related fashion. The Phase II study of AXOKINE is being conducted at doses that were associated with weight loss, generally well tolerated, and not associated with herpes cold sores in the Phase I study; there are no restrictions as to a subject's prior history of herpes cold sores. The Phase II study is designed to confirm the weight loss observed in the Phase I study in a trial of longer duration and to determine the lowest effective well-tolerated dose. The Company also plans to collect additional data in the study about the relationship of AXOKINE and reactivation of HSV, about the effect of AXOKINE on pulse rate, and about the possible development of neutralizing antibodies when AXOKINE is administered for a longer time.</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No assurance can be made regarding the timing or final result of the Phase II study or the timing or result of any further clinical trial of AXOKINE. Previous clinical studies of AXOKINE and CNTF, in addition to weight loss, resulted in the creation of neutralizing antibodies and adverse events (side effects) in patients, including cough, nausea, malaise, and increased herpes simplex cold sores. While certain aspects of the development of AXOKINE have focused on attempting to avoid or minimize antibody production or adverse events, no assurance may be given that these problems will be avoided or minimized or that they will not lead to the failure, delay, or additional difficulty in conducting AXOKINE clinical trials. We discuss the risks associated with antibody development and adverse side effects in the section of this report titled "Factors That May Affect Future Operating Results."</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During the second quarter of 2000, Regeneron and The Procter &amp; Gamble Company continued to collaborate in research and development in the fields of angiogenesis, cancer, bone growth and related areas, muscle injury and atrophy, and small molecule (orally active) drugs. On August 3, 2000, Procter &amp; Gamble made two research progress payments to Regeneron totaling $3.5 million related to preclinical development of the VEGF Trap, an antagonist to Vascular Endothelial Growth Factor, that is being developed as a potential treatment for cancer. In addition, on August 3, 2000, Procter &amp; Gamble and Regeneron agreed through a binding memorandum of understanding to enter into a new collaboration agreement, replacing their 1997 agreement. The new agreement will extend Procter</w:t>
      </w:r>
    </w:p>
    <w:p>
      <w:pPr>
        <w:spacing w:after="0" w:line="3" w:lineRule="exact"/>
        <w:rPr>
          <w:sz w:val="20"/>
          <w:szCs w:val="20"/>
          <w:color w:val="auto"/>
        </w:rPr>
      </w:pPr>
    </w:p>
    <w:p>
      <w:pPr>
        <w:ind w:right="3319" w:firstLine="10"/>
        <w:spacing w:after="0" w:line="236" w:lineRule="auto"/>
        <w:tabs>
          <w:tab w:leader="none" w:pos="17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Gamble's obligation to fund Regeneron research through December 2005, with no further research obligations by either party thereafter, and focus their collaborative research on therapeutic areas that are of particular interest to Procter &amp; Gamble, including muscle atrophy and muscle diseases, fibrotic diseases, and certain G-protein coupled receptors. Under the new agreement, Procter &amp; Gamble's research funding from July 2000 through December 2005 is expected to total approximately $64 million (before adjustments for future inflation). Any drugs that result from the collaboration will continue to be jointly developed and marketed worldwide, with the companies equally sharing development costs and profits.</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Procter &amp; Gamble and Regeneron have agreed to divide rights to the programs that are no longer part of their collaboration. Procter &amp; Gamble has obtained rights to certain specified research programs. Regeneron has rights to all other research programs, including exclusive rights to the VEGF Trap, the Angiopoietins, and the RORs. Regeneron expects to begin clinical trials of the VEGF Trap as a potential treatment for cancer in 2001. Regeneron is conducting research on the Angiopoietins, and engineered forms of these growth factors, for promoting the growth of blood vessels (to provide blood flow in diseased hearts and other tissues that have lost their original blood supplies), for the blocking of blood vessel growth (for the treatment of cancers), for</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7" w:name="page18"/>
    <w:bookmarkEnd w:id="17"/>
    <w:p>
      <w:pPr>
        <w:ind w:right="3239"/>
        <w:spacing w:after="0" w:line="236" w:lineRule="auto"/>
        <w:rPr>
          <w:sz w:val="20"/>
          <w:szCs w:val="20"/>
          <w:color w:val="auto"/>
        </w:rPr>
      </w:pPr>
      <w:r>
        <w:rPr>
          <w:rFonts w:ascii="Courier New" w:cs="Courier New" w:eastAsia="Courier New" w:hAnsi="Courier New"/>
          <w:sz w:val="15"/>
          <w:szCs w:val="15"/>
          <w:color w:val="auto"/>
        </w:rPr>
        <w:t>fixing leaky blood vessels (that cause swelling and edema in diseases such as stroke, diabetic retinopathy, and inflammatory diseases), and for promoting the growth and mobilization of certain hemopoietic cells (such as stem cells and platelets). The Company is conducting research on the RORs, a growth factor receptor system discovered by Regeneron scientists that is selectively expressed by cartilage cells, for potential use in cartilage diseases such as osteoarthritis.</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Regeneron continues to develop, independent of any corporate collaboration, its proprietary Cytokine Traps for the potential treatment of rheumatoid arthritis and other inflammatory diseases, asthma, and allergic disorders.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During the second quarter of 2000, Amgen-Regeneron Partners, the partnership equally owned by Regeneron and Amgen Inc., continued to develop BDNF and NT-3. BDNF is currently being developed by Amgen-Regeneron Partners for potential use in treating ALS through two routes of administration: intrathecal (infusion into the spinal fluid through an implanted pump, supplied by Medtronic, Inc.)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300 ALS patients who will receive BDNF subcutaneously began in August 1999 and is fully enrolled.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Regeneron and Sumitomo Pharmaceuticals Co., Ltd. are collaborating in the development of BDNF in Japan, initially for the treatment of ALS. In March 1998, Sumitomo Pharmaceuticals commenced a Phase I safety assessment of BDNF delivered subcutaneously to normal volunteers and signed a license agreement for the development of BDNF in Japan. Pursuant to the license agreement, Sumitomo Pharmaceuticals made research progress payments to Regeneron of $5.0 million (reduced by $0.5 million of Japanese withholding tax) in August 1998 and $3.0 million (reduced by $0.3 million of Japanese withholding tax) in April 2000, and will be required to make additional payments upon the achievement of specified milestones. Sumitomo Pharmaceuticals will also pay a royalty on sales of BDNF in Japan.</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are continuing in 2000 in patients who suffer from constipation associated with conditions such as spinal cord injury and the use of narcotic analgesics. In February 2000, Regeneron initiated a double-blind, placebo-controlled Phase II study in more than 100 patients with functional constipation.</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8" w:name="page19"/>
    <w:bookmarkEnd w:id="18"/>
    <w:p>
      <w:pPr>
        <w:ind w:right="3239"/>
        <w:spacing w:after="0" w:line="255" w:lineRule="auto"/>
        <w:rPr>
          <w:sz w:val="20"/>
          <w:szCs w:val="20"/>
          <w:color w:val="auto"/>
        </w:rPr>
      </w:pPr>
      <w:r>
        <w:rPr>
          <w:rFonts w:ascii="Courier New" w:cs="Courier New" w:eastAsia="Courier New" w:hAnsi="Courier New"/>
          <w:sz w:val="14"/>
          <w:szCs w:val="14"/>
          <w:color w:val="auto"/>
        </w:rPr>
        <w:t>study may also receive other therapeutics during all or part of the BDNF trial. The treatment of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 minority of all research and development programs ultimately result in commercially successful drugs; it is not possible to predict whether any program will succeed until it actually produces a drug that is commercially marketed for a significant period of time. In addition, in each of the areas of Regeneron's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cancer, abnormal bone growth, muscle atrophy, small molecules, BDNF, NT-3, and other programs or areas of research or development do not necessarily predict the results or success of current or future activities including, but not limited to, any additional preclinical or clinical studies. Regeneron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w:t>
      </w:r>
    </w:p>
    <w:p>
      <w:pPr>
        <w:spacing w:after="0" w:line="17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Regeneron has not received any revenues from the commercial sale of products and may never receive such revenues. Before such revenues can be realized, Regeneron (or its collaborators) must overcome a number of hurdles which include successfully completing its research and development efforts and obtaining regulatory approval from the FDA or regulatory authorities in other countries. The Company is attempting to develop drugs for human therapeutic use and no assurance can be made that any of the Company's research and development activities will be successful or that any of the Company's current or future potential product candidates will be commercialized. In addition, the biotechnology and pharmaceutical industries are rapidly evolving and highly competitive, and new developments may render Regeneron's products and technologies noncompetitive or obsolete.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From inception on January 8, 1988 through June 30, 2000, Regeneron had a cumulative loss of $210.6 million. In the absence of revenues from commercial product sales or other sources (the amount, timing, nature, or source of which cannot be predicted), Regeneron's losses will continue as it conducts its research and development activities. The Company's activities may expand over time and may require additional resources, and the Company's operating losses may be substantial over at least the next several years. Regeneron's losses may fluctuate from quarter to quarter and will depend, among other factors, on the timing of certain expenses and on the progress of its research and development efforts.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Three months ended June 30, 2000 and 1999. The Company's total revenue increased to $16.7 million for the second quarter of 2000 from $7.2 million for the same period in 1999. Contract research and development revenue increased to $9.1 million for the second quarter of 2000 from $3.4 million for the same period in 1999, as revenue from Procter &amp; Gamble increased to $7.5 million for the second quarter of 2000 from $2.9 million for the same period in 1999. Effective in the third quarter of 1999, research support under the Company's collaboration agreement with Procter &amp; Gamble increased from $1.1 million per quarter to $7.0 million per quarter. However, Procter &amp; Gamble payments related to AXOKINE research stopped in the third quarter of 1999 after Procter &amp; Gamble returned the product rights to AXOKINE to the Company. Revenue from Amgen-Regeneron Partners increased to $1.4 million in the second quarter of 2000 from $0.4 million for the same period in 1999 due to increased clinical trial activity on BDNF and NT-3. In the second quarter of 2000, research progress payments consist of a payment of $3.0 million from Sumitomo Pharmaceuticals related to the development of BDNF in Japan (reduced by $0.3 million of Japanese withholding tax). Contract manufacturing revenue, related primarily to a long-term agreement with Merck &amp; Co., Inc. to manufacture a vaccine intermediate, was $2.6 million in the second quarter of 2000 and $2.5 million for the same period in 1999. In the second quarter of 1999, Merck revenue was primarily compensation for services rendered related to preparing for commercial production, which began in the fourth quarter of 1999. In the second quarter of 2000, Merck revenue was primarily payments related to commercial production. Investment income increased to $2.2 million in the second quarter of 2000 from $1.3 million for the same period in 1999 due to interest earned on the proceeds of the Company's public offering, which was completed on April 4, 2000.</w:t>
      </w:r>
    </w:p>
    <w:p>
      <w:pPr>
        <w:spacing w:after="0" w:line="34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Company's total operating expenses increased to $19.6 million in the second quarter of 2000 from $15.0 million for the same period in 1999. Research and development expenses increased to $14.4 million in the second quarter of 2000 from $10.8 million for the same period in 1999, primarily as a result of higher staffing and increased activity in the Company's preclinical and clinical research programs. The loss in Amgen-Regeneron Partners increased to $1.1 million in the second quarter of 2000 from $0.6 million for the same period in 1999 due to the partnership's increased clinical trial activity on BDNF and NT-3. Research and development expenses (including loss in Amgen-Regeneron Partners) were approximately 79% of total operating expenses in the second quarter of 2000, compared to 76% for the same period in 1999.</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General and administrative expenses increased to $1.7 million in the second quarter of 2000 from $1.5 million for the same period of 1999, due primarily to higher administrative staffing and related occupancy costs. Depreciation and amortization expense increased to $1.0 million in the second quarter of 2000 from $0.8 million in the second quarter of 1999, resulting from improvements made to the Company's leased facilities in Tarrytown, New York, as well as purchases of new research equipment. Contract manufacturing expenses, related primarily to the long-term Merck agreement to manufacture a vaccine intermediate at the Company's Rensselaer, New York facility, were $1.3 million in the second quarter of 2000 and $1.2 million for the same period in 1999. In the second quarter of 1999, Merck expenses related to preparing for commercial production of the vaccine intermediate, which began in the fourth quarter of 1999. In the second quarter of 2000, Merck expenses related primarily to the cost of vaccine intermediate produced and shipped. Interest expense was $0.1 million for the second quarter of both 2000 and 1999.</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85" w:right="1440" w:bottom="1440" w:gutter="0" w:footer="0" w:header="0"/>
        </w:sectPr>
      </w:pPr>
    </w:p>
    <w:bookmarkStart w:id="20" w:name="page21"/>
    <w:bookmarkEnd w:id="20"/>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The Company's net loss for the second quarter of 2000 was $2.9 million, or $0.08 per share (basic and diluted), compared to a net loss of $7.8 million, or $0.25 per share (basic and diluted), for the same period in 1999.</w:t>
      </w:r>
    </w:p>
    <w:p>
      <w:pPr>
        <w:spacing w:after="0" w:line="16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Six months ended June 30, 2000 and 1999. The Company's total revenue increased to $28.4 million for the six months ended June 30, 2000 from $14.1 million for the same period in 1999. Contract research and development revenue increased to $18.3 million for the six months ended June 30, 2000 from $6.7 million for the same period in 1999, as revenue from Procter &amp; Gamble increased to $14.6 million for the first half of 2000 from $5.8 million for the same period in 1999. Effective in the third quarter of 1999, research support under the Company's collaboration agreement with Procter &amp; Gamble increased from $1.1 million per quarter to $7.0 million per quarter. However, Procter &amp; Gamble payments related to AXOKINE research stopped in the third quarter of 1999 after Procter &amp; Gamble returned the product rights to AXOKINE to the Company. Revenue from Amgen-Regeneron Partners increased to $3.3 million for the six months ended June 30, 2000 from $0.8 million for the same period in 1999 due to increased clinical trial activity on BDNF and NT-3. In the first half of 2000, research progress payments consist of a payment of $3.0 million from Sumitomo Pharmaceuticals related to the development of BDNF in Japan (reduced by $0.3 million of Japanese withholding tax). Contract manufacturing revenue, related primarily to the Merck Agreement, decreased to $4.0 million for the six months ended June 30, 2000, compared to $4.6 million for the same period in 1999. In the first half of 1999, Merck revenue was primarily compensation for services rendered related to preparing for commercial production, which began in the fourth quarter of 1999. In the first half of 2000, Merck revenue was primarily payments related to commercial production. Investment income for the six months ended June 30, 2000 increased to $3.4 million from $2.8 million for the same period in 1999 due to interest earned on the proceeds of the Company's public offering, which was completed on April 4, 2000.</w:t>
      </w:r>
    </w:p>
    <w:p>
      <w:pPr>
        <w:spacing w:after="0" w:line="34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Company's total operating expenses increased to $38.7 million for the six months ended June 30, 2000 from $30.9 million for the same period in 1999. Research and development expenses increased to $26.4 million in the first six months of 2000 from $22.0 million for the same period in 1999, primarily as a result of higher staffing and increased activity in the Company's preclinical and clinical research programs. The loss in Amgen-Regeneron Partners increased to $2.4 million in the first half of 2000 from $1.6 million for the same period in 1999 due to the partnership's increased clinical trial activity on BDNF and NT-3. Research and development expenses (including loss in Amgen-Regeneron Partners) were approximately 74% of total operating expenses in the first six months of 2000, compared to 76% for the same period in 1999.</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General and administrative expenses increased to $3.5 million for the six months ended June 30, 2000 from $3.1 million for the same period in 1999 due primarily to higher administrative staffing and related occupancy costs. Depreciation and amortization expense increased to $2.0 million for the six months ended June 30, 2000 from $1.6 million for the same period in 1999 as a result of improvements made to the Company's leased facilities in Tarrytown as well as purchases of new research equipment. Contract manufacturing expenses increased to $4.3 million in the first half of 2000 from $2.4 million in the same period of 1999, due primarily to first quarter costs associated with initiating commercial production at the Company's Rensselaer facility of both vaccine intermediate for Merck and BDNF for Sumitomo Pharmaceuticals for clinical use. Interest expense was $0.2 million for both the first six months of 2000 and 1999.</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21" w:name="page22"/>
    <w:bookmarkEnd w:id="21"/>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The Company's net loss for the six months ended June 30, 2000 was $10.3 million, or $0.31 per share (basic and diluted), compared to a net loss of $16.8 million, or $0.54 per share (basic and diluted), for the same period in 1999.</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agreements between the Company and Amgen, Sumitomo Chemical Company, Ltd., Sumitomo Pharmaceuticals, Merck, and Procter &amp; Gamble, and investment income.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May 1997, Regeneron and Procter &amp; Gamble entered into the P&amp;G Agreement. Procter &amp; Gamble agreed over the first five years of the P&amp;G Agreement to purchase up to $60.0 million in Regeneron equity (of which $42.9 million was purchased in June 1997 and $17.1 million was purchased in August 2000) and provide funding in support of Regeneron's research efforts related to the collaboration (of which $31.0 million had been received through June 30, 2000). In August 2000, Procter &amp; Gamble made two research progress payments to Regeneron totaling $3.5 million related to preclinical development of the VEGF Trap. In addition, in August 2000, Procter &amp; Gamble and Regeneron agreed through a binding memorandum of understanding to enter into a new collaboration agreement, replacing their 1997 agreement. The new agreement will extend Procter</w:t>
      </w:r>
    </w:p>
    <w:p>
      <w:pPr>
        <w:spacing w:after="0" w:line="4" w:lineRule="exact"/>
        <w:rPr>
          <w:sz w:val="20"/>
          <w:szCs w:val="20"/>
          <w:color w:val="auto"/>
        </w:rPr>
      </w:pPr>
    </w:p>
    <w:p>
      <w:pPr>
        <w:ind w:right="3239" w:firstLine="10"/>
        <w:spacing w:after="0" w:line="255" w:lineRule="auto"/>
        <w:tabs>
          <w:tab w:leader="none" w:pos="17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Gamble's obligation to fund Regeneron research through December 2005, with no further research obligations by either party thereafter, and focus their collaborative research on therapeutic areas that are of particular interest to Procter &amp; Gamble, including muscle atrophy and muscle diseases, fibrotic diseases, and certain G-protein coupled receptors. Any drugs that result from the collaboration will continue to be jointly developed and marketed worldwide, with the companies equally sharing development costs and profits. Under the original P&amp;G Agreement, research support from Procter &amp; Gamble would have been $6.8 million per quarter (before adjustments for future inflation) from July 2000 through June 2002. Under the new agreement, beginning in the first quarter of 2001, research support from Procter &amp; Gamble will be $2.5 million per quarter (before adjustments for future inflation) through December 2005 and total funding from July 2000 through December 2005 will be approximately $64 million.</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connection with Regeneron's agreement to collaborate with Sumitomo Pharmaceuticals in the research and development of BDNF in Japan, Sumitomo Pharmaceuticals paid the Company $25.0 million through December 1997. The Company also received research progress payments from Sumitomo Pharmaceuticals of $5.0 million (reduced by $0.5 million of Japanese withholding tax) in August 1998 and $3.0 million (reduced by $0.3 million of Japanese withholding tax) in April 2000. In addition, Sumitomo Pharmaceuticals has paid the Company $27.6 million through June 30, 2000 in connection with supplying BDNF for preclinical and clinical use. Regeneron did not supply any BDNF to Sumitomo Pharmaceuticals in 1999. During the fourth quarter of 1999, Regeneron commenced production of BDNF and began capitalizing manufacturing costs into inventory. The Company expects to resume supplying BDNF to Sumitomo Pharmaceuticals for clinical use in 2000.</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compensated by Amgen-Regeneron Partners for services rendered, and the Company recognizes such amounts as revenue. The funding of Amgen-Regeneron Partners is through capital contributions from Amgen and Regeneron, who must make equal payments in order to maintain equal ownership and equal sharing</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2" w:name="page23"/>
    <w:bookmarkEnd w:id="22"/>
    <w:p>
      <w:pPr>
        <w:ind w:right="3319"/>
        <w:spacing w:after="0" w:line="236" w:lineRule="auto"/>
        <w:rPr>
          <w:sz w:val="20"/>
          <w:szCs w:val="20"/>
          <w:color w:val="auto"/>
        </w:rPr>
      </w:pPr>
      <w:r>
        <w:rPr>
          <w:rFonts w:ascii="Courier New" w:cs="Courier New" w:eastAsia="Courier New" w:hAnsi="Courier New"/>
          <w:sz w:val="15"/>
          <w:szCs w:val="15"/>
          <w:color w:val="auto"/>
        </w:rPr>
        <w:t>of any profits or losses from the partnership. The Company has made capital contributions totaling $53.7 million to Amgen-Regeneron Partners from the partnership's inception in June 1993 through June 30, 2000. These contributions could increase or decrease, depending upon (among other things) the nature and cost of BDNF and NT-3 studies that Amgen-Regeneron Partners may conduct and the outcomes of those studies.</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From its inception in January 1988 through June 30, 2000, the Company invested approximately $70.5 million in property, plant, and equipment. This includes $18.0 million to acquire and renovate the Rensselaer facility and an additional $14.1 million to complete construction at the facility pursuant to the Merck manufacturing agreement. In connection with the purchase and initial renovation of the Rensselaer facility, the Company obtained financing of $2.0 million from the New York State Urban Development Corporation, of which $1.6 million is outstanding. Under the terms of this UDC financing, the Company is not permitted to declare or pay dividends on its equity securities.</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Amgen acquired all outstanding shares of Synergen in 1994. In March 1998, the Company and Amgen entered into a covenant not to sue each other which, among other things, provided a simple mechanism for resolving their patent interference and related patent proceedings relating to CNTF and AXOKINE without protracted litigation. The Company also granted Amgen a license to use CNTF and second generation CNTFs other than AXOKINE to treat retinal degenerative conditions. Regeneron will not pay royalties or make other payments to the other party in consideration of this agreement.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of June 30, 2000,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On April 4, 2000, Regeneron completed a public offering of 2.6 million shares of Common Stock at a price of $29.75 per share for proceeds to the Company, after commissions and expenses, of $72.9 million.</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At June 30, 2000, the Company had $144.9 million in cash, cash equivalents, and marketable securities. On August 3, 2000, Regeneron sold 573,630 shares of Common Stock to Procter &amp; Gamble at a price of $29.75 per share for total proceeds to the Company of $17.1 million. The sale of stock was made pursuant to the 1997 P&amp;G Agreement.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Through 2000, the Company expects further increases in the level of quarterly research and development expenses as the Company continues to add staff and increases its clinical activity. The amount needed to fund operations will also depend on other factors, including the status of competitive products, the success of the Company's research and development programs, the status of patents and other intellectual property</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3" w:name="page24"/>
    <w:bookmarkEnd w:id="23"/>
    <w:p>
      <w:pPr>
        <w:ind w:right="3239"/>
        <w:spacing w:after="0" w:line="236" w:lineRule="auto"/>
        <w:rPr>
          <w:sz w:val="20"/>
          <w:szCs w:val="20"/>
          <w:color w:val="auto"/>
        </w:rPr>
      </w:pPr>
      <w:r>
        <w:rPr>
          <w:rFonts w:ascii="Courier New" w:cs="Courier New" w:eastAsia="Courier New" w:hAnsi="Courier New"/>
          <w:sz w:val="15"/>
          <w:szCs w:val="15"/>
          <w:color w:val="auto"/>
        </w:rPr>
        <w:t>rights developments, and the continuation, extent, and success of any collaborative research programs (including those with Amgen and Procter &amp; Gamble). The Company believes that under its current strategy its existing capital resources will enable it to meet operating needs for at least two years. No assurance can be given that there will be no change in projected revenues or expenses that would lead to the Company's capital being consumed significantly before such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December 1999, the staff of the Securities and Exchange Commission ("SEC") issued Staff Accounting Bulletin 101, Revenue Recognition, ("SAB 101"). SAB 101 requires companies who receive license and milestone payments, whether refundable or non-refundable, to recognize them ratably over the period that the related services are rendered.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period of adoption, companies will be required to report the cumulative effect of this change in accounting principle as a separate component in net income (or loss). Regeneron is required to adopt SAB 101 during the quarter ended December 31, 2000, and is currently evaluating how to apply SAB 101 and the impact that it will have on the Company's financial statements. Although the effects of SAB 101 cannot be fully determined at this time, the Company estimates that, if SAB 101 had been adopted as of June 30, 2000, the cumulative charge to earnings, and corresponding increase in deferred revenue which will be recognized in future periods, would have been less than $7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5" w:lineRule="exact"/>
        <w:rPr>
          <w:sz w:val="20"/>
          <w:szCs w:val="20"/>
          <w:color w:val="auto"/>
        </w:rPr>
      </w:pPr>
    </w:p>
    <w:p>
      <w:pPr>
        <w:ind w:left="800" w:right="3239" w:hanging="353"/>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5"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800" w:right="3399" w:hanging="353"/>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4" w:name="page25"/>
    <w:bookmarkEnd w:id="24"/>
    <w:p>
      <w:pPr>
        <w:ind w:left="353" w:right="3239"/>
        <w:spacing w:after="0" w:line="236" w:lineRule="auto"/>
        <w:rPr>
          <w:sz w:val="20"/>
          <w:szCs w:val="20"/>
          <w:color w:val="auto"/>
        </w:rPr>
      </w:pPr>
      <w:r>
        <w:rPr>
          <w:rFonts w:ascii="Courier New" w:cs="Courier New" w:eastAsia="Courier New" w:hAnsi="Courier New"/>
          <w:sz w:val="15"/>
          <w:szCs w:val="15"/>
          <w:color w:val="auto"/>
        </w:rPr>
        <w:t>efficacy, the development of serious or life-threatening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74" w:lineRule="exact"/>
        <w:rPr>
          <w:sz w:val="20"/>
          <w:szCs w:val="20"/>
          <w:color w:val="auto"/>
        </w:rPr>
      </w:pPr>
    </w:p>
    <w:p>
      <w:pPr>
        <w:ind w:left="353" w:right="3239" w:hanging="353"/>
        <w:spacing w:after="0" w:line="237"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safety, efficacy, manufacturing, and regulatory hurdles faced by Regeneron's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BDNF, and NT-3 have developed antibodies, though we have no information that indicates that these antibodies are neutralizing antibodies.</w:t>
      </w:r>
    </w:p>
    <w:p>
      <w:pPr>
        <w:spacing w:after="0" w:line="174" w:lineRule="exact"/>
        <w:rPr>
          <w:rFonts w:ascii="Courier New" w:cs="Courier New" w:eastAsia="Courier New" w:hAnsi="Courier New"/>
          <w:sz w:val="15"/>
          <w:szCs w:val="15"/>
          <w:color w:val="auto"/>
        </w:rPr>
      </w:pPr>
    </w:p>
    <w:p>
      <w:pPr>
        <w:ind w:left="353" w:right="3239" w:hanging="353"/>
        <w:spacing w:after="0" w:line="235"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delays or difficulties in development because of insufficient proof of safety or efficacy.</w:t>
      </w:r>
    </w:p>
    <w:p>
      <w:pPr>
        <w:spacing w:after="0" w:line="175" w:lineRule="exact"/>
        <w:rPr>
          <w:rFonts w:ascii="Courier New" w:cs="Courier New" w:eastAsia="Courier New" w:hAnsi="Courier New"/>
          <w:sz w:val="15"/>
          <w:szCs w:val="15"/>
          <w:color w:val="auto"/>
        </w:rPr>
      </w:pPr>
    </w:p>
    <w:p>
      <w:pPr>
        <w:ind w:left="353" w:right="3399" w:hanging="353"/>
        <w:spacing w:after="0" w:line="235"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3" w:lineRule="exact"/>
        <w:rPr>
          <w:rFonts w:ascii="Courier New" w:cs="Courier New" w:eastAsia="Courier New" w:hAnsi="Courier New"/>
          <w:sz w:val="15"/>
          <w:szCs w:val="15"/>
          <w:color w:val="auto"/>
        </w:rPr>
      </w:pPr>
    </w:p>
    <w:p>
      <w:pPr>
        <w:ind w:left="353" w:right="3399" w:hanging="353"/>
        <w:spacing w:after="0" w:line="261" w:lineRule="auto"/>
        <w:tabs>
          <w:tab w:leader="none" w:pos="35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the Company's products to be limited or otherwise fail to achieve broad acceptance.</w:t>
      </w:r>
    </w:p>
    <w:p>
      <w:pPr>
        <w:spacing w:after="0" w:line="159" w:lineRule="exact"/>
        <w:rPr>
          <w:rFonts w:ascii="Courier New" w:cs="Courier New" w:eastAsia="Courier New" w:hAnsi="Courier New"/>
          <w:sz w:val="14"/>
          <w:szCs w:val="14"/>
          <w:color w:val="auto"/>
        </w:rPr>
      </w:pPr>
    </w:p>
    <w:p>
      <w:pPr>
        <w:ind w:left="353" w:right="3499" w:hanging="353"/>
        <w:spacing w:after="0" w:line="235"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5" w:lineRule="exact"/>
        <w:rPr>
          <w:rFonts w:ascii="Courier New" w:cs="Courier New" w:eastAsia="Courier New" w:hAnsi="Courier New"/>
          <w:sz w:val="15"/>
          <w:szCs w:val="15"/>
          <w:color w:val="auto"/>
        </w:rPr>
      </w:pPr>
    </w:p>
    <w:p>
      <w:pPr>
        <w:ind w:left="353" w:right="3319" w:hanging="353"/>
        <w:spacing w:after="0" w:line="256" w:lineRule="auto"/>
        <w:tabs>
          <w:tab w:leader="none" w:pos="35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64" w:lineRule="exact"/>
        <w:rPr>
          <w:rFonts w:ascii="Courier New" w:cs="Courier New" w:eastAsia="Courier New" w:hAnsi="Courier New"/>
          <w:sz w:val="14"/>
          <w:szCs w:val="14"/>
          <w:color w:val="auto"/>
        </w:rPr>
      </w:pPr>
    </w:p>
    <w:p>
      <w:pPr>
        <w:ind w:left="353" w:right="3319" w:hanging="353"/>
        <w:spacing w:after="0" w:line="235"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5" w:lineRule="exact"/>
        <w:rPr>
          <w:rFonts w:ascii="Courier New" w:cs="Courier New" w:eastAsia="Courier New" w:hAnsi="Courier New"/>
          <w:sz w:val="15"/>
          <w:szCs w:val="15"/>
          <w:color w:val="auto"/>
        </w:rPr>
      </w:pPr>
    </w:p>
    <w:p>
      <w:pPr>
        <w:ind w:left="353" w:right="3319" w:hanging="353"/>
        <w:spacing w:after="0" w:line="236" w:lineRule="auto"/>
        <w:tabs>
          <w:tab w:leader="none" w:pos="3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Regeneron and its corporate partners.</w:t>
      </w:r>
    </w:p>
    <w:p>
      <w:pPr>
        <w:spacing w:after="0" w:line="200" w:lineRule="exact"/>
        <w:rPr>
          <w:sz w:val="20"/>
          <w:szCs w:val="20"/>
          <w:color w:val="auto"/>
        </w:rPr>
      </w:pPr>
    </w:p>
    <w:p>
      <w:pPr>
        <w:spacing w:after="0" w:line="304"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92"/>
          </w:cols>
          <w:pgMar w:left="667" w:top="792" w:right="1440" w:bottom="1440" w:gutter="0" w:footer="0" w:header="0"/>
        </w:sectPr>
      </w:pPr>
    </w:p>
    <w:bookmarkStart w:id="25" w:name="page26"/>
    <w:bookmarkEnd w:id="25"/>
    <w:p>
      <w:pPr>
        <w:ind w:left="800" w:right="3319" w:hanging="353"/>
        <w:spacing w:after="0" w:line="236"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 in commercial quantities at reasonable costs and in compliance with applicable quality assurance and environmental regulations and governmental permitting requirements.</w:t>
      </w:r>
    </w:p>
    <w:p>
      <w:pPr>
        <w:spacing w:after="0" w:line="173" w:lineRule="exact"/>
        <w:rPr>
          <w:rFonts w:ascii="Courier New" w:cs="Courier New" w:eastAsia="Courier New" w:hAnsi="Courier New"/>
          <w:sz w:val="15"/>
          <w:szCs w:val="15"/>
          <w:color w:val="auto"/>
        </w:rPr>
      </w:pPr>
    </w:p>
    <w:p>
      <w:pPr>
        <w:ind w:left="800" w:right="3839" w:hanging="353"/>
        <w:spacing w:after="0" w:line="234"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3"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9"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3" w:lineRule="exact"/>
        <w:rPr>
          <w:rFonts w:ascii="Courier New" w:cs="Courier New" w:eastAsia="Courier New" w:hAnsi="Courier New"/>
          <w:sz w:val="15"/>
          <w:szCs w:val="15"/>
          <w:color w:val="auto"/>
        </w:rPr>
      </w:pPr>
    </w:p>
    <w:p>
      <w:pPr>
        <w:ind w:left="800" w:right="3499" w:hanging="353"/>
        <w:spacing w:after="0" w:line="261"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3"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As Regeneron's scientific efforts lead to potentially promising new directions, both outside of recombinant protein therapies and into conditions or diseases outside of Regeneron's current areas of experience and expertise, the Company will require additional internal expertise or external collaborations in areas in which it currently does not have substantial resources and personnel.</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Company's earnings and cash flows are subject to fluctuations due to changes in interest rates primarily from its investment of available cash balances in investment grade corporate and U.S. government securities. The Company does not believe it is materially exposed to changes in interest rates. Under its current policies the Company does not use interest rate derivative instruments to manage exposure to interest rate changes.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On June 9, 2000, the Company conducted its Annual Meeting of Shareholders pursuant to due notice. A quorum being present either in person or by proxy, the shareholders voted on the following matters:</w:t>
      </w:r>
    </w:p>
    <w:p>
      <w:pPr>
        <w:spacing w:after="0" w:line="174" w:lineRule="exact"/>
        <w:rPr>
          <w:sz w:val="20"/>
          <w:szCs w:val="20"/>
          <w:color w:val="auto"/>
        </w:rPr>
      </w:pPr>
    </w:p>
    <w:p>
      <w:pPr>
        <w:ind w:right="3319" w:firstLine="797"/>
        <w:spacing w:after="0" w:line="261" w:lineRule="auto"/>
        <w:tabs>
          <w:tab w:leader="none" w:pos="10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to hold office for a three-year term as Class III directors, and until their successors are duly elected and qualified.</w:t>
      </w:r>
    </w:p>
    <w:p>
      <w:pPr>
        <w:spacing w:after="0" w:line="159" w:lineRule="exact"/>
        <w:rPr>
          <w:rFonts w:ascii="Courier New" w:cs="Courier New" w:eastAsia="Courier New" w:hAnsi="Courier New"/>
          <w:sz w:val="14"/>
          <w:szCs w:val="14"/>
          <w:color w:val="auto"/>
        </w:rPr>
      </w:pPr>
    </w:p>
    <w:p>
      <w:pPr>
        <w:ind w:right="3839" w:firstLine="797"/>
        <w:spacing w:after="0" w:line="234" w:lineRule="auto"/>
        <w:tabs>
          <w:tab w:leader="none" w:pos="10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Regeneron Pharmaceuticals, Inc. 2000 Long-Term Incentive Plan.</w:t>
      </w:r>
    </w:p>
    <w:p>
      <w:pPr>
        <w:spacing w:after="0" w:line="173" w:lineRule="exact"/>
        <w:rPr>
          <w:rFonts w:ascii="Courier New" w:cs="Courier New" w:eastAsia="Courier New" w:hAnsi="Courier New"/>
          <w:sz w:val="15"/>
          <w:szCs w:val="15"/>
          <w:color w:val="auto"/>
        </w:rPr>
      </w:pPr>
    </w:p>
    <w:p>
      <w:pPr>
        <w:ind w:right="3319" w:firstLine="797"/>
        <w:spacing w:after="0" w:line="261" w:lineRule="auto"/>
        <w:tabs>
          <w:tab w:leader="none" w:pos="10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PricewaterhouseCoopers LLP as independent accountants for the Company's fiscal year ending December 31, 2000.</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 other matters were voted on. The number of votes cast was:</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Withheld</w:t>
            </w:r>
          </w:p>
        </w:tc>
      </w:tr>
      <w:tr>
        <w:trPr>
          <w:trHeight w:val="168"/>
        </w:trPr>
        <w:tc>
          <w:tcPr>
            <w:tcW w:w="346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For</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Authority</w:t>
            </w:r>
          </w:p>
        </w:tc>
      </w:tr>
      <w:tr>
        <w:trPr>
          <w:trHeight w:val="168"/>
        </w:trPr>
        <w:tc>
          <w:tcPr>
            <w:tcW w:w="3460" w:type="dxa"/>
            <w:vAlign w:val="bottom"/>
          </w:tcPr>
          <w:p>
            <w:pPr>
              <w:spacing w:after="0"/>
              <w:rPr>
                <w:sz w:val="14"/>
                <w:szCs w:val="14"/>
                <w:color w:val="auto"/>
              </w:rPr>
            </w:pP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1.  Election of Class III Directors</w:t>
            </w: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Charles A. Baker</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51,392,589</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1,692,449</w:t>
            </w:r>
          </w:p>
        </w:tc>
      </w:tr>
      <w:tr>
        <w:trPr>
          <w:trHeight w:val="168"/>
        </w:trPr>
        <w:tc>
          <w:tcPr>
            <w:tcW w:w="34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Michael S. Brown, M.D.</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51,392,589</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1,692,449</w:t>
            </w:r>
          </w:p>
        </w:tc>
      </w:tr>
      <w:tr>
        <w:trPr>
          <w:trHeight w:val="168"/>
        </w:trPr>
        <w:tc>
          <w:tcPr>
            <w:tcW w:w="34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George L. Sing</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51,392,589</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3"/>
              </w:rPr>
              <w:t>1,692,449</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terms of office of Leonard S. Schleifer, M.D., Ph.D., Eric M.</w:t>
      </w:r>
    </w:p>
    <w:p>
      <w:pPr>
        <w:spacing w:after="0" w:line="237" w:lineRule="auto"/>
        <w:rPr>
          <w:sz w:val="20"/>
          <w:szCs w:val="20"/>
          <w:color w:val="auto"/>
        </w:rPr>
      </w:pPr>
      <w:r>
        <w:rPr>
          <w:rFonts w:ascii="Courier New" w:cs="Courier New" w:eastAsia="Courier New" w:hAnsi="Courier New"/>
          <w:sz w:val="15"/>
          <w:szCs w:val="15"/>
          <w:color w:val="auto"/>
        </w:rPr>
        <w:t>Shooter, Ph.D., Fred A. Middleton, Alfred G. Gilman, M.D., Ph.D., Joseph L.</w:t>
      </w:r>
    </w:p>
    <w:p>
      <w:pPr>
        <w:spacing w:after="0" w:line="238" w:lineRule="auto"/>
        <w:rPr>
          <w:sz w:val="20"/>
          <w:szCs w:val="20"/>
          <w:color w:val="auto"/>
        </w:rPr>
      </w:pPr>
      <w:r>
        <w:rPr>
          <w:rFonts w:ascii="Courier New" w:cs="Courier New" w:eastAsia="Courier New" w:hAnsi="Courier New"/>
          <w:sz w:val="15"/>
          <w:szCs w:val="15"/>
          <w:color w:val="auto"/>
        </w:rPr>
        <w:t>Goldstein, M.D., and P. Roy Vagelos, M.D. continued after the meeting.</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40" w:type="dxa"/>
            <w:vAlign w:val="bottom"/>
          </w:tcPr>
          <w:p>
            <w:pPr>
              <w:ind w:left="700"/>
              <w:spacing w:after="0"/>
              <w:rPr>
                <w:sz w:val="20"/>
                <w:szCs w:val="20"/>
                <w:color w:val="auto"/>
              </w:rPr>
            </w:pPr>
            <w:r>
              <w:rPr>
                <w:rFonts w:ascii="Courier New" w:cs="Courier New" w:eastAsia="Courier New" w:hAnsi="Courier New"/>
                <w:sz w:val="15"/>
                <w:szCs w:val="15"/>
                <w:color w:val="auto"/>
              </w:rPr>
              <w:t>For</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Against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68"/>
        </w:trPr>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2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Approval of 2000 Long-Term</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2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Incentive Plan</w:t>
            </w:r>
          </w:p>
        </w:tc>
        <w:tc>
          <w:tcPr>
            <w:tcW w:w="1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39,188,122</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6,291,924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41,734</w:t>
            </w:r>
          </w:p>
        </w:tc>
      </w:tr>
      <w:tr>
        <w:trPr>
          <w:trHeight w:val="336"/>
        </w:trPr>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40" w:type="dxa"/>
            <w:vAlign w:val="bottom"/>
          </w:tcPr>
          <w:p>
            <w:pPr>
              <w:ind w:left="700"/>
              <w:spacing w:after="0"/>
              <w:rPr>
                <w:sz w:val="20"/>
                <w:szCs w:val="20"/>
                <w:color w:val="auto"/>
              </w:rPr>
            </w:pPr>
            <w:r>
              <w:rPr>
                <w:rFonts w:ascii="Courier New" w:cs="Courier New" w:eastAsia="Courier New" w:hAnsi="Courier New"/>
                <w:sz w:val="15"/>
                <w:szCs w:val="15"/>
                <w:color w:val="auto"/>
              </w:rPr>
              <w:t>For</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Against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68"/>
        </w:trPr>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2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Approval of accountants</w:t>
            </w:r>
          </w:p>
        </w:tc>
        <w:tc>
          <w:tcPr>
            <w:tcW w:w="1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52,029,438</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15,058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8,310</w:t>
            </w:r>
          </w:p>
        </w:tc>
      </w:tr>
      <w:tr>
        <w:trPr>
          <w:trHeight w:val="673"/>
        </w:trPr>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7" w:name="page28"/>
    <w:bookmarkEnd w:id="27"/>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hanging="790"/>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3" w:lineRule="exact"/>
        <w:rPr>
          <w:sz w:val="20"/>
          <w:szCs w:val="20"/>
          <w:color w:val="auto"/>
        </w:rPr>
      </w:pPr>
    </w:p>
    <w:p>
      <w:pPr>
        <w:ind w:left="800" w:right="3399" w:firstLine="787"/>
        <w:spacing w:after="0" w:line="236" w:lineRule="auto"/>
        <w:rPr>
          <w:sz w:val="20"/>
          <w:szCs w:val="20"/>
          <w:color w:val="auto"/>
        </w:rPr>
      </w:pPr>
      <w:r>
        <w:rPr>
          <w:rFonts w:ascii="Courier New" w:cs="Courier New" w:eastAsia="Courier New" w:hAnsi="Courier New"/>
          <w:sz w:val="15"/>
          <w:szCs w:val="15"/>
          <w:color w:val="auto"/>
        </w:rPr>
        <w:t>On April 4, 2000, the Company filed a report on Form 8-K covering the filing of the underwriting agreement related to the sale by the Company of 2.6 million shares of Common Stock with total proceeds to the registrant after commissions but before expenses of $73.5 million.</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953" w:right="1440" w:bottom="1440" w:gutter="0" w:footer="0" w:header="0"/>
        </w:sectPr>
      </w:pPr>
    </w:p>
    <w:bookmarkStart w:id="28" w:name="page29"/>
    <w:bookmarkEnd w:id="28"/>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Treasurer and</w:t>
      </w:r>
    </w:p>
    <w:p>
      <w:pPr>
        <w:spacing w:after="0" w:line="237" w:lineRule="auto"/>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3">
            <w:col w:w="440" w:space="180"/>
            <w:col w:w="2080" w:space="720"/>
            <w:col w:w="6819"/>
          </w:cols>
          <w:pgMar w:left="220" w:top="785" w:right="1440" w:bottom="1440" w:gutter="0" w:footer="0" w:header="0"/>
          <w:type w:val="continuous"/>
        </w:sectPr>
      </w:pPr>
    </w:p>
    <w:bookmarkStart w:id="29" w:name="page30"/>
    <w:bookmarkEnd w:id="29"/>
    <w:p>
      <w:pPr>
        <w:ind w:left="620"/>
        <w:spacing w:after="0"/>
        <w:rPr>
          <w:sz w:val="20"/>
          <w:szCs w:val="20"/>
          <w:color w:val="auto"/>
        </w:rPr>
      </w:pPr>
      <w:r>
        <w:rPr>
          <w:rFonts w:ascii="Courier New" w:cs="Courier New" w:eastAsia="Courier New" w:hAnsi="Courier New"/>
          <w:sz w:val="15"/>
          <w:szCs w:val="15"/>
          <w:color w:val="auto"/>
        </w:rPr>
        <w:t>5</w:t>
      </w:r>
    </w:p>
    <w:p>
      <w:pPr>
        <w:ind w:left="2120"/>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6-MOS</w:t>
      </w:r>
    </w:p>
    <w:p>
      <w:pPr>
        <w:ind w:left="1060"/>
        <w:spacing w:after="0" w:line="237" w:lineRule="auto"/>
        <w:rPr>
          <w:sz w:val="20"/>
          <w:szCs w:val="20"/>
          <w:color w:val="auto"/>
        </w:rPr>
      </w:pPr>
      <w:r>
        <w:rPr>
          <w:rFonts w:ascii="Courier New" w:cs="Courier New" w:eastAsia="Courier New" w:hAnsi="Courier New"/>
          <w:sz w:val="15"/>
          <w:szCs w:val="15"/>
          <w:color w:val="auto"/>
        </w:rPr>
        <w:t>DEC-31-2000</w:t>
      </w:r>
    </w:p>
    <w:p>
      <w:pPr>
        <w:ind w:left="1320"/>
        <w:spacing w:after="0" w:line="238" w:lineRule="auto"/>
        <w:rPr>
          <w:sz w:val="20"/>
          <w:szCs w:val="20"/>
          <w:color w:val="auto"/>
        </w:rPr>
      </w:pPr>
      <w:r>
        <w:rPr>
          <w:rFonts w:ascii="Courier New" w:cs="Courier New" w:eastAsia="Courier New" w:hAnsi="Courier New"/>
          <w:sz w:val="15"/>
          <w:szCs w:val="15"/>
          <w:color w:val="auto"/>
        </w:rPr>
        <w:t>JAN-01-2000</w:t>
      </w:r>
    </w:p>
    <w:p>
      <w:pPr>
        <w:ind w:left="1500"/>
        <w:spacing w:after="0" w:line="237" w:lineRule="auto"/>
        <w:rPr>
          <w:sz w:val="20"/>
          <w:szCs w:val="20"/>
          <w:color w:val="auto"/>
        </w:rPr>
      </w:pPr>
      <w:r>
        <w:rPr>
          <w:rFonts w:ascii="Courier New" w:cs="Courier New" w:eastAsia="Courier New" w:hAnsi="Courier New"/>
          <w:sz w:val="15"/>
          <w:szCs w:val="15"/>
          <w:color w:val="auto"/>
        </w:rPr>
        <w:t>JUN-30-2000</w:t>
      </w:r>
    </w:p>
    <w:p>
      <w:pPr>
        <w:ind w:left="2460"/>
        <w:spacing w:after="0" w:line="238" w:lineRule="auto"/>
        <w:rPr>
          <w:sz w:val="20"/>
          <w:szCs w:val="20"/>
          <w:color w:val="auto"/>
        </w:rPr>
      </w:pPr>
      <w:r>
        <w:rPr>
          <w:rFonts w:ascii="Courier New" w:cs="Courier New" w:eastAsia="Courier New" w:hAnsi="Courier New"/>
          <w:sz w:val="15"/>
          <w:szCs w:val="15"/>
          <w:color w:val="auto"/>
        </w:rPr>
        <w:t>81,751</w:t>
      </w:r>
    </w:p>
    <w:p>
      <w:pPr>
        <w:ind w:left="1940"/>
        <w:spacing w:after="0" w:line="237" w:lineRule="auto"/>
        <w:rPr>
          <w:sz w:val="20"/>
          <w:szCs w:val="20"/>
          <w:color w:val="auto"/>
        </w:rPr>
      </w:pPr>
      <w:r>
        <w:rPr>
          <w:rFonts w:ascii="Courier New" w:cs="Courier New" w:eastAsia="Courier New" w:hAnsi="Courier New"/>
          <w:sz w:val="15"/>
          <w:szCs w:val="15"/>
          <w:color w:val="auto"/>
        </w:rPr>
        <w:t>63,168</w:t>
      </w:r>
    </w:p>
    <w:p>
      <w:pPr>
        <w:ind w:left="1940"/>
        <w:spacing w:after="0" w:line="238" w:lineRule="auto"/>
        <w:rPr>
          <w:sz w:val="20"/>
          <w:szCs w:val="20"/>
          <w:color w:val="auto"/>
        </w:rPr>
      </w:pPr>
      <w:r>
        <w:rPr>
          <w:rFonts w:ascii="Courier New" w:cs="Courier New" w:eastAsia="Courier New" w:hAnsi="Courier New"/>
          <w:sz w:val="15"/>
          <w:szCs w:val="15"/>
          <w:color w:val="auto"/>
        </w:rPr>
        <w:t>9,568</w:t>
      </w:r>
    </w:p>
    <w:p>
      <w:pPr>
        <w:ind w:left="2380"/>
        <w:spacing w:after="0" w:line="237" w:lineRule="auto"/>
        <w:rPr>
          <w:sz w:val="20"/>
          <w:szCs w:val="20"/>
          <w:color w:val="auto"/>
        </w:rPr>
      </w:pPr>
      <w:r>
        <w:rPr>
          <w:rFonts w:ascii="Courier New" w:cs="Courier New" w:eastAsia="Courier New" w:hAnsi="Courier New"/>
          <w:sz w:val="15"/>
          <w:szCs w:val="15"/>
          <w:color w:val="auto"/>
        </w:rPr>
        <w:t>0</w:t>
      </w:r>
    </w:p>
    <w:p>
      <w:pPr>
        <w:ind w:left="2120"/>
        <w:spacing w:after="0" w:line="238" w:lineRule="auto"/>
        <w:rPr>
          <w:sz w:val="20"/>
          <w:szCs w:val="20"/>
          <w:color w:val="auto"/>
        </w:rPr>
      </w:pPr>
      <w:r>
        <w:rPr>
          <w:rFonts w:ascii="Courier New" w:cs="Courier New" w:eastAsia="Courier New" w:hAnsi="Courier New"/>
          <w:sz w:val="15"/>
          <w:szCs w:val="15"/>
          <w:color w:val="auto"/>
        </w:rPr>
        <w:t>7,931</w:t>
      </w:r>
    </w:p>
    <w:p>
      <w:pPr>
        <w:ind w:left="1500"/>
        <w:spacing w:after="0" w:line="238" w:lineRule="auto"/>
        <w:rPr>
          <w:sz w:val="20"/>
          <w:szCs w:val="20"/>
          <w:color w:val="auto"/>
        </w:rPr>
      </w:pPr>
      <w:r>
        <w:rPr>
          <w:rFonts w:ascii="Courier New" w:cs="Courier New" w:eastAsia="Courier New" w:hAnsi="Courier New"/>
          <w:sz w:val="15"/>
          <w:szCs w:val="15"/>
          <w:color w:val="auto"/>
        </w:rPr>
        <w:t>137,464</w:t>
      </w:r>
    </w:p>
    <w:p>
      <w:pPr>
        <w:ind w:left="2460"/>
        <w:spacing w:after="0" w:line="237" w:lineRule="auto"/>
        <w:rPr>
          <w:sz w:val="20"/>
          <w:szCs w:val="20"/>
          <w:color w:val="auto"/>
        </w:rPr>
      </w:pPr>
      <w:r>
        <w:rPr>
          <w:rFonts w:ascii="Courier New" w:cs="Courier New" w:eastAsia="Courier New" w:hAnsi="Courier New"/>
          <w:sz w:val="15"/>
          <w:szCs w:val="15"/>
          <w:color w:val="auto"/>
        </w:rPr>
        <w:t>70,549</w:t>
      </w:r>
    </w:p>
    <w:p>
      <w:pPr>
        <w:ind w:left="1760"/>
        <w:spacing w:after="0" w:line="238" w:lineRule="auto"/>
        <w:rPr>
          <w:sz w:val="20"/>
          <w:szCs w:val="20"/>
          <w:color w:val="auto"/>
        </w:rPr>
      </w:pPr>
      <w:r>
        <w:rPr>
          <w:rFonts w:ascii="Courier New" w:cs="Courier New" w:eastAsia="Courier New" w:hAnsi="Courier New"/>
          <w:sz w:val="15"/>
          <w:szCs w:val="15"/>
          <w:color w:val="auto"/>
        </w:rPr>
        <w:t>33,115</w:t>
      </w:r>
    </w:p>
    <w:p>
      <w:pPr>
        <w:ind w:left="1680"/>
        <w:spacing w:after="0" w:line="237" w:lineRule="auto"/>
        <w:rPr>
          <w:sz w:val="20"/>
          <w:szCs w:val="20"/>
          <w:color w:val="auto"/>
        </w:rPr>
      </w:pPr>
      <w:r>
        <w:rPr>
          <w:rFonts w:ascii="Courier New" w:cs="Courier New" w:eastAsia="Courier New" w:hAnsi="Courier New"/>
          <w:sz w:val="15"/>
          <w:szCs w:val="15"/>
          <w:color w:val="auto"/>
        </w:rPr>
        <w:t>202,117</w:t>
      </w:r>
    </w:p>
    <w:p>
      <w:pPr>
        <w:ind w:left="1160"/>
        <w:spacing w:after="0" w:line="238" w:lineRule="auto"/>
        <w:rPr>
          <w:sz w:val="20"/>
          <w:szCs w:val="20"/>
          <w:color w:val="auto"/>
        </w:rPr>
      </w:pPr>
      <w:r>
        <w:rPr>
          <w:rFonts w:ascii="Courier New" w:cs="Courier New" w:eastAsia="Courier New" w:hAnsi="Courier New"/>
          <w:sz w:val="15"/>
          <w:szCs w:val="15"/>
          <w:color w:val="auto"/>
        </w:rPr>
        <w:t>13,027</w:t>
      </w:r>
    </w:p>
    <w:p>
      <w:pPr>
        <w:ind w:left="2820"/>
        <w:spacing w:after="0" w:line="237" w:lineRule="auto"/>
        <w:rPr>
          <w:sz w:val="20"/>
          <w:szCs w:val="20"/>
          <w:color w:val="auto"/>
        </w:rPr>
      </w:pPr>
      <w:r>
        <w:rPr>
          <w:rFonts w:ascii="Courier New" w:cs="Courier New" w:eastAsia="Courier New" w:hAnsi="Courier New"/>
          <w:sz w:val="15"/>
          <w:szCs w:val="15"/>
          <w:color w:val="auto"/>
        </w:rPr>
        <w:t>0</w:t>
      </w:r>
    </w:p>
    <w:p>
      <w:pPr>
        <w:ind w:left="1580"/>
        <w:spacing w:after="0" w:line="238" w:lineRule="auto"/>
        <w:rPr>
          <w:sz w:val="20"/>
          <w:szCs w:val="20"/>
          <w:color w:val="auto"/>
        </w:rPr>
      </w:pPr>
      <w:r>
        <w:rPr>
          <w:rFonts w:ascii="Courier New" w:cs="Courier New" w:eastAsia="Courier New" w:hAnsi="Courier New"/>
          <w:sz w:val="15"/>
          <w:szCs w:val="15"/>
          <w:color w:val="auto"/>
        </w:rPr>
        <w:t>0</w:t>
      </w:r>
    </w:p>
    <w:p>
      <w:pPr>
        <w:ind w:left="246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32</w:t>
      </w:r>
    </w:p>
    <w:p>
      <w:pPr>
        <w:ind w:left="2020"/>
        <w:spacing w:after="0" w:line="238" w:lineRule="auto"/>
        <w:rPr>
          <w:sz w:val="20"/>
          <w:szCs w:val="20"/>
          <w:color w:val="auto"/>
        </w:rPr>
      </w:pPr>
      <w:r>
        <w:rPr>
          <w:rFonts w:ascii="Courier New" w:cs="Courier New" w:eastAsia="Courier New" w:hAnsi="Courier New"/>
          <w:sz w:val="15"/>
          <w:szCs w:val="15"/>
          <w:color w:val="auto"/>
        </w:rPr>
        <w:t>175,939</w:t>
      </w:r>
    </w:p>
    <w:p>
      <w:pPr>
        <w:ind w:left="460"/>
        <w:spacing w:after="0" w:line="237" w:lineRule="auto"/>
        <w:rPr>
          <w:sz w:val="20"/>
          <w:szCs w:val="20"/>
          <w:color w:val="auto"/>
        </w:rPr>
      </w:pPr>
      <w:r>
        <w:rPr>
          <w:rFonts w:ascii="Courier New" w:cs="Courier New" w:eastAsia="Courier New" w:hAnsi="Courier New"/>
          <w:sz w:val="15"/>
          <w:szCs w:val="15"/>
          <w:color w:val="auto"/>
        </w:rPr>
        <w:t>202,117</w:t>
      </w:r>
    </w:p>
    <w:p>
      <w:pPr>
        <w:ind w:left="2820"/>
        <w:spacing w:after="0" w:line="238" w:lineRule="auto"/>
        <w:rPr>
          <w:sz w:val="20"/>
          <w:szCs w:val="20"/>
          <w:color w:val="auto"/>
        </w:rPr>
      </w:pPr>
      <w:r>
        <w:rPr>
          <w:rFonts w:ascii="Courier New" w:cs="Courier New" w:eastAsia="Courier New" w:hAnsi="Courier New"/>
          <w:sz w:val="15"/>
          <w:szCs w:val="15"/>
          <w:color w:val="auto"/>
        </w:rPr>
        <w:t>0</w:t>
      </w:r>
    </w:p>
    <w:p>
      <w:pPr>
        <w:ind w:left="1580"/>
        <w:spacing w:after="0" w:line="237" w:lineRule="auto"/>
        <w:rPr>
          <w:sz w:val="20"/>
          <w:szCs w:val="20"/>
          <w:color w:val="auto"/>
        </w:rPr>
      </w:pPr>
      <w:r>
        <w:rPr>
          <w:rFonts w:ascii="Courier New" w:cs="Courier New" w:eastAsia="Courier New" w:hAnsi="Courier New"/>
          <w:sz w:val="15"/>
          <w:szCs w:val="15"/>
          <w:color w:val="auto"/>
        </w:rPr>
        <w:t>28,391</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1860"/>
        <w:spacing w:after="0" w:line="238" w:lineRule="auto"/>
        <w:rPr>
          <w:sz w:val="20"/>
          <w:szCs w:val="20"/>
          <w:color w:val="auto"/>
        </w:rPr>
      </w:pPr>
      <w:r>
        <w:rPr>
          <w:rFonts w:ascii="Courier New" w:cs="Courier New" w:eastAsia="Courier New" w:hAnsi="Courier New"/>
          <w:sz w:val="15"/>
          <w:szCs w:val="15"/>
          <w:color w:val="auto"/>
        </w:rPr>
        <w:t>38,489</w:t>
      </w:r>
    </w:p>
    <w:p>
      <w:pPr>
        <w:ind w:left="2020"/>
        <w:spacing w:after="0" w:line="237" w:lineRule="auto"/>
        <w:rPr>
          <w:sz w:val="20"/>
          <w:szCs w:val="20"/>
          <w:color w:val="auto"/>
        </w:rPr>
      </w:pPr>
      <w:r>
        <w:rPr>
          <w:rFonts w:ascii="Courier New" w:cs="Courier New" w:eastAsia="Courier New" w:hAnsi="Courier New"/>
          <w:sz w:val="15"/>
          <w:szCs w:val="15"/>
          <w:color w:val="auto"/>
        </w:rPr>
        <w:t>0</w:t>
      </w:r>
    </w:p>
    <w:p>
      <w:pPr>
        <w:ind w:left="2020"/>
        <w:spacing w:after="0" w:line="238" w:lineRule="auto"/>
        <w:rPr>
          <w:sz w:val="20"/>
          <w:szCs w:val="20"/>
          <w:color w:val="auto"/>
        </w:rPr>
      </w:pPr>
      <w:r>
        <w:rPr>
          <w:rFonts w:ascii="Courier New" w:cs="Courier New" w:eastAsia="Courier New" w:hAnsi="Courier New"/>
          <w:sz w:val="15"/>
          <w:szCs w:val="15"/>
          <w:color w:val="auto"/>
        </w:rPr>
        <w:t>0</w:t>
      </w:r>
    </w:p>
    <w:p>
      <w:pPr>
        <w:ind w:left="1680"/>
        <w:spacing w:after="0" w:line="237" w:lineRule="auto"/>
        <w:rPr>
          <w:sz w:val="20"/>
          <w:szCs w:val="20"/>
          <w:color w:val="auto"/>
        </w:rPr>
      </w:pPr>
      <w:r>
        <w:rPr>
          <w:rFonts w:ascii="Courier New" w:cs="Courier New" w:eastAsia="Courier New" w:hAnsi="Courier New"/>
          <w:sz w:val="15"/>
          <w:szCs w:val="15"/>
          <w:color w:val="auto"/>
        </w:rPr>
        <w:t>167</w:t>
      </w:r>
    </w:p>
    <w:p>
      <w:pPr>
        <w:ind w:left="1580"/>
        <w:spacing w:after="0" w:line="238" w:lineRule="auto"/>
        <w:rPr>
          <w:sz w:val="20"/>
          <w:szCs w:val="20"/>
          <w:color w:val="auto"/>
        </w:rPr>
      </w:pPr>
      <w:r>
        <w:rPr>
          <w:rFonts w:ascii="Courier New" w:cs="Courier New" w:eastAsia="Courier New" w:hAnsi="Courier New"/>
          <w:sz w:val="15"/>
          <w:szCs w:val="15"/>
          <w:color w:val="auto"/>
        </w:rPr>
        <w:t>(10,265)</w:t>
      </w:r>
    </w:p>
    <w:p>
      <w:pPr>
        <w:ind w:left="2380"/>
        <w:spacing w:after="0" w:line="237" w:lineRule="auto"/>
        <w:rPr>
          <w:sz w:val="20"/>
          <w:szCs w:val="20"/>
          <w:color w:val="auto"/>
        </w:rPr>
      </w:pPr>
      <w:r>
        <w:rPr>
          <w:rFonts w:ascii="Courier New" w:cs="Courier New" w:eastAsia="Courier New" w:hAnsi="Courier New"/>
          <w:sz w:val="15"/>
          <w:szCs w:val="15"/>
          <w:color w:val="auto"/>
        </w:rPr>
        <w:t>0</w:t>
      </w:r>
    </w:p>
    <w:p>
      <w:pPr>
        <w:ind w:left="1240"/>
        <w:spacing w:after="0" w:line="238" w:lineRule="auto"/>
        <w:rPr>
          <w:sz w:val="20"/>
          <w:szCs w:val="20"/>
          <w:color w:val="auto"/>
        </w:rPr>
      </w:pPr>
      <w:r>
        <w:rPr>
          <w:rFonts w:ascii="Courier New" w:cs="Courier New" w:eastAsia="Courier New" w:hAnsi="Courier New"/>
          <w:sz w:val="15"/>
          <w:szCs w:val="15"/>
          <w:color w:val="auto"/>
        </w:rPr>
        <w:t>(10,265)</w:t>
      </w:r>
    </w:p>
    <w:p>
      <w:pPr>
        <w:ind w:left="2200"/>
        <w:spacing w:after="0" w:line="238" w:lineRule="auto"/>
        <w:rPr>
          <w:sz w:val="20"/>
          <w:szCs w:val="20"/>
          <w:color w:val="auto"/>
        </w:rPr>
      </w:pPr>
      <w:r>
        <w:rPr>
          <w:rFonts w:ascii="Courier New" w:cs="Courier New" w:eastAsia="Courier New" w:hAnsi="Courier New"/>
          <w:sz w:val="15"/>
          <w:szCs w:val="15"/>
          <w:color w:val="auto"/>
        </w:rPr>
        <w:t>0</w:t>
      </w:r>
    </w:p>
    <w:p>
      <w:pPr>
        <w:ind w:left="2120"/>
        <w:spacing w:after="0" w:line="237" w:lineRule="auto"/>
        <w:rPr>
          <w:sz w:val="20"/>
          <w:szCs w:val="20"/>
          <w:color w:val="auto"/>
        </w:rPr>
      </w:pPr>
      <w:r>
        <w:rPr>
          <w:rFonts w:ascii="Courier New" w:cs="Courier New" w:eastAsia="Courier New" w:hAnsi="Courier New"/>
          <w:sz w:val="15"/>
          <w:szCs w:val="15"/>
          <w:color w:val="auto"/>
        </w:rPr>
        <w:t>0</w:t>
      </w:r>
    </w:p>
    <w:p>
      <w:pPr>
        <w:ind w:left="2640"/>
        <w:spacing w:after="0" w:line="238" w:lineRule="auto"/>
        <w:rPr>
          <w:sz w:val="20"/>
          <w:szCs w:val="20"/>
          <w:color w:val="auto"/>
        </w:rPr>
      </w:pPr>
      <w:r>
        <w:rPr>
          <w:rFonts w:ascii="Courier New" w:cs="Courier New" w:eastAsia="Courier New" w:hAnsi="Courier New"/>
          <w:sz w:val="15"/>
          <w:szCs w:val="15"/>
          <w:color w:val="auto"/>
        </w:rPr>
        <w:t>0</w:t>
      </w:r>
    </w:p>
    <w:p>
      <w:pPr>
        <w:ind w:left="1860"/>
        <w:spacing w:after="0" w:line="237" w:lineRule="auto"/>
        <w:rPr>
          <w:sz w:val="20"/>
          <w:szCs w:val="20"/>
          <w:color w:val="auto"/>
        </w:rPr>
      </w:pPr>
      <w:r>
        <w:rPr>
          <w:rFonts w:ascii="Courier New" w:cs="Courier New" w:eastAsia="Courier New" w:hAnsi="Courier New"/>
          <w:sz w:val="15"/>
          <w:szCs w:val="15"/>
          <w:color w:val="auto"/>
        </w:rPr>
        <w:t>(10,265)</w:t>
      </w:r>
    </w:p>
    <w:p>
      <w:pPr>
        <w:ind w:left="2120"/>
        <w:spacing w:after="0" w:line="238" w:lineRule="auto"/>
        <w:rPr>
          <w:sz w:val="20"/>
          <w:szCs w:val="20"/>
          <w:color w:val="auto"/>
        </w:rPr>
      </w:pPr>
      <w:r>
        <w:rPr>
          <w:rFonts w:ascii="Courier New" w:cs="Courier New" w:eastAsia="Courier New" w:hAnsi="Courier New"/>
          <w:sz w:val="15"/>
          <w:szCs w:val="15"/>
          <w:color w:val="auto"/>
        </w:rPr>
        <w:t>(0.31)</w:t>
      </w:r>
    </w:p>
    <w:p>
      <w:pPr>
        <w:ind w:left="1940"/>
        <w:spacing w:after="0" w:line="237" w:lineRule="auto"/>
        <w:rPr>
          <w:sz w:val="20"/>
          <w:szCs w:val="20"/>
          <w:color w:val="auto"/>
        </w:rPr>
      </w:pPr>
      <w:r>
        <w:rPr>
          <w:rFonts w:ascii="Courier New" w:cs="Courier New" w:eastAsia="Courier New" w:hAnsi="Courier New"/>
          <w:sz w:val="15"/>
          <w:szCs w:val="15"/>
          <w:color w:val="auto"/>
        </w:rPr>
        <w:t>(0.31)</w:t>
      </w:r>
    </w:p>
    <w:sectPr>
      <w:pgSz w:w="11900" w:h="16838" w:orient="portrait"/>
      <w:cols w:equalWidth="0" w:num="1">
        <w:col w:w="9019"/>
      </w:cols>
      <w:pgMar w:left="144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
    </w:lvl>
    <w:lvl w:ilvl="1">
      <w:lvlJc w:val="left"/>
      <w:lvlText w:val="(%2)"/>
      <w:numFmt w:val="decimal"/>
      <w:start w:val="1"/>
    </w:lvl>
  </w:abstractNum>
  <w:abstractNum w:abstractNumId="11">
    <w:nsid w:val="25E45D32"/>
    <w:multiLevelType w:val="hybridMultilevel"/>
    <w:lvl w:ilvl="0">
      <w:lvlJc w:val="left"/>
      <w:lvlText w:val="%1."/>
      <w:numFmt w:val="decimal"/>
      <w:start w:val="11"/>
    </w:lvl>
    <w:lvl w:ilvl="1">
      <w:lvlJc w:val="left"/>
      <w:lvlText w:val="%2"/>
      <w:numFmt w:val="decimal"/>
      <w:start w:val="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o"/>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amp;"/>
      <w:numFmt w:val="bullet"/>
      <w:start w:val="1"/>
    </w:lvl>
  </w:abstractNum>
  <w:abstractNum w:abstractNumId="16">
    <w:nsid w:val="257130A3"/>
    <w:multiLevelType w:val="hybridMultilevel"/>
    <w:lvl w:ilvl="0">
      <w:lvlJc w:val="left"/>
      <w:lvlText w:val="&amp;"/>
      <w:numFmt w:val="bullet"/>
      <w:start w:val="1"/>
    </w:lvl>
  </w:abstractNum>
  <w:abstractNum w:abstractNumId="17">
    <w:nsid w:val="62BBD95A"/>
    <w:multiLevelType w:val="hybridMultilevel"/>
    <w:lvl w:ilvl="0">
      <w:lvlJc w:val="left"/>
      <w:lvlText w:val="o"/>
      <w:numFmt w:val="bullet"/>
      <w:start w:val="1"/>
    </w:lvl>
  </w:abstractNum>
  <w:abstractNum w:abstractNumId="18">
    <w:nsid w:val="436C6125"/>
    <w:multiLevelType w:val="hybridMultilevel"/>
    <w:lvl w:ilvl="0">
      <w:lvlJc w:val="left"/>
      <w:lvlText w:val="o"/>
      <w:numFmt w:val="bullet"/>
      <w:start w:val="1"/>
    </w:lvl>
  </w:abstractNum>
  <w:abstractNum w:abstractNumId="19">
    <w:nsid w:val="628C895D"/>
    <w:multiLevelType w:val="hybridMultilevel"/>
    <w:lvl w:ilvl="0">
      <w:lvlJc w:val="left"/>
      <w:lvlText w:val="o"/>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2019-12-19T22:59:11Z</dcterms:created>
  <dcterms:modified xsi:type="dcterms:W3CDTF">2019-12-19T22:59:11Z</dcterms:modified>
</cp:coreProperties>
</file>