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91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912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20"/>
              <w:spacing w:after="0"/>
              <w:rPr>
                <w:sz w:val="20"/>
                <w:szCs w:val="20"/>
                <w:color w:val="auto"/>
              </w:rPr>
            </w:pPr>
            <w:r>
              <w:rPr>
                <w:rFonts w:ascii="Arial" w:cs="Arial" w:eastAsia="Arial" w:hAnsi="Arial"/>
                <w:sz w:val="17"/>
                <w:szCs w:val="17"/>
                <w:color w:val="0000FF"/>
              </w:rPr>
              <w:t>EVP Research and Development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8"/>
            <w:vMerge w:val="continue"/>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7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02/26/2020</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72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2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5,736</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7,831</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13,700</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ind w:left="2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20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02/26/2020</w:t>
            </w:r>
          </w:p>
        </w:tc>
        <w:tc>
          <w:tcPr>
            <w:tcW w:w="1140" w:type="dxa"/>
            <w:vAlign w:val="bottom"/>
          </w:tcPr>
          <w:p>
            <w:pPr>
              <w:spacing w:after="0"/>
              <w:rPr>
                <w:sz w:val="18"/>
                <w:szCs w:val="18"/>
                <w:color w:val="auto"/>
              </w:rPr>
            </w:pPr>
          </w:p>
        </w:tc>
        <w:tc>
          <w:tcPr>
            <w:tcW w:w="780" w:type="dxa"/>
            <w:vAlign w:val="bottom"/>
            <w:gridSpan w:val="5"/>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940" w:type="dxa"/>
            <w:vAlign w:val="bottom"/>
          </w:tcPr>
          <w:p>
            <w:pPr>
              <w:ind w:left="440"/>
              <w:spacing w:after="0"/>
              <w:rPr>
                <w:sz w:val="20"/>
                <w:szCs w:val="20"/>
                <w:color w:val="auto"/>
              </w:rPr>
            </w:pPr>
            <w:r>
              <w:rPr>
                <w:rFonts w:ascii="Arial" w:cs="Arial" w:eastAsia="Arial" w:hAnsi="Arial"/>
                <w:sz w:val="13"/>
                <w:szCs w:val="13"/>
                <w:color w:val="0000FF"/>
              </w:rPr>
              <w:t>25,000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12/16/2021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00" w:type="dxa"/>
            <w:vAlign w:val="bottom"/>
            <w:gridSpan w:val="2"/>
          </w:tcPr>
          <w:p>
            <w:pPr>
              <w:ind w:left="180"/>
              <w:spacing w:after="0" w:line="212" w:lineRule="exact"/>
              <w:rPr>
                <w:sz w:val="20"/>
                <w:szCs w:val="20"/>
                <w:color w:val="auto"/>
              </w:rPr>
            </w:pPr>
            <w:r>
              <w:rPr>
                <w:rFonts w:ascii="Arial" w:cs="Arial" w:eastAsia="Arial" w:hAnsi="Arial"/>
                <w:sz w:val="13"/>
                <w:szCs w:val="13"/>
                <w:color w:val="0000FF"/>
              </w:rPr>
              <w:t>38,079</w:t>
            </w:r>
            <w:r>
              <w:rPr>
                <w:rFonts w:ascii="Arial" w:cs="Arial" w:eastAsia="Arial" w:hAnsi="Arial"/>
                <w:sz w:val="22"/>
                <w:szCs w:val="22"/>
                <w:color w:val="008000"/>
                <w:vertAlign w:val="superscript"/>
              </w:rPr>
              <w:t>(3)</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gridSpan w:val="2"/>
          </w:tcPr>
          <w:p>
            <w:pPr>
              <w:ind w:left="160"/>
              <w:spacing w:after="0" w:line="95"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16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75,000 underlying shares (of which 25,000 remain outstanding), the option became exercisable on December 31, 2014, based upon the satisfaction by the company of certain performance criteria during the period ended December 31, 2014. With respect to 48,079 underlying shares (of which 13,079 remain outstanding), the stock option award vested in four equal annual installments, commencing one year after the date of grant.</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Form two of two</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02/28/2020</w:t>
            </w:r>
          </w:p>
        </w:tc>
      </w:tr>
      <w:tr>
        <w:trPr>
          <w:trHeight w:val="20"/>
        </w:trPr>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2020-02-28T16:13:41Z</dcterms:created>
  <dcterms:modified xsi:type="dcterms:W3CDTF">2020-02-28T16:13:41Z</dcterms:modified>
</cp:coreProperties>
</file>