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and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4, 2008 (May 28, 2008)</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REGENERON PHARMACEUTICALS,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3"/>
          </w:tcPr>
          <w:p>
            <w:pPr>
              <w:jc w:val="center"/>
              <w:ind w:right="1300"/>
              <w:spacing w:after="0"/>
              <w:rPr>
                <w:sz w:val="20"/>
                <w:szCs w:val="20"/>
                <w:color w:val="auto"/>
              </w:rPr>
            </w:pPr>
            <w:r>
              <w:rPr>
                <w:rFonts w:ascii="Arial" w:cs="Arial" w:eastAsia="Arial" w:hAnsi="Arial"/>
                <w:sz w:val="18"/>
                <w:szCs w:val="18"/>
                <w:b w:val="1"/>
                <w:bCs w:val="1"/>
                <w:color w:val="auto"/>
                <w:w w:val="92"/>
              </w:rPr>
              <w:t>New York</w:t>
            </w:r>
          </w:p>
        </w:tc>
        <w:tc>
          <w:tcPr>
            <w:tcW w:w="2700" w:type="dxa"/>
            <w:vAlign w:val="bottom"/>
          </w:tcPr>
          <w:p>
            <w:pPr>
              <w:jc w:val="right"/>
              <w:ind w:right="1230"/>
              <w:spacing w:after="0"/>
              <w:rPr>
                <w:sz w:val="20"/>
                <w:szCs w:val="20"/>
                <w:color w:val="auto"/>
              </w:rPr>
            </w:pPr>
            <w:r>
              <w:rPr>
                <w:rFonts w:ascii="Arial" w:cs="Arial" w:eastAsia="Arial" w:hAnsi="Arial"/>
                <w:sz w:val="18"/>
                <w:szCs w:val="18"/>
                <w:b w:val="1"/>
                <w:bCs w:val="1"/>
                <w:color w:val="auto"/>
              </w:rPr>
              <w:t>000-19034</w:t>
            </w:r>
          </w:p>
        </w:tc>
        <w:tc>
          <w:tcPr>
            <w:tcW w:w="398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89"/>
              </w:rPr>
              <w:t>13-3444607</w:t>
            </w:r>
          </w:p>
        </w:tc>
      </w:tr>
      <w:tr>
        <w:trPr>
          <w:trHeight w:val="205"/>
        </w:trPr>
        <w:tc>
          <w:tcPr>
            <w:tcW w:w="344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color w:val="auto"/>
                <w:w w:val="92"/>
              </w:rPr>
              <w:t>(State or other jurisdiction of</w:t>
            </w:r>
          </w:p>
        </w:tc>
        <w:tc>
          <w:tcPr>
            <w:tcW w:w="5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700" w:type="dxa"/>
            <w:vAlign w:val="bottom"/>
            <w:tcBorders>
              <w:top w:val="single" w:sz="8" w:color="auto"/>
            </w:tcBorders>
          </w:tcPr>
          <w:p>
            <w:pPr>
              <w:jc w:val="center"/>
              <w:ind w:right="630"/>
              <w:spacing w:after="0" w:line="205" w:lineRule="exact"/>
              <w:rPr>
                <w:sz w:val="20"/>
                <w:szCs w:val="20"/>
                <w:color w:val="auto"/>
              </w:rPr>
            </w:pPr>
            <w:r>
              <w:rPr>
                <w:rFonts w:ascii="Arial" w:cs="Arial" w:eastAsia="Arial" w:hAnsi="Arial"/>
                <w:sz w:val="18"/>
                <w:szCs w:val="18"/>
                <w:color w:val="auto"/>
                <w:w w:val="92"/>
              </w:rPr>
              <w:t>(Commission File Number)</w:t>
            </w:r>
          </w:p>
        </w:tc>
        <w:tc>
          <w:tcPr>
            <w:tcW w:w="560" w:type="dxa"/>
            <w:vAlign w:val="bottom"/>
          </w:tcPr>
          <w:p>
            <w:pPr>
              <w:spacing w:after="0"/>
              <w:rPr>
                <w:sz w:val="17"/>
                <w:szCs w:val="17"/>
                <w:color w:val="auto"/>
              </w:rPr>
            </w:pPr>
          </w:p>
        </w:tc>
        <w:tc>
          <w:tcPr>
            <w:tcW w:w="342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4740" w:type="dxa"/>
            <w:vAlign w:val="bottom"/>
            <w:gridSpan w:val="3"/>
          </w:tcPr>
          <w:p>
            <w:pPr>
              <w:jc w:val="center"/>
              <w:ind w:right="1300"/>
              <w:spacing w:after="0"/>
              <w:rPr>
                <w:sz w:val="20"/>
                <w:szCs w:val="20"/>
                <w:color w:val="auto"/>
              </w:rPr>
            </w:pPr>
            <w:r>
              <w:rPr>
                <w:rFonts w:ascii="Arial" w:cs="Arial" w:eastAsia="Arial" w:hAnsi="Arial"/>
                <w:sz w:val="18"/>
                <w:szCs w:val="18"/>
                <w:color w:val="auto"/>
                <w:w w:val="94"/>
              </w:rPr>
              <w:t>incorporation)</w:t>
            </w:r>
          </w:p>
        </w:tc>
        <w:tc>
          <w:tcPr>
            <w:tcW w:w="2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Number)</w:t>
            </w:r>
          </w:p>
        </w:tc>
      </w:tr>
      <w:tr>
        <w:trPr>
          <w:trHeight w:val="432"/>
        </w:trPr>
        <w:tc>
          <w:tcPr>
            <w:tcW w:w="474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7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2"/>
          </w:tcPr>
          <w:p>
            <w:pPr>
              <w:ind w:left="840"/>
              <w:spacing w:after="0"/>
              <w:rPr>
                <w:sz w:val="20"/>
                <w:szCs w:val="20"/>
                <w:color w:val="auto"/>
              </w:rPr>
            </w:pPr>
            <w:r>
              <w:rPr>
                <w:rFonts w:ascii="Arial" w:cs="Arial" w:eastAsia="Arial" w:hAnsi="Arial"/>
                <w:sz w:val="18"/>
                <w:szCs w:val="18"/>
                <w:b w:val="1"/>
                <w:bCs w:val="1"/>
                <w:color w:val="auto"/>
              </w:rPr>
              <w:t>10591-6707</w:t>
            </w:r>
          </w:p>
        </w:tc>
      </w:tr>
      <w:tr>
        <w:trPr>
          <w:trHeight w:val="228"/>
        </w:trPr>
        <w:tc>
          <w:tcPr>
            <w:tcW w:w="474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ind w:left="280"/>
              <w:spacing w:after="0"/>
              <w:rPr>
                <w:sz w:val="20"/>
                <w:szCs w:val="20"/>
                <w:color w:val="auto"/>
              </w:rPr>
            </w:pPr>
            <w:r>
              <w:rPr>
                <w:rFonts w:ascii="Arial" w:cs="Arial" w:eastAsia="Arial" w:hAnsi="Arial"/>
                <w:sz w:val="18"/>
                <w:szCs w:val="18"/>
                <w:b w:val="1"/>
                <w:bCs w:val="1"/>
                <w:color w:val="auto"/>
              </w:rPr>
              <w:t>(Zip Code)</w:t>
            </w:r>
          </w:p>
        </w:tc>
      </w:tr>
    </w:tbl>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(914) 347-7000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-130810</wp:posOffset>
            </wp:positionV>
            <wp:extent cx="24269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96" w:lineRule="exact"/>
        <w:rPr>
          <w:sz w:val="24"/>
          <w:szCs w:val="24"/>
          <w:color w:val="auto"/>
        </w:rPr>
      </w:pPr>
    </w:p>
    <w:p>
      <w:pPr>
        <w:ind w:left="360"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registrant under any of the following provisions:</w:t>
      </w:r>
    </w:p>
    <w:p>
      <w:pPr>
        <w:spacing w:after="0" w:line="62"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bookmarkStart w:id="1" w:name="page2"/>
    <w:bookmarkEnd w:id="1"/>
    <w:p>
      <w:pPr>
        <w:spacing w:after="0"/>
        <w:tabs>
          <w:tab w:leader="none" w:pos="9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left="920" w:right="80"/>
        <w:spacing w:after="0" w:line="342" w:lineRule="auto"/>
        <w:rPr>
          <w:sz w:val="20"/>
          <w:szCs w:val="20"/>
          <w:color w:val="auto"/>
        </w:rPr>
      </w:pPr>
      <w:r>
        <w:rPr>
          <w:rFonts w:ascii="Arial" w:cs="Arial" w:eastAsia="Arial" w:hAnsi="Arial"/>
          <w:sz w:val="16"/>
          <w:szCs w:val="16"/>
          <w:color w:val="auto"/>
        </w:rPr>
        <w:t>On May 28th and 29th, 2008, the Company repurchased $50 million in principal amount of its 5.5% Convertible Senior Subordinated Notes due October 17, 2008 (the “Notes”) in privately negotiated transactions at a price equal to 101 percent of par value plus accrued interest.</w:t>
      </w:r>
    </w:p>
    <w:p>
      <w:pPr>
        <w:spacing w:after="0" w:line="16" w:lineRule="exact"/>
        <w:rPr>
          <w:sz w:val="20"/>
          <w:szCs w:val="20"/>
          <w:color w:val="auto"/>
        </w:rPr>
      </w:pPr>
    </w:p>
    <w:p>
      <w:pPr>
        <w:ind w:left="920"/>
        <w:spacing w:after="0" w:line="286" w:lineRule="auto"/>
        <w:rPr>
          <w:sz w:val="20"/>
          <w:szCs w:val="20"/>
          <w:color w:val="auto"/>
        </w:rPr>
      </w:pPr>
      <w:r>
        <w:rPr>
          <w:rFonts w:ascii="Arial" w:cs="Arial" w:eastAsia="Arial" w:hAnsi="Arial"/>
          <w:sz w:val="17"/>
          <w:szCs w:val="17"/>
          <w:color w:val="auto"/>
        </w:rPr>
        <w:t>Effective June 2, 2008, the Company’s Board of Directors authorized the repurchase from time to time of additional Notes in privately negotiated transactions. The Board’s authorization covers up to the remaining $150 million in outstanding principal amount of the Notes. However, such additional repurchases, if any, will depend on available pricing terms and other factors, including general market conditions.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75" w:right="259" w:bottom="1440" w:gutter="0" w:footer="0" w:header="0"/>
        </w:sectPr>
      </w:pPr>
    </w:p>
    <w:bookmarkStart w:id="2" w:name="page3"/>
    <w:bookmarkEnd w:id="2"/>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REGENERON PHARMACEUTICALS, INC.</w:t>
            </w: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Dated: June 4, 2008</w:t>
            </w: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By: /s/ Stuart Kolinski</w:t>
            </w:r>
          </w:p>
        </w:tc>
      </w:tr>
      <w:tr>
        <w:trPr>
          <w:trHeight w:val="195"/>
        </w:trPr>
        <w:tc>
          <w:tcPr>
            <w:tcW w:w="34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Stuart Kolinski</w:t>
            </w:r>
          </w:p>
        </w:tc>
      </w:tr>
      <w:tr>
        <w:trPr>
          <w:trHeight w:val="230"/>
        </w:trPr>
        <w:tc>
          <w:tcPr>
            <w:tcW w:w="3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 and General Counsel</w:t>
            </w:r>
          </w:p>
        </w:tc>
      </w:tr>
      <w:tr>
        <w:trPr>
          <w:trHeight w:val="621"/>
        </w:trPr>
        <w:tc>
          <w:tcPr>
            <w:tcW w:w="3400" w:type="dxa"/>
            <w:vAlign w:val="bottom"/>
          </w:tcPr>
          <w:p>
            <w:pPr>
              <w:spacing w:after="0"/>
              <w:rPr>
                <w:sz w:val="24"/>
                <w:szCs w:val="24"/>
                <w:color w:val="auto"/>
              </w:rPr>
            </w:pPr>
          </w:p>
        </w:tc>
        <w:tc>
          <w:tcPr>
            <w:tcW w:w="6340" w:type="dxa"/>
            <w:vAlign w:val="bottom"/>
            <w:gridSpan w:val="2"/>
          </w:tcPr>
          <w:p>
            <w:pPr>
              <w:jc w:val="right"/>
              <w:ind w:right="3890"/>
              <w:spacing w:after="0"/>
              <w:rPr>
                <w:sz w:val="20"/>
                <w:szCs w:val="20"/>
                <w:color w:val="auto"/>
              </w:rPr>
            </w:pPr>
            <w:r>
              <w:rPr>
                <w:rFonts w:ascii="Arial" w:cs="Arial" w:eastAsia="Arial" w:hAnsi="Arial"/>
                <w:sz w:val="18"/>
                <w:szCs w:val="18"/>
                <w:color w:val="auto"/>
              </w:rPr>
              <w:t>3</w:t>
            </w:r>
          </w:p>
        </w:tc>
      </w:tr>
    </w:tbl>
    <w:p>
      <w:pPr>
        <w:spacing w:after="0" w:line="1" w:lineRule="exact"/>
        <w:rPr>
          <w:sz w:val="20"/>
          <w:szCs w:val="20"/>
          <w:color w:val="auto"/>
        </w:rPr>
      </w:pPr>
    </w:p>
    <w:sectPr>
      <w:pgSz w:w="11900" w:h="16838" w:orient="portrait"/>
      <w:cols w:equalWidth="0" w:num="1">
        <w:col w:w="10820"/>
      </w:cols>
      <w:pgMar w:left="240" w:top="935"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2019-12-20T03:16:10Z</dcterms:created>
  <dcterms:modified xsi:type="dcterms:W3CDTF">2019-12-20T03:16:10Z</dcterms:modified>
</cp:coreProperties>
</file>