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14, 2017 (June 9,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900" w:right="340" w:hanging="89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20" w:firstLine="324"/>
        <w:spacing w:after="0" w:line="268" w:lineRule="auto"/>
        <w:rPr>
          <w:sz w:val="20"/>
          <w:szCs w:val="20"/>
          <w:color w:val="auto"/>
        </w:rPr>
      </w:pPr>
      <w:r>
        <w:rPr>
          <w:rFonts w:ascii="Arial" w:cs="Arial" w:eastAsia="Arial" w:hAnsi="Arial"/>
          <w:sz w:val="18"/>
          <w:szCs w:val="18"/>
          <w:color w:val="auto"/>
        </w:rPr>
        <w:t xml:space="preserve">As described in Item 5.07 below, at the </w:t>
      </w:r>
      <w:r>
        <w:rPr>
          <w:rFonts w:ascii="Arial" w:cs="Arial" w:eastAsia="Arial" w:hAnsi="Arial"/>
          <w:sz w:val="17"/>
          <w:szCs w:val="17"/>
          <w:color w:val="auto"/>
        </w:rPr>
        <w:t>2017 Annual Meeting of Shareholders of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held on</w:t>
      </w:r>
      <w:r>
        <w:rPr>
          <w:rFonts w:ascii="Arial" w:cs="Arial" w:eastAsia="Arial" w:hAnsi="Arial"/>
          <w:sz w:val="18"/>
          <w:szCs w:val="18"/>
          <w:color w:val="auto"/>
        </w:rPr>
        <w:t xml:space="preserve"> </w:t>
      </w:r>
      <w:r>
        <w:rPr>
          <w:rFonts w:ascii="Arial" w:cs="Arial" w:eastAsia="Arial" w:hAnsi="Arial"/>
          <w:sz w:val="17"/>
          <w:szCs w:val="17"/>
          <w:color w:val="auto"/>
        </w:rPr>
        <w:t>June 9, 2017 (the “</w:t>
      </w:r>
      <w:r>
        <w:rPr>
          <w:rFonts w:ascii="Arial" w:cs="Arial" w:eastAsia="Arial" w:hAnsi="Arial"/>
          <w:sz w:val="17"/>
          <w:szCs w:val="17"/>
          <w:u w:val="single" w:color="auto"/>
          <w:color w:val="auto"/>
        </w:rPr>
        <w:t>Annual Meeting</w:t>
      </w:r>
      <w:r>
        <w:rPr>
          <w:rFonts w:ascii="Arial" w:cs="Arial" w:eastAsia="Arial" w:hAnsi="Arial"/>
          <w:sz w:val="17"/>
          <w:szCs w:val="17"/>
          <w:color w:val="auto"/>
        </w:rPr>
        <w:t>”), the Company’s shareholders approved the Amended and Restated Regeneron Pharmaceuticals, Inc. 2014 Long-Term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Plan was previously adopted by Regeneron’s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on April 6, 2017 based upon the recommendation of the Compensation Committee of the Board.</w:t>
      </w:r>
    </w:p>
    <w:p>
      <w:pPr>
        <w:spacing w:after="0" w:line="182" w:lineRule="exact"/>
        <w:rPr>
          <w:sz w:val="24"/>
          <w:szCs w:val="24"/>
          <w:color w:val="auto"/>
        </w:rPr>
      </w:pPr>
    </w:p>
    <w:p>
      <w:pPr>
        <w:ind w:firstLine="324"/>
        <w:spacing w:after="0" w:line="279" w:lineRule="auto"/>
        <w:rPr>
          <w:sz w:val="20"/>
          <w:szCs w:val="20"/>
          <w:color w:val="auto"/>
        </w:rPr>
      </w:pPr>
      <w:r>
        <w:rPr>
          <w:rFonts w:ascii="Arial" w:cs="Arial" w:eastAsia="Arial" w:hAnsi="Arial"/>
          <w:sz w:val="17"/>
          <w:szCs w:val="17"/>
          <w:color w:val="auto"/>
        </w:rPr>
        <w:t>A description of the material terms of the Plan is set forth on pages 84 — 91 of the Company’s Definitive Proxy Statement on Schedule 14A filed with the Securities and Exchange Commission on April 25, 2017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and is incorporated herein by reference. The description of the Plan is qualified in its entirety by reference to the full text of the Plan, a copy of which was filed as Exhibit 99.1 to the Company’s Registration Statement on Form S-8 filed with the Securities and Exchange Commission on June 12, 2017 and is incorporated herein by reference.</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At the Annual Meeting, the Company’s shareholders voted on the matters set forth below.</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ectPr>
          <w:pgSz w:w="11900" w:h="16838" w:orient="portrait"/>
          <w:cols w:equalWidth="0" w:num="1">
            <w:col w:w="11420"/>
          </w:cols>
          <w:pgMar w:left="240" w:top="544" w:right="239" w:bottom="158" w:gutter="0" w:footer="0" w:header="0"/>
        </w:sectPr>
      </w:pPr>
    </w:p>
    <w:bookmarkStart w:id="1" w:name="page2"/>
    <w:bookmarkEnd w:id="1"/>
    <w:p>
      <w:pPr>
        <w:ind w:right="340" w:firstLine="324"/>
        <w:spacing w:after="0" w:line="277" w:lineRule="auto"/>
        <w:rPr>
          <w:sz w:val="20"/>
          <w:szCs w:val="20"/>
          <w:color w:val="auto"/>
        </w:rPr>
      </w:pPr>
      <w:r>
        <w:rPr>
          <w:rFonts w:ascii="Arial" w:cs="Arial" w:eastAsia="Arial" w:hAnsi="Arial"/>
          <w:sz w:val="18"/>
          <w:szCs w:val="18"/>
          <w:color w:val="auto"/>
        </w:rPr>
        <w:t>The following nominees for Class II directors were elected to serve until the 2020 Annual Meeting of Shareholders and until their successors are duly elected and qualified based upon the following votes: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620" w:type="dxa"/>
            <w:vAlign w:val="bottom"/>
            <w:gridSpan w:val="2"/>
          </w:tcPr>
          <w:p>
            <w:pPr>
              <w:ind w:left="560"/>
              <w:spacing w:after="0"/>
              <w:rPr>
                <w:sz w:val="20"/>
                <w:szCs w:val="20"/>
                <w:color w:val="auto"/>
              </w:rPr>
            </w:pPr>
            <w:r>
              <w:rPr>
                <w:rFonts w:ascii="Arial" w:cs="Arial" w:eastAsia="Arial" w:hAnsi="Arial"/>
                <w:sz w:val="14"/>
                <w:szCs w:val="14"/>
                <w:b w:val="1"/>
                <w:bCs w:val="1"/>
                <w:color w:val="auto"/>
              </w:rPr>
              <w:t>For</w:t>
            </w: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Against</w:t>
            </w: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Abstain</w:t>
            </w:r>
          </w:p>
        </w:tc>
        <w:tc>
          <w:tcPr>
            <w:tcW w:w="1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 Anthony Coles, M.D.</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111,246,776</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279,703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2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5,947,203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Joseph L. Goldstein, M.D.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94,353,657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17,192,504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28,504</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5,947,203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A. Poon</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93,725,257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17,822,427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26,981</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5,947,203</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 Roy Vagelos, M.D.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110,937,330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611,032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26,303</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5,947,203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Huda Y. Zoghbi, M.D.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109,001,871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2,541,238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31,556</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5,947,203</w:t>
            </w: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nominee for a Class I director was elected to serve until the 2019 Annual Meeting of Shareholders and until her successor is duly elected and qualified based upon the following votes: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640" w:type="dxa"/>
            <w:vAlign w:val="bottom"/>
            <w:gridSpan w:val="2"/>
          </w:tcPr>
          <w:p>
            <w:pPr>
              <w:ind w:left="560"/>
              <w:spacing w:after="0"/>
              <w:rPr>
                <w:sz w:val="20"/>
                <w:szCs w:val="20"/>
                <w:color w:val="auto"/>
              </w:rPr>
            </w:pPr>
            <w:r>
              <w:rPr>
                <w:rFonts w:ascii="Arial" w:cs="Arial" w:eastAsia="Arial" w:hAnsi="Arial"/>
                <w:sz w:val="14"/>
                <w:szCs w:val="14"/>
                <w:b w:val="1"/>
                <w:bCs w:val="1"/>
                <w:color w:val="auto"/>
              </w:rPr>
              <w:t>For</w:t>
            </w: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Against</w:t>
            </w:r>
          </w:p>
        </w:tc>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rPr>
              <w:t>Abstain</w:t>
            </w:r>
          </w:p>
        </w:tc>
        <w:tc>
          <w:tcPr>
            <w:tcW w:w="1920" w:type="dxa"/>
            <w:vAlign w:val="bottom"/>
            <w:gridSpan w:val="2"/>
          </w:tcPr>
          <w:p>
            <w:pPr>
              <w:ind w:left="36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Bonnie L. Bassler, Ph.D.</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111,054,324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489,531</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30,810</w:t>
            </w: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5,947,203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2017 was approved based upon the following votes: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116,891,573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Against:</w:t>
            </w:r>
          </w:p>
        </w:tc>
        <w:tc>
          <w:tcPr>
            <w:tcW w:w="4760" w:type="dxa"/>
            <w:vAlign w:val="bottom"/>
          </w:tcPr>
          <w:p>
            <w:pPr>
              <w:jc w:val="right"/>
              <w:ind w:right="10"/>
              <w:spacing w:after="0"/>
              <w:rPr>
                <w:sz w:val="20"/>
                <w:szCs w:val="20"/>
                <w:color w:val="auto"/>
              </w:rPr>
            </w:pPr>
            <w:r>
              <w:rPr>
                <w:rFonts w:ascii="Arial" w:cs="Arial" w:eastAsia="Arial" w:hAnsi="Arial"/>
                <w:sz w:val="18"/>
                <w:szCs w:val="18"/>
                <w:color w:val="auto"/>
              </w:rPr>
              <w:t>594,036</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36,259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Approval of Amended and Restated Regeneron Pharmaceuticals, Inc. 2014 Long-Term Incentive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proposal to approve the Plan was approved based upon the following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100" w:type="dxa"/>
            <w:vAlign w:val="bottom"/>
          </w:tcPr>
          <w:p>
            <w:pPr>
              <w:jc w:val="right"/>
              <w:ind w:right="425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6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980" w:type="dxa"/>
            <w:vAlign w:val="bottom"/>
            <w:vMerge w:val="restart"/>
          </w:tcPr>
          <w:p>
            <w:pPr>
              <w:spacing w:after="0"/>
              <w:rPr>
                <w:sz w:val="24"/>
                <w:szCs w:val="24"/>
                <w:color w:val="auto"/>
              </w:rPr>
            </w:pPr>
          </w:p>
        </w:tc>
        <w:tc>
          <w:tcPr>
            <w:tcW w:w="30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6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73,855,623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Against:</w:t>
            </w:r>
          </w:p>
        </w:tc>
        <w:tc>
          <w:tcPr>
            <w:tcW w:w="6100" w:type="dxa"/>
            <w:vAlign w:val="bottom"/>
          </w:tcPr>
          <w:p>
            <w:pPr>
              <w:jc w:val="right"/>
              <w:ind w:right="10"/>
              <w:spacing w:after="0"/>
              <w:rPr>
                <w:sz w:val="20"/>
                <w:szCs w:val="20"/>
                <w:color w:val="auto"/>
              </w:rPr>
            </w:pPr>
            <w:r>
              <w:rPr>
                <w:rFonts w:ascii="Arial" w:cs="Arial" w:eastAsia="Arial" w:hAnsi="Arial"/>
                <w:sz w:val="18"/>
                <w:szCs w:val="18"/>
                <w:color w:val="auto"/>
              </w:rPr>
              <w:t>37,638,433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6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Broker Non-Votes:</w:t>
            </w:r>
          </w:p>
        </w:tc>
        <w:tc>
          <w:tcPr>
            <w:tcW w:w="6100" w:type="dxa"/>
            <w:vAlign w:val="bottom"/>
          </w:tcPr>
          <w:p>
            <w:pPr>
              <w:jc w:val="right"/>
              <w:ind w:right="10"/>
              <w:spacing w:after="0"/>
              <w:rPr>
                <w:sz w:val="20"/>
                <w:szCs w:val="20"/>
                <w:color w:val="auto"/>
              </w:rPr>
            </w:pPr>
            <w:r>
              <w:rPr>
                <w:rFonts w:ascii="Arial" w:cs="Arial" w:eastAsia="Arial" w:hAnsi="Arial"/>
                <w:sz w:val="18"/>
                <w:szCs w:val="18"/>
                <w:color w:val="auto"/>
              </w:rPr>
              <w:t>5,947,203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-945515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-945515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Advisory Vote on Executive Compensation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resolution to approve, on an advisory basis, the compensation of the Company’s named executive officers as disclosed in the Proxy Statement was approved based upon the following votes: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74,832,189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Against:</w:t>
            </w:r>
          </w:p>
        </w:tc>
        <w:tc>
          <w:tcPr>
            <w:tcW w:w="4340" w:type="dxa"/>
            <w:vAlign w:val="bottom"/>
          </w:tcPr>
          <w:p>
            <w:pPr>
              <w:jc w:val="right"/>
              <w:ind w:right="10"/>
              <w:spacing w:after="0"/>
              <w:rPr>
                <w:sz w:val="20"/>
                <w:szCs w:val="20"/>
                <w:color w:val="auto"/>
              </w:rPr>
            </w:pPr>
            <w:r>
              <w:rPr>
                <w:rFonts w:ascii="Arial" w:cs="Arial" w:eastAsia="Arial" w:hAnsi="Arial"/>
                <w:sz w:val="18"/>
                <w:szCs w:val="18"/>
                <w:color w:val="auto"/>
              </w:rPr>
              <w:t>36,645,623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96,853</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Broker Non-Votes:</w:t>
            </w:r>
          </w:p>
        </w:tc>
        <w:tc>
          <w:tcPr>
            <w:tcW w:w="4340" w:type="dxa"/>
            <w:vAlign w:val="bottom"/>
          </w:tcPr>
          <w:p>
            <w:pPr>
              <w:jc w:val="right"/>
              <w:ind w:right="10"/>
              <w:spacing w:after="0"/>
              <w:rPr>
                <w:sz w:val="20"/>
                <w:szCs w:val="20"/>
                <w:color w:val="auto"/>
              </w:rPr>
            </w:pPr>
            <w:r>
              <w:rPr>
                <w:rFonts w:ascii="Arial" w:cs="Arial" w:eastAsia="Arial" w:hAnsi="Arial"/>
                <w:sz w:val="18"/>
                <w:szCs w:val="18"/>
                <w:color w:val="auto"/>
              </w:rPr>
              <w:t>5,947,203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 Advisory Vote on the Frequency of Future Advisory Votes on Executive Compensation</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Three years was selected by a majority of the votes cast on the advisory proposal on the frequency of future advisory votes on executive compensation based upon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One Year:</w:t>
            </w:r>
          </w:p>
        </w:tc>
        <w:tc>
          <w:tcPr>
            <w:tcW w:w="6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49,789,134</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Two Years:</w:t>
            </w:r>
          </w:p>
        </w:tc>
        <w:tc>
          <w:tcPr>
            <w:tcW w:w="6320" w:type="dxa"/>
            <w:vAlign w:val="bottom"/>
          </w:tcPr>
          <w:p>
            <w:pPr>
              <w:jc w:val="right"/>
              <w:ind w:right="10"/>
              <w:spacing w:after="0"/>
              <w:rPr>
                <w:sz w:val="20"/>
                <w:szCs w:val="20"/>
                <w:color w:val="auto"/>
              </w:rPr>
            </w:pPr>
            <w:r>
              <w:rPr>
                <w:rFonts w:ascii="Arial" w:cs="Arial" w:eastAsia="Arial" w:hAnsi="Arial"/>
                <w:sz w:val="18"/>
                <w:szCs w:val="18"/>
                <w:color w:val="auto"/>
              </w:rPr>
              <w:t>177,085</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Three Years:</w:t>
            </w:r>
          </w:p>
        </w:tc>
        <w:tc>
          <w:tcPr>
            <w:tcW w:w="6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61,569,725</w:t>
            </w:r>
          </w:p>
        </w:tc>
        <w:tc>
          <w:tcPr>
            <w:tcW w:w="13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Abstain:</w:t>
            </w:r>
          </w:p>
        </w:tc>
        <w:tc>
          <w:tcPr>
            <w:tcW w:w="6320" w:type="dxa"/>
            <w:vAlign w:val="bottom"/>
          </w:tcPr>
          <w:p>
            <w:pPr>
              <w:jc w:val="right"/>
              <w:ind w:right="10"/>
              <w:spacing w:after="0"/>
              <w:rPr>
                <w:sz w:val="20"/>
                <w:szCs w:val="20"/>
                <w:color w:val="auto"/>
              </w:rPr>
            </w:pPr>
            <w:r>
              <w:rPr>
                <w:rFonts w:ascii="Arial" w:cs="Arial" w:eastAsia="Arial" w:hAnsi="Arial"/>
                <w:sz w:val="18"/>
                <w:szCs w:val="18"/>
                <w:color w:val="auto"/>
              </w:rPr>
              <w:t>38,721</w:t>
            </w:r>
          </w:p>
        </w:tc>
        <w:tc>
          <w:tcPr>
            <w:tcW w:w="13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320" w:type="dxa"/>
            <w:vAlign w:val="bottom"/>
          </w:tcPr>
          <w:p>
            <w:pPr>
              <w:jc w:val="right"/>
              <w:ind w:right="425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63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2017</w:t>
      </w:r>
    </w:p>
    <w:p>
      <w:pPr>
        <w:sectPr>
          <w:pgSz w:w="11900" w:h="16838" w:orient="portrait"/>
          <w:cols w:equalWidth="0" w:num="1">
            <w:col w:w="11460"/>
          </w:cols>
          <w:pgMar w:left="240" w:top="125" w:right="199" w:bottom="0"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60"/>
          </w:cols>
          <w:pgMar w:left="240" w:top="125" w:right="199" w:bottom="0" w:gutter="0" w:footer="0" w:header="0"/>
          <w:type w:val="continuous"/>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2019-12-05T18:39:30Z</dcterms:created>
  <dcterms:modified xsi:type="dcterms:W3CDTF">2019-12-05T18:39:30Z</dcterms:modified>
</cp:coreProperties>
</file>