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3690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SCHLEIFER LEONARD S</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199"/>
        </w:trPr>
        <w:tc>
          <w:tcPr>
            <w:tcW w:w="20" w:type="dxa"/>
            <w:vAlign w:val="bottom"/>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REGENERON PHARMACEUTICALS,</w:t>
              </w:r>
            </w:hyperlink>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40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820" w:type="dxa"/>
            <w:vAlign w:val="bottom"/>
            <w:gridSpan w:val="4"/>
            <w:vMerge w:val="restart"/>
          </w:tcPr>
          <w:p>
            <w:pPr>
              <w:ind w:left="60"/>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4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820" w:type="dxa"/>
            <w:vAlign w:val="bottom"/>
            <w:gridSpan w:val="4"/>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400" w:type="dxa"/>
            <w:vAlign w:val="bottom"/>
            <w:tcBorders>
              <w:top w:val="single" w:sz="8" w:color="0000EE"/>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82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3820" w:type="dxa"/>
            <w:vAlign w:val="bottom"/>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12/11/2023</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Bd. Co-Chair, President &amp; CEO</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82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0"/>
          <w:szCs w:val="20"/>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4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12/11/2023</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25,155</w:t>
            </w: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387,270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12/11/2023</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12,841</w:t>
            </w: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844.09</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374,429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5,916</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64,985</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2019</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57"/>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25,155</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continue"/>
          </w:tcPr>
          <w:p>
            <w:pPr>
              <w:spacing w:after="0"/>
              <w:rPr>
                <w:sz w:val="11"/>
                <w:szCs w:val="11"/>
                <w:color w:val="auto"/>
              </w:rPr>
            </w:pPr>
          </w:p>
        </w:tc>
        <w:tc>
          <w:tcPr>
            <w:tcW w:w="106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rPr>
              <w:t>12/11/2023</w:t>
            </w:r>
          </w:p>
        </w:tc>
        <w:tc>
          <w:tcPr>
            <w:tcW w:w="108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25,155</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57"/>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-1993900</wp:posOffset>
            </wp:positionV>
            <wp:extent cx="29210" cy="199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989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jc w:val="both"/>
        <w:ind w:left="40" w:right="42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11, 2019, the reporting person was granted performance-based restricted stock units ("PSUs") representing the contingent right to receive shares of the issuer's common stock based upon the achievement of certain performance metrics related to total shareholder return ("TSR") over the applicable vesting period. On December 11, 2023, 25,155 PSUs (or the maximum number of PSUs eligible for vesting) vested in full and were automatically settled into an equal number of shares of the issuer's common stock based upon achievement of 75% cumulative TSR over the four-year performance period then ended.</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/s/**Leonard S. Schleifer</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12/13/2023</w:t>
            </w:r>
          </w:p>
        </w:tc>
      </w:tr>
      <w:tr>
        <w:trPr>
          <w:trHeight w:val="20"/>
        </w:trPr>
        <w:tc>
          <w:tcPr>
            <w:tcW w:w="1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2023-12-13T15:15:24Z</dcterms:created>
  <dcterms:modified xsi:type="dcterms:W3CDTF">2023-12-13T15:15:24Z</dcterms:modified>
</cp:coreProperties>
</file>