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quarterly period ended June 30,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39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TRANSITION REPORT PURSUANT TO SECTION 13 OR 15 (d) OF THE SECURITIES EXCHANGE ACT OF 1934</w:t>
      </w:r>
    </w:p>
    <w:p>
      <w:pPr>
        <w:spacing w:after="0" w:line="213" w:lineRule="exact"/>
        <w:rPr>
          <w:sz w:val="20"/>
          <w:szCs w:val="20"/>
          <w:color w:val="auto"/>
        </w:rPr>
      </w:pPr>
    </w:p>
    <w:p>
      <w:pPr>
        <w:ind w:left="580"/>
        <w:spacing w:after="0"/>
        <w:tabs>
          <w:tab w:leader="none" w:pos="3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-10160</wp:posOffset>
            </wp:positionV>
            <wp:extent cx="1146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6175" cy="8890"/>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Commission File Number 0-19034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297815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0" w:type="dxa"/>
            <w:vAlign w:val="bottom"/>
            <w:gridSpan w:val="5"/>
          </w:tcPr>
          <w:p>
            <w:pPr>
              <w:jc w:val="center"/>
              <w:ind w:right="31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20" w:type="dxa"/>
            <w:vAlign w:val="bottom"/>
          </w:tcPr>
          <w:p>
            <w:pPr>
              <w:spacing w:after="0"/>
              <w:rPr>
                <w:sz w:val="24"/>
                <w:szCs w:val="24"/>
                <w:color w:val="auto"/>
              </w:rPr>
            </w:pPr>
          </w:p>
        </w:tc>
        <w:tc>
          <w:tcPr>
            <w:tcW w:w="29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New York</w:t>
            </w:r>
          </w:p>
        </w:tc>
        <w:tc>
          <w:tcPr>
            <w:tcW w:w="6240" w:type="dxa"/>
            <w:vAlign w:val="bottom"/>
            <w:gridSpan w:val="4"/>
          </w:tcPr>
          <w:p>
            <w:pPr>
              <w:jc w:val="center"/>
              <w:ind w:left="4830"/>
              <w:spacing w:after="0"/>
              <w:rPr>
                <w:sz w:val="20"/>
                <w:szCs w:val="20"/>
                <w:color w:val="auto"/>
              </w:rPr>
            </w:pPr>
            <w:r>
              <w:rPr>
                <w:rFonts w:ascii="Arial" w:cs="Arial" w:eastAsia="Arial" w:hAnsi="Arial"/>
                <w:sz w:val="18"/>
                <w:szCs w:val="18"/>
                <w:color w:val="auto"/>
                <w:w w:val="91"/>
              </w:rPr>
              <w:t>13-3444607</w:t>
            </w:r>
          </w:p>
        </w:tc>
        <w:tc>
          <w:tcPr>
            <w:tcW w:w="960" w:type="dxa"/>
            <w:vAlign w:val="bottom"/>
          </w:tcPr>
          <w:p>
            <w:pPr>
              <w:spacing w:after="0"/>
              <w:rPr>
                <w:sz w:val="24"/>
                <w:szCs w:val="24"/>
                <w:color w:val="auto"/>
              </w:rPr>
            </w:pPr>
          </w:p>
        </w:tc>
      </w:tr>
      <w:tr>
        <w:trPr>
          <w:trHeight w:val="202"/>
        </w:trPr>
        <w:tc>
          <w:tcPr>
            <w:tcW w:w="320" w:type="dxa"/>
            <w:vAlign w:val="bottom"/>
          </w:tcPr>
          <w:p>
            <w:pPr>
              <w:spacing w:after="0"/>
              <w:rPr>
                <w:sz w:val="17"/>
                <w:szCs w:val="17"/>
                <w:color w:val="auto"/>
              </w:rPr>
            </w:pPr>
          </w:p>
        </w:tc>
        <w:tc>
          <w:tcPr>
            <w:tcW w:w="2800" w:type="dxa"/>
            <w:vAlign w:val="bottom"/>
            <w:tcBorders>
              <w:top w:val="single" w:sz="8" w:color="808080"/>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240" w:type="dxa"/>
            <w:vAlign w:val="bottom"/>
            <w:tcBorders>
              <w:top w:val="single" w:sz="8" w:color="808080"/>
            </w:tcBorders>
            <w:gridSpan w:val="3"/>
          </w:tcPr>
          <w:p>
            <w:pPr>
              <w:jc w:val="center"/>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20" w:type="dxa"/>
            <w:vAlign w:val="bottom"/>
          </w:tcPr>
          <w:p>
            <w:pPr>
              <w:spacing w:after="0"/>
              <w:rPr>
                <w:sz w:val="20"/>
                <w:szCs w:val="20"/>
                <w:color w:val="auto"/>
              </w:rPr>
            </w:pPr>
          </w:p>
        </w:tc>
        <w:tc>
          <w:tcPr>
            <w:tcW w:w="29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incorporation or organization)</w:t>
            </w:r>
          </w:p>
        </w:tc>
        <w:tc>
          <w:tcPr>
            <w:tcW w:w="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29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777 Old Saw Mill River Road</w:t>
            </w: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29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Tarrytown, New York</w:t>
            </w:r>
          </w:p>
        </w:tc>
        <w:tc>
          <w:tcPr>
            <w:tcW w:w="6240" w:type="dxa"/>
            <w:vAlign w:val="bottom"/>
            <w:gridSpan w:val="4"/>
          </w:tcPr>
          <w:p>
            <w:pPr>
              <w:jc w:val="center"/>
              <w:ind w:left="4830"/>
              <w:spacing w:after="0"/>
              <w:rPr>
                <w:sz w:val="20"/>
                <w:szCs w:val="20"/>
                <w:color w:val="auto"/>
              </w:rPr>
            </w:pPr>
            <w:r>
              <w:rPr>
                <w:rFonts w:ascii="Arial" w:cs="Arial" w:eastAsia="Arial" w:hAnsi="Arial"/>
                <w:sz w:val="18"/>
                <w:szCs w:val="18"/>
                <w:color w:val="auto"/>
                <w:w w:val="91"/>
              </w:rPr>
              <w:t>10591-6707</w:t>
            </w:r>
          </w:p>
        </w:tc>
        <w:tc>
          <w:tcPr>
            <w:tcW w:w="960" w:type="dxa"/>
            <w:vAlign w:val="bottom"/>
          </w:tcPr>
          <w:p>
            <w:pPr>
              <w:spacing w:after="0"/>
              <w:rPr>
                <w:sz w:val="20"/>
                <w:szCs w:val="20"/>
                <w:color w:val="auto"/>
              </w:rPr>
            </w:pPr>
          </w:p>
        </w:tc>
      </w:tr>
      <w:tr>
        <w:trPr>
          <w:trHeight w:val="230"/>
        </w:trPr>
        <w:tc>
          <w:tcPr>
            <w:tcW w:w="3280" w:type="dxa"/>
            <w:vAlign w:val="bottom"/>
            <w:tcBorders>
              <w:top w:val="single" w:sz="8" w:color="808080"/>
            </w:tcBorders>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Borders>
              <w:top w:val="single" w:sz="8" w:color="808080"/>
            </w:tcBorders>
          </w:tcPr>
          <w:p>
            <w:pPr>
              <w:spacing w:after="0"/>
              <w:rPr>
                <w:sz w:val="20"/>
                <w:szCs w:val="20"/>
                <w:color w:val="auto"/>
              </w:rPr>
            </w:pPr>
          </w:p>
        </w:tc>
        <w:tc>
          <w:tcPr>
            <w:tcW w:w="3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c>
          <w:tcPr>
            <w:tcW w:w="960" w:type="dxa"/>
            <w:vAlign w:val="bottom"/>
          </w:tcPr>
          <w:p>
            <w:pPr>
              <w:spacing w:after="0"/>
              <w:rPr>
                <w:sz w:val="20"/>
                <w:szCs w:val="20"/>
                <w:color w:val="auto"/>
              </w:rPr>
            </w:pPr>
          </w:p>
        </w:tc>
      </w:tr>
      <w:tr>
        <w:trPr>
          <w:trHeight w:val="377"/>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right"/>
              <w:ind w:right="1380"/>
              <w:spacing w:after="0"/>
              <w:rPr>
                <w:sz w:val="20"/>
                <w:szCs w:val="20"/>
                <w:color w:val="auto"/>
              </w:rPr>
            </w:pPr>
            <w:r>
              <w:rPr>
                <w:rFonts w:ascii="Arial" w:cs="Arial" w:eastAsia="Arial" w:hAnsi="Arial"/>
                <w:sz w:val="18"/>
                <w:szCs w:val="18"/>
                <w:color w:val="auto"/>
              </w:rPr>
              <w:t>(914) 347-7000</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120015</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57"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2300"/>
              <w:spacing w:after="0"/>
              <w:rPr>
                <w:sz w:val="20"/>
                <w:szCs w:val="20"/>
                <w:color w:val="auto"/>
              </w:rPr>
            </w:pPr>
            <w:r>
              <w:rPr>
                <w:rFonts w:ascii="Arial" w:cs="Arial" w:eastAsia="Arial" w:hAnsi="Arial"/>
                <w:sz w:val="18"/>
                <w:szCs w:val="18"/>
                <w:color w:val="auto"/>
              </w:rPr>
              <w:t>Yes (X)</w:t>
            </w:r>
          </w:p>
        </w:tc>
        <w:tc>
          <w:tcPr>
            <w:tcW w:w="6000" w:type="dxa"/>
            <w:vAlign w:val="bottom"/>
            <w:gridSpan w:val="2"/>
          </w:tcPr>
          <w:p>
            <w:pPr>
              <w:ind w:left="640"/>
              <w:spacing w:after="0"/>
              <w:rPr>
                <w:sz w:val="20"/>
                <w:szCs w:val="20"/>
                <w:color w:val="auto"/>
              </w:rPr>
            </w:pPr>
            <w:r>
              <w:rPr>
                <w:rFonts w:ascii="Arial" w:cs="Arial" w:eastAsia="Arial" w:hAnsi="Arial"/>
                <w:sz w:val="18"/>
                <w:szCs w:val="18"/>
                <w:color w:val="auto"/>
              </w:rPr>
              <w:t>No ( )</w:t>
            </w:r>
          </w:p>
        </w:tc>
      </w:tr>
      <w:tr>
        <w:trPr>
          <w:trHeight w:val="392"/>
        </w:trPr>
        <w:tc>
          <w:tcPr>
            <w:tcW w:w="11420" w:type="dxa"/>
            <w:vAlign w:val="bottom"/>
            <w:gridSpan w:val="3"/>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30, 2004:</w:t>
            </w:r>
          </w:p>
        </w:tc>
      </w:tr>
      <w:tr>
        <w:trPr>
          <w:trHeight w:val="615"/>
        </w:trPr>
        <w:tc>
          <w:tcPr>
            <w:tcW w:w="5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2880" w:type="dxa"/>
            <w:vAlign w:val="bottom"/>
          </w:tcPr>
          <w:p>
            <w:pPr>
              <w:spacing w:after="0"/>
              <w:rPr>
                <w:sz w:val="24"/>
                <w:szCs w:val="24"/>
                <w:color w:val="auto"/>
              </w:rPr>
            </w:pPr>
          </w:p>
        </w:tc>
        <w:tc>
          <w:tcPr>
            <w:tcW w:w="3120" w:type="dxa"/>
            <w:vAlign w:val="bottom"/>
            <w:tcBorders>
              <w:bottom w:val="single" w:sz="8" w:color="808080"/>
            </w:tcBorders>
          </w:tcPr>
          <w:p>
            <w:pPr>
              <w:ind w:left="900"/>
              <w:spacing w:after="0"/>
              <w:rPr>
                <w:sz w:val="20"/>
                <w:szCs w:val="20"/>
                <w:color w:val="auto"/>
              </w:rPr>
            </w:pPr>
            <w:r>
              <w:rPr>
                <w:rFonts w:ascii="Arial" w:cs="Arial" w:eastAsia="Arial" w:hAnsi="Arial"/>
                <w:sz w:val="18"/>
                <w:szCs w:val="18"/>
                <w:color w:val="auto"/>
              </w:rPr>
              <w:t>Number of Shares</w:t>
            </w:r>
          </w:p>
        </w:tc>
      </w:tr>
      <w:tr>
        <w:trPr>
          <w:trHeight w:val="215"/>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Class A Stock, $0.001 par value</w:t>
            </w:r>
          </w:p>
        </w:tc>
        <w:tc>
          <w:tcPr>
            <w:tcW w:w="2880" w:type="dxa"/>
            <w:vAlign w:val="bottom"/>
          </w:tcPr>
          <w:p>
            <w:pPr>
              <w:spacing w:after="0"/>
              <w:rPr>
                <w:sz w:val="18"/>
                <w:szCs w:val="18"/>
                <w:color w:val="auto"/>
              </w:rPr>
            </w:pPr>
          </w:p>
        </w:tc>
        <w:tc>
          <w:tcPr>
            <w:tcW w:w="3120" w:type="dxa"/>
            <w:vAlign w:val="bottom"/>
          </w:tcPr>
          <w:p>
            <w:pPr>
              <w:jc w:val="right"/>
              <w:ind w:right="1110"/>
              <w:spacing w:after="0"/>
              <w:rPr>
                <w:sz w:val="20"/>
                <w:szCs w:val="20"/>
                <w:color w:val="auto"/>
              </w:rPr>
            </w:pPr>
            <w:r>
              <w:rPr>
                <w:rFonts w:ascii="Arial" w:cs="Arial" w:eastAsia="Arial" w:hAnsi="Arial"/>
                <w:sz w:val="18"/>
                <w:szCs w:val="18"/>
                <w:color w:val="auto"/>
              </w:rPr>
              <w:t>2,365,873</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1070"/>
              <w:spacing w:after="0"/>
              <w:rPr>
                <w:sz w:val="20"/>
                <w:szCs w:val="20"/>
                <w:color w:val="auto"/>
              </w:rPr>
            </w:pPr>
            <w:r>
              <w:rPr>
                <w:rFonts w:ascii="Arial" w:cs="Arial" w:eastAsia="Arial" w:hAnsi="Arial"/>
                <w:sz w:val="18"/>
                <w:szCs w:val="18"/>
                <w:color w:val="auto"/>
              </w:rPr>
              <w:t>53,326,933</w:t>
            </w:r>
          </w:p>
        </w:tc>
      </w:tr>
      <w:tr>
        <w:trPr>
          <w:trHeight w:val="632"/>
        </w:trPr>
        <w:tc>
          <w:tcPr>
            <w:tcW w:w="54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5"/>
              </w:rPr>
              <w:t>Page Numbers</w:t>
            </w:r>
          </w:p>
        </w:tc>
        <w:tc>
          <w:tcPr>
            <w:tcW w:w="0" w:type="dxa"/>
            <w:vAlign w:val="bottom"/>
          </w:tcPr>
          <w:p>
            <w:pPr>
              <w:spacing w:after="0"/>
              <w:rPr>
                <w:sz w:val="1"/>
                <w:szCs w:val="1"/>
                <w:color w:val="auto"/>
              </w:rPr>
            </w:pPr>
          </w:p>
        </w:tc>
      </w:tr>
      <w:tr>
        <w:trPr>
          <w:trHeight w:val="53"/>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360" w:type="dxa"/>
            <w:vAlign w:val="bottom"/>
            <w:gridSpan w:val="9"/>
            <w:vMerge w:val="restart"/>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0000EE"/>
            </w:tcBorders>
            <w:gridSpan w:val="11"/>
            <w:vMerge w:val="continue"/>
          </w:tcPr>
          <w:p>
            <w:pPr>
              <w:spacing w:after="0"/>
              <w:rPr>
                <w:sz w:val="21"/>
                <w:szCs w:val="21"/>
                <w:color w:val="auto"/>
              </w:rPr>
            </w:pPr>
          </w:p>
        </w:tc>
        <w:tc>
          <w:tcPr>
            <w:tcW w:w="7360" w:type="dxa"/>
            <w:vAlign w:val="bottom"/>
            <w:gridSpan w:val="9"/>
            <w:vMerge w:val="continue"/>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(unaudited) at June 30, 2004 and December 31, 2003</w:t>
              </w:r>
            </w:hyperlink>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(unaudited) for the three and six months ended June 30, 2004 and 2003</w:t>
              </w:r>
            </w:hyperlink>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 of stockholders’ equity (unaudited) for the six months ended June 30, 2004</w:t>
              </w:r>
            </w:hyperlink>
          </w:p>
        </w:tc>
        <w:tc>
          <w:tcPr>
            <w:tcW w:w="760" w:type="dxa"/>
            <w:vAlign w:val="bottom"/>
            <w:tcBorders>
              <w:top w:val="single" w:sz="8" w:color="0000EE"/>
            </w:tcBorders>
            <w:gridSpan w:val="2"/>
          </w:tcPr>
          <w:p>
            <w:pPr>
              <w:spacing w:after="0"/>
              <w:rPr>
                <w:sz w:val="17"/>
                <w:szCs w:val="17"/>
                <w:color w:val="auto"/>
              </w:rPr>
            </w:pPr>
          </w:p>
        </w:tc>
        <w:tc>
          <w:tcPr>
            <w:tcW w:w="2500" w:type="dxa"/>
            <w:vAlign w:val="bottom"/>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statements of cash flows (unaudited) for the six months ended June 30, 2004 and 2003</w:t>
              </w:r>
            </w:hyperlink>
          </w:p>
        </w:tc>
        <w:tc>
          <w:tcPr>
            <w:tcW w:w="3180" w:type="dxa"/>
            <w:vAlign w:val="bottom"/>
            <w:gridSpan w:val="2"/>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w:t>
              </w:r>
            </w:hyperlink>
          </w:p>
        </w:tc>
        <w:tc>
          <w:tcPr>
            <w:tcW w:w="7360" w:type="dxa"/>
            <w:vAlign w:val="bottom"/>
            <w:gridSpan w:val="9"/>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3420" w:type="dxa"/>
            <w:vAlign w:val="bottom"/>
            <w:gridSpan w:val="4"/>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96"/>
        </w:trPr>
        <w:tc>
          <w:tcPr>
            <w:tcW w:w="1040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3 Quantitative and Qualitative Disclosure About Market Risk</w:t>
              </w:r>
            </w:hyperlink>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gridSpan w:val="3"/>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4</w:t>
              </w:r>
            </w:hyperlink>
          </w:p>
        </w:tc>
        <w:tc>
          <w:tcPr>
            <w:tcW w:w="430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600" w:type="dxa"/>
            <w:vAlign w:val="bottom"/>
            <w:gridSpan w:val="6"/>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0"/>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60" w:type="dxa"/>
            <w:vAlign w:val="bottom"/>
            <w:tcBorders>
              <w:top w:val="single" w:sz="8" w:color="0000EE"/>
            </w:tcBorders>
            <w:gridSpan w:val="3"/>
          </w:tcPr>
          <w:p>
            <w:pPr>
              <w:spacing w:after="0"/>
              <w:rPr>
                <w:sz w:val="17"/>
                <w:szCs w:val="17"/>
                <w:color w:val="auto"/>
              </w:rPr>
            </w:pPr>
          </w:p>
        </w:tc>
        <w:tc>
          <w:tcPr>
            <w:tcW w:w="7680" w:type="dxa"/>
            <w:vAlign w:val="bottom"/>
            <w:gridSpan w:val="11"/>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00" w:type="dxa"/>
            <w:vAlign w:val="bottom"/>
            <w:gridSpan w:val="3"/>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4</w:t>
              </w:r>
            </w:hyperlink>
          </w:p>
        </w:tc>
        <w:tc>
          <w:tcPr>
            <w:tcW w:w="9900" w:type="dxa"/>
            <w:vAlign w:val="bottom"/>
            <w:gridSpan w:val="17"/>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Submission of Matters to a Vote of Security Holders</w:t>
              </w:r>
            </w:hyperlink>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Item 6</w:t>
              </w:r>
            </w:hyperlink>
          </w:p>
        </w:tc>
        <w:tc>
          <w:tcPr>
            <w:tcW w:w="252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 and Reports on Form 8-K</w:t>
              </w:r>
            </w:hyperlink>
          </w:p>
        </w:tc>
        <w:tc>
          <w:tcPr>
            <w:tcW w:w="1260" w:type="dxa"/>
            <w:vAlign w:val="bottom"/>
            <w:tcBorders>
              <w:top w:val="single" w:sz="8" w:color="0000EE"/>
            </w:tcBorders>
            <w:gridSpan w:val="3"/>
          </w:tcPr>
          <w:p>
            <w:pPr>
              <w:spacing w:after="0"/>
              <w:rPr>
                <w:sz w:val="17"/>
                <w:szCs w:val="17"/>
                <w:color w:val="auto"/>
              </w:rPr>
            </w:pPr>
          </w:p>
        </w:tc>
        <w:tc>
          <w:tcPr>
            <w:tcW w:w="6120" w:type="dxa"/>
            <w:vAlign w:val="bottom"/>
            <w:gridSpan w:val="7"/>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7"/>
              </w:rPr>
            </w:pPr>
            <w:hyperlink w:anchor="page46">
              <w:r>
                <w:rPr>
                  <w:rFonts w:ascii="Arial" w:cs="Arial" w:eastAsia="Arial" w:hAnsi="Arial"/>
                  <w:sz w:val="18"/>
                  <w:szCs w:val="18"/>
                  <w:b w:val="1"/>
                  <w:bCs w:val="1"/>
                  <w:color w:val="0000EE"/>
                  <w:w w:val="97"/>
                </w:rPr>
                <w:t>SIGNATURE PAGE</w:t>
              </w:r>
            </w:hyperlink>
          </w:p>
        </w:tc>
        <w:tc>
          <w:tcPr>
            <w:tcW w:w="8800" w:type="dxa"/>
            <w:vAlign w:val="bottom"/>
            <w:gridSpan w:val="15"/>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3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AMENDMENT NO.3 TO INCENTIVE PLAN</w:t>
            </w:r>
          </w:p>
        </w:tc>
        <w:tc>
          <w:tcPr>
            <w:tcW w:w="702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340" w:type="dxa"/>
            <w:vAlign w:val="bottom"/>
            <w:gridSpan w:val="19"/>
          </w:tcPr>
          <w:p>
            <w:pPr>
              <w:spacing w:after="0" w:line="196" w:lineRule="exact"/>
              <w:rPr>
                <w:sz w:val="20"/>
                <w:szCs w:val="20"/>
                <w:color w:val="auto"/>
              </w:rPr>
            </w:pPr>
            <w:r>
              <w:rPr>
                <w:rFonts w:ascii="Arial" w:cs="Arial" w:eastAsia="Arial" w:hAnsi="Arial"/>
                <w:sz w:val="18"/>
                <w:szCs w:val="18"/>
                <w:color w:val="0000EE"/>
              </w:rPr>
              <w:t>CERTIFICATION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906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340" w:type="dxa"/>
            <w:vAlign w:val="bottom"/>
            <w:gridSpan w:val="19"/>
          </w:tcPr>
          <w:p>
            <w:pPr>
              <w:spacing w:after="0" w:line="196" w:lineRule="exact"/>
              <w:rPr>
                <w:sz w:val="20"/>
                <w:szCs w:val="20"/>
                <w:color w:val="auto"/>
              </w:rPr>
            </w:pPr>
            <w:r>
              <w:rPr>
                <w:rFonts w:ascii="Arial" w:cs="Arial" w:eastAsia="Arial" w:hAnsi="Arial"/>
                <w:sz w:val="18"/>
                <w:szCs w:val="18"/>
                <w:color w:val="0000EE"/>
              </w:rPr>
              <w:t>CERTIFICATION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9"/>
        </w:trPr>
        <w:tc>
          <w:tcPr>
            <w:tcW w:w="6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84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2004 AND DECEMBER 31, 2003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7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37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122,833</w:t>
            </w:r>
          </w:p>
        </w:tc>
        <w:tc>
          <w:tcPr>
            <w:tcW w:w="52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118,285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215,699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164,576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Restricted marketable securities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5,518</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25,397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15,529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3,033</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10,850</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9,006</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383,330</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320,207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23,623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72,792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75,986</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5,235</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5,833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488,174</w:t>
            </w:r>
          </w:p>
        </w:tc>
        <w:tc>
          <w:tcPr>
            <w:tcW w:w="52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479,555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90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right w:val="single" w:sz="8" w:color="808080"/>
            </w:tcBorders>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640" w:type="dxa"/>
            <w:vAlign w:val="bottom"/>
            <w:tcBorders>
              <w:right w:val="single" w:sz="8" w:color="808080"/>
            </w:tcBorders>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9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15,743</w:t>
            </w:r>
          </w:p>
        </w:tc>
        <w:tc>
          <w:tcPr>
            <w:tcW w:w="5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18,933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Deferred revenue, current portion</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21,629</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40,173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Loan payable to Novartis Pharma AG</w:t>
            </w:r>
          </w:p>
        </w:tc>
        <w:tc>
          <w:tcPr>
            <w:tcW w:w="440" w:type="dxa"/>
            <w:vAlign w:val="bottom"/>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13,817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37,372</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60,598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liabilities</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298,044</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341,912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44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2,365,873 shares issued and outstanding in 2004 and 2003</w:t>
            </w:r>
          </w:p>
        </w:tc>
        <w:tc>
          <w:tcPr>
            <w:tcW w:w="44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00" w:type="dxa"/>
            <w:vAlign w:val="bottom"/>
          </w:tcPr>
          <w:p>
            <w:pPr>
              <w:ind w:left="14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53,315,181 shares issued and outstanding in 2004</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53,165,635 shares issued and outstanding in 2003</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Additional paid-in capital</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674,505</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673,118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Unearned compensation</w:t>
            </w:r>
          </w:p>
        </w:tc>
        <w:tc>
          <w:tcPr>
            <w:tcW w:w="4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(2,669)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Accumulated deficit</w:t>
            </w: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5"/>
              </w:rPr>
              <w:t>(481,550)</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(531,533)</w:t>
            </w:r>
          </w:p>
        </w:tc>
        <w:tc>
          <w:tcPr>
            <w:tcW w:w="0" w:type="dxa"/>
            <w:vAlign w:val="bottom"/>
          </w:tcPr>
          <w:p>
            <w:pPr>
              <w:spacing w:after="0"/>
              <w:rPr>
                <w:sz w:val="1"/>
                <w:szCs w:val="1"/>
                <w:color w:val="auto"/>
              </w:rPr>
            </w:pP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2"/>
              </w:rPr>
              <w:t>190,130</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137,643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2"/>
              </w:rPr>
              <w:t>488,174</w:t>
            </w:r>
          </w:p>
        </w:tc>
        <w:tc>
          <w:tcPr>
            <w:tcW w:w="5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2"/>
              </w:rPr>
              <w:t>479,555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79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Contract research and development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$ 27,146</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8,150</w:t>
            </w:r>
          </w:p>
        </w:tc>
        <w:tc>
          <w:tcPr>
            <w:tcW w:w="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68,756</w:t>
            </w: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$ 17,363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progress payments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17,770</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758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3,882</w:t>
            </w: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1,470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28,418</w:t>
            </w:r>
          </w:p>
        </w:tc>
        <w:tc>
          <w:tcPr>
            <w:tcW w:w="5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8,908</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90,408</w:t>
            </w:r>
          </w:p>
        </w:tc>
        <w:tc>
          <w:tcPr>
            <w:tcW w:w="3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18,833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36,297</w:t>
            </w:r>
          </w:p>
        </w:tc>
        <w:tc>
          <w:tcPr>
            <w:tcW w:w="5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33,717</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68,478</w:t>
            </w:r>
          </w:p>
        </w:tc>
        <w:tc>
          <w:tcPr>
            <w:tcW w:w="3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68,107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2,754</w:t>
            </w: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4,235</w:t>
            </w:r>
          </w:p>
        </w:tc>
        <w:tc>
          <w:tcPr>
            <w:tcW w:w="5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3,488</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8,025</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6,947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41,061</w:t>
            </w:r>
          </w:p>
        </w:tc>
        <w:tc>
          <w:tcPr>
            <w:tcW w:w="5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37,464</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79,257</w:t>
            </w:r>
          </w:p>
        </w:tc>
        <w:tc>
          <w:tcPr>
            <w:tcW w:w="3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75,979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5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(12,643)</w:t>
            </w:r>
          </w:p>
        </w:tc>
        <w:tc>
          <w:tcPr>
            <w:tcW w:w="18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(28,556)</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11,151</w:t>
            </w:r>
          </w:p>
        </w:tc>
        <w:tc>
          <w:tcPr>
            <w:tcW w:w="320" w:type="dxa"/>
            <w:vAlign w:val="bottom"/>
            <w:shd w:val="clear" w:color="auto" w:fill="EEEEEE"/>
          </w:tcPr>
          <w:p>
            <w:pPr>
              <w:spacing w:after="0"/>
              <w:rPr>
                <w:sz w:val="18"/>
                <w:szCs w:val="18"/>
                <w:color w:val="auto"/>
              </w:rPr>
            </w:pPr>
          </w:p>
        </w:tc>
        <w:tc>
          <w:tcPr>
            <w:tcW w:w="184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(57,146)</w:t>
            </w: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contract income</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42,750</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1,101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2,309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(3,011)</w:t>
            </w:r>
          </w:p>
        </w:tc>
        <w:tc>
          <w:tcPr>
            <w:tcW w:w="18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(2,905)</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(6,147)</w:t>
            </w:r>
          </w:p>
        </w:tc>
        <w:tc>
          <w:tcPr>
            <w:tcW w:w="184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(1,906)</w:t>
            </w:r>
          </w:p>
        </w:tc>
        <w:tc>
          <w:tcPr>
            <w:tcW w:w="1820" w:type="dxa"/>
            <w:vAlign w:val="bottom"/>
            <w:gridSpan w:val="4"/>
          </w:tcPr>
          <w:p>
            <w:pPr>
              <w:jc w:val="right"/>
              <w:ind w:right="460"/>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38,832</w:t>
            </w:r>
          </w:p>
        </w:tc>
        <w:tc>
          <w:tcPr>
            <w:tcW w:w="320" w:type="dxa"/>
            <w:vAlign w:val="bottom"/>
          </w:tcPr>
          <w:p>
            <w:pPr>
              <w:spacing w:after="0"/>
              <w:rPr>
                <w:sz w:val="20"/>
                <w:szCs w:val="20"/>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($ 14,549)</w:t>
            </w:r>
          </w:p>
        </w:tc>
        <w:tc>
          <w:tcPr>
            <w:tcW w:w="18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($ 30,360)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49,983</w:t>
            </w:r>
          </w:p>
        </w:tc>
        <w:tc>
          <w:tcPr>
            <w:tcW w:w="320" w:type="dxa"/>
            <w:vAlign w:val="bottom"/>
            <w:shd w:val="clear" w:color="auto" w:fill="EEEEEE"/>
          </w:tcPr>
          <w:p>
            <w:pPr>
              <w:spacing w:after="0"/>
              <w:rPr>
                <w:sz w:val="18"/>
                <w:szCs w:val="18"/>
                <w:color w:val="auto"/>
              </w:rPr>
            </w:pPr>
          </w:p>
        </w:tc>
        <w:tc>
          <w:tcPr>
            <w:tcW w:w="184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($ 60,681)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80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20" w:type="dxa"/>
            <w:vAlign w:val="bottom"/>
            <w:tcBorders>
              <w:right w:val="single" w:sz="8" w:color="808080"/>
            </w:tcBorders>
            <w:shd w:val="clear" w:color="auto" w:fill="EEEEEE"/>
          </w:tcPr>
          <w:p>
            <w:pPr>
              <w:spacing w:after="0"/>
              <w:rPr>
                <w:sz w:val="3"/>
                <w:szCs w:val="3"/>
                <w:color w:val="auto"/>
              </w:rPr>
            </w:pPr>
          </w:p>
        </w:tc>
        <w:tc>
          <w:tcPr>
            <w:tcW w:w="56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15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($0.26)</w:t>
            </w:r>
          </w:p>
        </w:tc>
        <w:tc>
          <w:tcPr>
            <w:tcW w:w="18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($0.61)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320" w:type="dxa"/>
            <w:vAlign w:val="bottom"/>
            <w:shd w:val="clear" w:color="auto" w:fill="EEEEEE"/>
          </w:tcPr>
          <w:p>
            <w:pPr>
              <w:spacing w:after="0"/>
              <w:rPr>
                <w:sz w:val="18"/>
                <w:szCs w:val="18"/>
                <w:color w:val="auto"/>
              </w:rPr>
            </w:pPr>
          </w:p>
        </w:tc>
        <w:tc>
          <w:tcPr>
            <w:tcW w:w="184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($0.26)</w:t>
            </w:r>
          </w:p>
        </w:tc>
        <w:tc>
          <w:tcPr>
            <w:tcW w:w="1820" w:type="dxa"/>
            <w:vAlign w:val="bottom"/>
            <w:gridSpan w:val="4"/>
          </w:tcPr>
          <w:p>
            <w:pPr>
              <w:jc w:val="right"/>
              <w:ind w:right="460"/>
              <w:spacing w:after="0"/>
              <w:rPr>
                <w:sz w:val="20"/>
                <w:szCs w:val="20"/>
                <w:color w:val="auto"/>
              </w:rPr>
            </w:pPr>
            <w:r>
              <w:rPr>
                <w:rFonts w:ascii="Arial" w:cs="Arial" w:eastAsia="Arial" w:hAnsi="Arial"/>
                <w:sz w:val="18"/>
                <w:szCs w:val="18"/>
                <w:color w:val="auto"/>
              </w:rPr>
              <w:t>($0.61)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0.88</w:t>
            </w:r>
          </w:p>
        </w:tc>
        <w:tc>
          <w:tcPr>
            <w:tcW w:w="320" w:type="dxa"/>
            <w:vAlign w:val="bottom"/>
          </w:tcPr>
          <w:p>
            <w:pPr>
              <w:spacing w:after="0"/>
              <w:rPr>
                <w:sz w:val="18"/>
                <w:szCs w:val="18"/>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55,383</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49,566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55,333</w:t>
            </w: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46,937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55,383</w:t>
            </w:r>
          </w:p>
        </w:tc>
        <w:tc>
          <w:tcPr>
            <w:tcW w:w="5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49,566</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63,209</w:t>
            </w:r>
          </w:p>
        </w:tc>
        <w:tc>
          <w:tcPr>
            <w:tcW w:w="3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46,937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ind w:right="5500"/>
        <w:spacing w:after="0" w:line="275" w:lineRule="auto"/>
        <w:rPr>
          <w:sz w:val="20"/>
          <w:szCs w:val="20"/>
          <w:color w:val="auto"/>
        </w:rPr>
      </w:pPr>
      <w:r>
        <w:rPr>
          <w:rFonts w:ascii="Arial" w:cs="Arial" w:eastAsia="Arial" w:hAnsi="Arial"/>
          <w:sz w:val="18"/>
          <w:szCs w:val="18"/>
          <w:b w:val="1"/>
          <w:bCs w:val="1"/>
          <w:color w:val="auto"/>
        </w:rPr>
        <w:t xml:space="preserve">CONDENSED STATEMENT OF STOCKHOLDERS’ EQUITY (Unaudited) For the six months ended June 30, 2004 </w:t>
      </w: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rPr>
              <w:t>Class A Stock</w:t>
            </w:r>
          </w:p>
        </w:tc>
        <w:tc>
          <w:tcPr>
            <w:tcW w:w="100" w:type="dxa"/>
            <w:vAlign w:val="bottom"/>
          </w:tcPr>
          <w:p>
            <w:pPr>
              <w:spacing w:after="0"/>
              <w:rPr>
                <w:sz w:val="14"/>
                <w:szCs w:val="14"/>
                <w:color w:val="auto"/>
              </w:rPr>
            </w:pPr>
          </w:p>
        </w:tc>
        <w:tc>
          <w:tcPr>
            <w:tcW w:w="1240" w:type="dxa"/>
            <w:vAlign w:val="bottom"/>
            <w:gridSpan w:val="7"/>
          </w:tcPr>
          <w:p>
            <w:pPr>
              <w:ind w:left="2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vMerge w:val="restart"/>
          </w:tcPr>
          <w:p>
            <w:pPr>
              <w:spacing w:after="0"/>
              <w:rPr>
                <w:sz w:val="6"/>
                <w:szCs w:val="6"/>
                <w:color w:val="auto"/>
              </w:rPr>
            </w:pPr>
          </w:p>
        </w:tc>
        <w:tc>
          <w:tcPr>
            <w:tcW w:w="108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6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4"/>
                <w:szCs w:val="4"/>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2003</w:t>
            </w:r>
          </w:p>
        </w:tc>
        <w:tc>
          <w:tcPr>
            <w:tcW w:w="460" w:type="dxa"/>
            <w:vAlign w:val="bottom"/>
            <w:gridSpan w:val="2"/>
            <w:shd w:val="clear" w:color="auto" w:fill="EEEEEE"/>
          </w:tcPr>
          <w:p>
            <w:pPr>
              <w:jc w:val="center"/>
              <w:ind w:left="68"/>
              <w:spacing w:after="0" w:line="149" w:lineRule="exact"/>
              <w:rPr>
                <w:sz w:val="20"/>
                <w:szCs w:val="20"/>
                <w:color w:val="auto"/>
              </w:rPr>
            </w:pPr>
            <w:r>
              <w:rPr>
                <w:rFonts w:ascii="Arial" w:cs="Arial" w:eastAsia="Arial" w:hAnsi="Arial"/>
                <w:sz w:val="14"/>
                <w:szCs w:val="14"/>
                <w:color w:val="auto"/>
                <w:w w:val="91"/>
              </w:rPr>
              <w:t>2,366</w:t>
            </w:r>
          </w:p>
        </w:tc>
        <w:tc>
          <w:tcPr>
            <w:tcW w:w="14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53,166</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$ 53</w:t>
            </w: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$ 673,118</w:t>
            </w:r>
          </w:p>
        </w:tc>
        <w:tc>
          <w:tcPr>
            <w:tcW w:w="22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($ 4,101)</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 exercise of stock options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Forfeitures of restricted Common Stock under Long-Term Incentive Plan, net of issuances</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2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(133)</w:t>
            </w:r>
          </w:p>
        </w:tc>
        <w:tc>
          <w:tcPr>
            <w:tcW w:w="78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 Company 401(k) Savings Plan contribution</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8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1,299</w:t>
            </w: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(loss) on marketable securities</w:t>
            </w:r>
          </w:p>
        </w:tc>
        <w:tc>
          <w:tcPr>
            <w:tcW w:w="140" w:type="dxa"/>
            <w:vAlign w:val="bottom"/>
            <w:shd w:val="clear" w:color="auto" w:fill="EEEEEE"/>
          </w:tcPr>
          <w:p>
            <w:pPr>
              <w:spacing w:after="0"/>
              <w:rPr>
                <w:sz w:val="12"/>
                <w:szCs w:val="12"/>
                <w:color w:val="auto"/>
              </w:rPr>
            </w:pPr>
          </w:p>
        </w:tc>
        <w:tc>
          <w:tcPr>
            <w:tcW w:w="320" w:type="dxa"/>
            <w:vAlign w:val="bottom"/>
            <w:tcBorders>
              <w:bottom w:val="single" w:sz="8" w:color="808080"/>
            </w:tcBorders>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tcBorders>
              <w:bottom w:val="single" w:sz="8" w:color="808080"/>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tcBorders>
              <w:bottom w:val="single" w:sz="8" w:color="808080"/>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tcBorders>
              <w:bottom w:val="single" w:sz="8" w:color="808080"/>
            </w:tcBorders>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00" w:type="dxa"/>
            <w:vAlign w:val="bottom"/>
            <w:tcBorders>
              <w:bottom w:val="single" w:sz="8" w:color="808080"/>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40" w:type="dxa"/>
            <w:vAlign w:val="bottom"/>
            <w:tcBorders>
              <w:bottom w:val="single" w:sz="8" w:color="808080"/>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Balance, June 30, 2004</w:t>
            </w:r>
          </w:p>
        </w:tc>
        <w:tc>
          <w:tcPr>
            <w:tcW w:w="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2,366</w:t>
            </w:r>
          </w:p>
        </w:tc>
        <w:tc>
          <w:tcPr>
            <w:tcW w:w="1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53,315</w:t>
            </w:r>
          </w:p>
        </w:tc>
        <w:tc>
          <w:tcPr>
            <w:tcW w:w="1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$ 53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$ 674,505</w:t>
            </w:r>
          </w:p>
        </w:tc>
        <w:tc>
          <w:tcPr>
            <w:tcW w:w="220" w:type="dxa"/>
            <w:vAlign w:val="bottom"/>
          </w:tcPr>
          <w:p>
            <w:pPr>
              <w:spacing w:after="0"/>
              <w:rPr>
                <w:sz w:val="14"/>
                <w:szCs w:val="14"/>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-38100</wp:posOffset>
            </wp:positionV>
            <wp:extent cx="10731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-38100</wp:posOffset>
            </wp:positionV>
            <wp:extent cx="10731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315" cy="3873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2003</w:t>
            </w:r>
          </w:p>
        </w:tc>
        <w:tc>
          <w:tcPr>
            <w:tcW w:w="1000" w:type="dxa"/>
            <w:vAlign w:val="bottom"/>
            <w:gridSpan w:val="3"/>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($ 531,533)</w:t>
            </w: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104</w:t>
            </w: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$ 137,643</w:t>
            </w: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 exercise of stock options</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Forfeitures of restricted Common Stock under Long-Term Incentive Plan, net of issuances</w:t>
            </w:r>
          </w:p>
        </w:tc>
        <w:tc>
          <w:tcPr>
            <w:tcW w:w="26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 Company 401(k) Savings Plan contribution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26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1,299</w:t>
            </w: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49,983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49,983</w:t>
            </w:r>
          </w:p>
        </w:tc>
        <w:tc>
          <w:tcPr>
            <w:tcW w:w="30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$ 49,983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(loss) on marketable securities</w:t>
            </w:r>
          </w:p>
        </w:tc>
        <w:tc>
          <w:tcPr>
            <w:tcW w:w="26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60" w:type="dxa"/>
            <w:vAlign w:val="bottom"/>
            <w:gridSpan w:val="2"/>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(315)</w:t>
            </w: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(315)</w:t>
            </w:r>
          </w:p>
        </w:tc>
        <w:tc>
          <w:tcPr>
            <w:tcW w:w="118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80" w:type="dxa"/>
            <w:vAlign w:val="bottom"/>
          </w:tcPr>
          <w:p>
            <w:pPr>
              <w:ind w:left="120"/>
              <w:spacing w:after="0"/>
              <w:rPr>
                <w:sz w:val="20"/>
                <w:szCs w:val="20"/>
                <w:color w:val="auto"/>
              </w:rPr>
            </w:pPr>
            <w:r>
              <w:rPr>
                <w:rFonts w:ascii="Arial" w:cs="Arial" w:eastAsia="Arial" w:hAnsi="Arial"/>
                <w:sz w:val="14"/>
                <w:szCs w:val="14"/>
                <w:color w:val="auto"/>
              </w:rPr>
              <w:t>Balance, June 30, 2004</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($481,550)</w:t>
            </w:r>
          </w:p>
        </w:tc>
        <w:tc>
          <w:tcPr>
            <w:tcW w:w="1120" w:type="dxa"/>
            <w:vAlign w:val="bottom"/>
            <w:gridSpan w:val="4"/>
          </w:tcPr>
          <w:p>
            <w:pPr>
              <w:jc w:val="right"/>
              <w:ind w:right="260"/>
              <w:spacing w:after="0"/>
              <w:rPr>
                <w:sz w:val="20"/>
                <w:szCs w:val="20"/>
                <w:color w:val="auto"/>
              </w:rPr>
            </w:pPr>
            <w:r>
              <w:rPr>
                <w:rFonts w:ascii="Arial" w:cs="Arial" w:eastAsia="Arial" w:hAnsi="Arial"/>
                <w:sz w:val="14"/>
                <w:szCs w:val="14"/>
                <w:color w:val="auto"/>
              </w:rPr>
              <w:t>($211)</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$ 190,130</w:t>
            </w:r>
          </w:p>
        </w:tc>
        <w:tc>
          <w:tcPr>
            <w:tcW w:w="3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$ 49,668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9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9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49,983</w:t>
            </w:r>
          </w:p>
        </w:tc>
        <w:tc>
          <w:tcPr>
            <w:tcW w:w="5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60,681)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7,570</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Non-cash compensation expense</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1,299</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Non-cash expense related to a license agreement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Forgiveness of loan payable to Novartis Pharma AG, inclusive of accrued interest</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5"/>
              </w:rPr>
              <w:t>(17,770)</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accounts receivable</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(9,868)</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00"/>
              <w:spacing w:after="0"/>
              <w:rPr>
                <w:sz w:val="20"/>
                <w:szCs w:val="20"/>
                <w:color w:val="auto"/>
              </w:rPr>
            </w:pPr>
            <w:r>
              <w:rPr>
                <w:rFonts w:ascii="Arial" w:cs="Arial" w:eastAsia="Arial" w:hAnsi="Arial"/>
                <w:sz w:val="18"/>
                <w:szCs w:val="18"/>
                <w:color w:val="auto"/>
              </w:rPr>
              <w:t>(Increase) decrease in prepaid expenses and other assets</w:t>
            </w:r>
          </w:p>
        </w:tc>
        <w:tc>
          <w:tcPr>
            <w:tcW w:w="4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(1,708)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inventory</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(1,260)</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00"/>
              <w:spacing w:after="0"/>
              <w:rPr>
                <w:sz w:val="20"/>
                <w:szCs w:val="20"/>
                <w:color w:val="auto"/>
              </w:rPr>
            </w:pPr>
            <w:r>
              <w:rPr>
                <w:rFonts w:ascii="Arial" w:cs="Arial" w:eastAsia="Arial" w:hAnsi="Arial"/>
                <w:sz w:val="18"/>
                <w:szCs w:val="18"/>
                <w:color w:val="auto"/>
              </w:rPr>
              <w:t>(Decrease) increase in deferred revenue</w:t>
            </w:r>
          </w:p>
        </w:tc>
        <w:tc>
          <w:tcPr>
            <w:tcW w:w="4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(26,776)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Total adjustments</w:t>
            </w:r>
          </w:p>
        </w:tc>
        <w:tc>
          <w:tcPr>
            <w:tcW w:w="4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(51,107)</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21,167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(1,124)</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2"/>
              </w:rPr>
              <w:t>(39,514)</w:t>
            </w:r>
          </w:p>
        </w:tc>
        <w:tc>
          <w:tcPr>
            <w:tcW w:w="0" w:type="dxa"/>
            <w:vAlign w:val="bottom"/>
          </w:tcPr>
          <w:p>
            <w:pPr>
              <w:spacing w:after="0"/>
              <w:rPr>
                <w:sz w:val="1"/>
                <w:szCs w:val="1"/>
                <w:color w:val="auto"/>
              </w:rPr>
            </w:pPr>
          </w:p>
        </w:tc>
      </w:tr>
      <w:tr>
        <w:trPr>
          <w:trHeight w:val="237"/>
        </w:trPr>
        <w:tc>
          <w:tcPr>
            <w:tcW w:w="7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5"/>
              </w:rPr>
              <w:t>(87,669)</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2"/>
              </w:rPr>
              <w:t>(82,273)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Purchases of restricted marketable securities</w:t>
            </w:r>
          </w:p>
        </w:tc>
        <w:tc>
          <w:tcPr>
            <w:tcW w:w="4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(5,538)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or maturities of marketable securities</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85,944</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136,781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Maturities of restricted marketable securities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11,038</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(2,533)</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2"/>
              </w:rPr>
              <w:t>(24,985)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42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1,242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35,023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Net proceeds from the issuance of stock</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Borrowings under loan payable</w:t>
            </w: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3,827</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Capital lease payments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4,430</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54,073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4,548</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49,582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118,285</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122,833</w:t>
            </w:r>
          </w:p>
        </w:tc>
        <w:tc>
          <w:tcPr>
            <w:tcW w:w="5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129,659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29" w:lineRule="exact"/>
        <w:rPr>
          <w:rFonts w:ascii="Arial" w:cs="Arial" w:eastAsia="Arial" w:hAnsi="Arial"/>
          <w:sz w:val="18"/>
          <w:szCs w:val="18"/>
          <w:b w:val="1"/>
          <w:bCs w:val="1"/>
          <w:color w:val="auto"/>
        </w:rPr>
      </w:pPr>
    </w:p>
    <w:p>
      <w:pPr>
        <w:ind w:lef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2003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2003.</w:t>
      </w:r>
    </w:p>
    <w:p>
      <w:pPr>
        <w:spacing w:after="0" w:line="19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29" w:lineRule="exact"/>
        <w:rPr>
          <w:rFonts w:ascii="Arial" w:cs="Arial" w:eastAsia="Arial" w:hAnsi="Arial"/>
          <w:sz w:val="18"/>
          <w:szCs w:val="18"/>
          <w:b w:val="1"/>
          <w:bCs w:val="1"/>
          <w:color w:val="auto"/>
        </w:rPr>
      </w:pPr>
    </w:p>
    <w:p>
      <w:pPr>
        <w:ind w:left="260" w:right="1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w:t>
      </w:r>
    </w:p>
    <w:p>
      <w:pPr>
        <w:spacing w:after="0" w:line="1" w:lineRule="exact"/>
        <w:rPr>
          <w:rFonts w:ascii="Arial" w:cs="Arial" w:eastAsia="Arial" w:hAnsi="Arial"/>
          <w:sz w:val="18"/>
          <w:szCs w:val="18"/>
          <w:b w:val="1"/>
          <w:bCs w:val="1"/>
          <w:color w:val="auto"/>
        </w:rPr>
      </w:pPr>
    </w:p>
    <w:p>
      <w:pPr>
        <w:ind w:left="26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(ii) Common Stock to be issued under the assumed conversion of the Company’s outstanding convertible senior subordinated notes, which are included under the if-converted method when dilutive. For the three months ended June 30, 2004 and the three and six months ended June 30, 2003, the Company reported a net loss and, therefore, no common stock equivalents were included in the computation of diluted net loss per share, since such inclusion would have been antidilutive. The calculations of basic and diluted net income (loss) per share are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19"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57785</wp:posOffset>
            </wp:positionV>
            <wp:extent cx="1689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30" w:lineRule="exact"/>
        <w:rPr>
          <w:sz w:val="20"/>
          <w:szCs w:val="20"/>
          <w:color w:val="auto"/>
        </w:rPr>
      </w:pPr>
    </w:p>
    <w:p>
      <w:pPr>
        <w:ind w:left="7680"/>
        <w:spacing w:after="0"/>
        <w:tabs>
          <w:tab w:leader="none" w:pos="920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57785</wp:posOffset>
            </wp:positionV>
            <wp:extent cx="1689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Net loss (Numerator):</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14,549)</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5"/>
              </w:rPr>
              <w:t>30,360)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55,383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49,566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0.26)</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80"/>
        </w:trPr>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58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8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Income (loss) (Numerator):</w:t>
            </w:r>
          </w:p>
        </w:tc>
        <w:tc>
          <w:tcPr>
            <w:tcW w:w="2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Net income (loss) for basic per share calculations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49,983</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60,681)</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Adjustment for interest expense on Convertible Notes</w:t>
            </w:r>
          </w:p>
        </w:tc>
        <w:tc>
          <w:tcPr>
            <w:tcW w:w="2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tcPr>
          <w:p>
            <w:pPr>
              <w:ind w:left="260"/>
              <w:spacing w:after="0"/>
              <w:rPr>
                <w:sz w:val="20"/>
                <w:szCs w:val="20"/>
                <w:color w:val="auto"/>
              </w:rPr>
            </w:pPr>
            <w:r>
              <w:rPr>
                <w:rFonts w:ascii="Arial" w:cs="Arial" w:eastAsia="Arial" w:hAnsi="Arial"/>
                <w:sz w:val="18"/>
                <w:szCs w:val="18"/>
                <w:color w:val="auto"/>
              </w:rPr>
              <w:t>Adjusted net income (loss) for diluted per share calculations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55,483</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75"/>
              </w:rPr>
              <w:t>60,681)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588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20" w:type="dxa"/>
            <w:vAlign w:val="bottom"/>
            <w:tcBorders>
              <w:right w:val="single" w:sz="8" w:color="808080"/>
            </w:tcBorders>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Shares, in thousands (Denominator):</w:t>
            </w:r>
          </w:p>
        </w:tc>
        <w:tc>
          <w:tcPr>
            <w:tcW w:w="260" w:type="dxa"/>
            <w:vAlign w:val="bottom"/>
            <w:tcBorders>
              <w:right w:val="single" w:sz="8" w:color="EEEEEE"/>
            </w:tcBorders>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Weighted-average shares for basic per share calculations</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55,333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46,937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Effect of stock options</w:t>
            </w:r>
          </w:p>
        </w:tc>
        <w:tc>
          <w:tcPr>
            <w:tcW w:w="2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Effect of restricted stock awards</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Effect of convertible notes</w:t>
            </w:r>
          </w:p>
        </w:tc>
        <w:tc>
          <w:tcPr>
            <w:tcW w:w="2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6,611</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6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63,209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46,937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588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20" w:type="dxa"/>
            <w:vAlign w:val="bottom"/>
            <w:tcBorders>
              <w:right w:val="single" w:sz="8" w:color="808080"/>
            </w:tcBorders>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EEEEEE"/>
          </w:tcPr>
          <w:p>
            <w:pPr>
              <w:spacing w:after="0"/>
              <w:rPr>
                <w:sz w:val="19"/>
                <w:szCs w:val="19"/>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June 30, 2004 and 2003 diluted per share amounts because their effect would have been antidilutive, include the following:</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ind w:right="277"/>
              <w:spacing w:after="0"/>
              <w:rPr>
                <w:sz w:val="20"/>
                <w:szCs w:val="20"/>
                <w:color w:val="auto"/>
              </w:rPr>
            </w:pPr>
            <w:r>
              <w:rPr>
                <w:rFonts w:ascii="Arial" w:cs="Arial" w:eastAsia="Arial" w:hAnsi="Arial"/>
                <w:sz w:val="18"/>
                <w:szCs w:val="18"/>
                <w:color w:val="auto"/>
                <w:w w:val="87"/>
              </w:rPr>
              <w:t>13,122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w w:val="87"/>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exercise price</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20.33</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282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Convertible Debt: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6,611</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Conversion price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7"/>
              <w:spacing w:after="0"/>
              <w:rPr>
                <w:sz w:val="20"/>
                <w:szCs w:val="20"/>
                <w:color w:val="auto"/>
              </w:rPr>
            </w:pPr>
            <w:r>
              <w:rPr>
                <w:rFonts w:ascii="Arial" w:cs="Arial" w:eastAsia="Arial" w:hAnsi="Arial"/>
                <w:sz w:val="18"/>
                <w:szCs w:val="18"/>
                <w:color w:val="auto"/>
              </w:rPr>
              <w:t>30.25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7,515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w w:val="87"/>
              </w:rPr>
              <w:t>11,433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exercise price</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rPr>
              <w:t>$27.75</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Convertible Debt: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Conversion price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preceding tables reflect an additional 25,000 stock options granted in December 2003 that were omitted from prior disclosures.</w:t>
      </w:r>
    </w:p>
    <w:p>
      <w:pPr>
        <w:spacing w:after="0" w:line="2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Employee Compensation</w:t>
      </w:r>
    </w:p>
    <w:p>
      <w:pPr>
        <w:spacing w:after="0" w:line="229" w:lineRule="exact"/>
        <w:rPr>
          <w:rFonts w:ascii="Arial" w:cs="Arial" w:eastAsia="Arial" w:hAnsi="Arial"/>
          <w:sz w:val="18"/>
          <w:szCs w:val="18"/>
          <w:b w:val="1"/>
          <w:bCs w:val="1"/>
          <w:color w:val="auto"/>
        </w:rPr>
      </w:pPr>
    </w:p>
    <w:p>
      <w:pPr>
        <w:ind w:left="2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financial position and results of operations of the Company have been prepared in accordance with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p>
    <w:p>
      <w:pPr>
        <w:spacing w:after="0" w:line="170"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color w:val="auto"/>
        </w:rPr>
        <w:t xml:space="preserve">The following tables illustrate the effect on the Company’s net loss and net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Arial" w:cs="Arial" w:eastAsia="Arial" w:hAnsi="Arial"/>
          <w:sz w:val="18"/>
          <w:szCs w:val="18"/>
          <w:i w:val="1"/>
          <w:iCs w:val="1"/>
          <w:color w:val="auto"/>
        </w:rPr>
        <w:t>Accounting for Stock-Based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14,549)</w:t>
            </w: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30,360)</w:t>
            </w:r>
          </w:p>
        </w:tc>
        <w:tc>
          <w:tcPr>
            <w:tcW w:w="0" w:type="dxa"/>
            <w:vAlign w:val="bottom"/>
          </w:tcPr>
          <w:p>
            <w:pPr>
              <w:spacing w:after="0"/>
              <w:rPr>
                <w:sz w:val="1"/>
                <w:szCs w:val="1"/>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reported net loss</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440" w:type="dxa"/>
            <w:vAlign w:val="bottom"/>
            <w:tcBorders>
              <w:right w:val="single" w:sz="8" w:color="EEEEEE"/>
            </w:tcBorders>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determined under fair value based method for all awards</w:t>
            </w:r>
          </w:p>
        </w:tc>
        <w:tc>
          <w:tcPr>
            <w:tcW w:w="44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(9,212)</w:t>
            </w:r>
          </w:p>
        </w:tc>
        <w:tc>
          <w:tcPr>
            <w:tcW w:w="4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(10,997)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Pro forma net loss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5"/>
              </w:rPr>
              <w:t>23,133)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5"/>
              </w:rPr>
              <w:t>40,812)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5380" w:type="dxa"/>
            <w:vAlign w:val="bottom"/>
          </w:tcPr>
          <w:p>
            <w:pPr>
              <w:spacing w:after="0"/>
              <w:rPr>
                <w:sz w:val="6"/>
                <w:szCs w:val="6"/>
                <w:color w:val="auto"/>
              </w:rPr>
            </w:pPr>
          </w:p>
        </w:tc>
        <w:tc>
          <w:tcPr>
            <w:tcW w:w="44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44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 forma</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0.42)</w:t>
            </w: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380"/>
        </w:trPr>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49,983</w:t>
            </w:r>
          </w:p>
        </w:tc>
        <w:tc>
          <w:tcPr>
            <w:tcW w:w="3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60,681)</w:t>
            </w:r>
          </w:p>
        </w:tc>
        <w:tc>
          <w:tcPr>
            <w:tcW w:w="0" w:type="dxa"/>
            <w:vAlign w:val="bottom"/>
          </w:tcPr>
          <w:p>
            <w:pPr>
              <w:spacing w:after="0"/>
              <w:rPr>
                <w:sz w:val="1"/>
                <w:szCs w:val="1"/>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reported net loss</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1,299</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440" w:type="dxa"/>
            <w:vAlign w:val="bottom"/>
            <w:tcBorders>
              <w:right w:val="single" w:sz="8" w:color="EEEEEE"/>
            </w:tcBorders>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determined under fair value based method for all awards</w:t>
            </w:r>
          </w:p>
        </w:tc>
        <w:tc>
          <w:tcPr>
            <w:tcW w:w="44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(18,809)</w:t>
            </w:r>
          </w:p>
        </w:tc>
        <w:tc>
          <w:tcPr>
            <w:tcW w:w="4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(22,582)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Pro forma net income (loss), basic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32,473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82,131)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5380" w:type="dxa"/>
            <w:vAlign w:val="bottom"/>
          </w:tcPr>
          <w:p>
            <w:pPr>
              <w:spacing w:after="0"/>
              <w:rPr>
                <w:sz w:val="6"/>
                <w:szCs w:val="6"/>
                <w:color w:val="auto"/>
              </w:rPr>
            </w:pPr>
          </w:p>
        </w:tc>
        <w:tc>
          <w:tcPr>
            <w:tcW w:w="44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 diluted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37,973</w:t>
            </w:r>
          </w:p>
        </w:tc>
        <w:tc>
          <w:tcPr>
            <w:tcW w:w="380" w:type="dxa"/>
            <w:vAlign w:val="bottom"/>
            <w:shd w:val="clear" w:color="auto" w:fill="EEEEEE"/>
          </w:tcPr>
          <w:p>
            <w:pPr>
              <w:spacing w:after="0"/>
              <w:rPr>
                <w:sz w:val="19"/>
                <w:szCs w:val="19"/>
                <w:color w:val="auto"/>
              </w:rPr>
            </w:pP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82,131)</w:t>
            </w:r>
          </w:p>
        </w:tc>
        <w:tc>
          <w:tcPr>
            <w:tcW w:w="0" w:type="dxa"/>
            <w:vAlign w:val="bottom"/>
          </w:tcPr>
          <w:p>
            <w:pPr>
              <w:spacing w:after="0"/>
              <w:rPr>
                <w:sz w:val="1"/>
                <w:szCs w:val="1"/>
                <w:color w:val="auto"/>
              </w:rPr>
            </w:pPr>
          </w:p>
        </w:tc>
      </w:tr>
      <w:tr>
        <w:trPr>
          <w:trHeight w:val="71"/>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net income (loss) per share amounts:</w:t>
            </w:r>
          </w:p>
        </w:tc>
        <w:tc>
          <w:tcPr>
            <w:tcW w:w="44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3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 reported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3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 (loss) per share amounts:</w:t>
            </w: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0.88</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 forma</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0.60</w:t>
            </w:r>
          </w:p>
        </w:tc>
        <w:tc>
          <w:tcPr>
            <w:tcW w:w="3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preceding tables reflect an additional 25,000 stock options granted in December 2003 that were omitted from prior disclosures.</w:t>
      </w:r>
    </w:p>
    <w:p>
      <w:pPr>
        <w:spacing w:after="0" w:line="225"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For the purpose of the pro forma calculation, the fair value of each option granted from the Company’s stock-based incentive plans during the three and six months ended June 30, 2004 and 2003 was estimated on the date of grant using the Black-Scholes option-pricing model. The weighted-average fair value of the options granted during the three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220" w:right="100"/>
        <w:spacing w:after="0" w:line="264" w:lineRule="auto"/>
        <w:rPr>
          <w:sz w:val="20"/>
          <w:szCs w:val="20"/>
          <w:color w:val="auto"/>
        </w:rPr>
      </w:pPr>
      <w:r>
        <w:rPr>
          <w:rFonts w:ascii="Arial" w:cs="Arial" w:eastAsia="Arial" w:hAnsi="Arial"/>
          <w:sz w:val="18"/>
          <w:szCs w:val="18"/>
          <w:color w:val="auto"/>
        </w:rPr>
        <w:t>months ended June 30, 2004 and 2003 was $8.62 and $9.16, respectively. The weighted-average fair value of the options granted during the six months ended June 30, 2004 and 2003 was $10.30 and $13.91, respectively. The following tables summarize the assumptions used in computing the fair value of option grants.</w:t>
      </w:r>
    </w:p>
    <w:p>
      <w:pPr>
        <w:spacing w:after="0" w:line="389"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280" w:type="dxa"/>
            <w:vAlign w:val="bottom"/>
            <w:gridSpan w:val="3"/>
          </w:tcPr>
          <w:p>
            <w:pPr>
              <w:jc w:val="right"/>
              <w:ind w:right="115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2004</w:t>
            </w:r>
          </w:p>
        </w:tc>
        <w:tc>
          <w:tcPr>
            <w:tcW w:w="230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80%</w:t>
            </w:r>
          </w:p>
        </w:tc>
        <w:tc>
          <w:tcPr>
            <w:tcW w:w="2300" w:type="dxa"/>
            <w:vAlign w:val="bottom"/>
            <w:gridSpan w:val="2"/>
            <w:shd w:val="clear" w:color="auto" w:fill="EEEEEE"/>
          </w:tcPr>
          <w:p>
            <w:pPr>
              <w:jc w:val="right"/>
              <w:ind w:right="4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Expected lives</w:t>
            </w:r>
          </w:p>
        </w:tc>
        <w:tc>
          <w:tcPr>
            <w:tcW w:w="1980" w:type="dxa"/>
            <w:vAlign w:val="bottom"/>
          </w:tcPr>
          <w:p>
            <w:pPr>
              <w:jc w:val="right"/>
              <w:ind w:right="396"/>
              <w:spacing w:after="0"/>
              <w:rPr>
                <w:sz w:val="20"/>
                <w:szCs w:val="20"/>
                <w:color w:val="auto"/>
              </w:rPr>
            </w:pPr>
            <w:r>
              <w:rPr>
                <w:rFonts w:ascii="Arial" w:cs="Arial" w:eastAsia="Arial" w:hAnsi="Arial"/>
                <w:sz w:val="18"/>
                <w:szCs w:val="18"/>
                <w:color w:val="auto"/>
              </w:rPr>
              <w:t>5 years</w:t>
            </w:r>
          </w:p>
        </w:tc>
        <w:tc>
          <w:tcPr>
            <w:tcW w:w="280" w:type="dxa"/>
            <w:vAlign w:val="bottom"/>
          </w:tcPr>
          <w:p>
            <w:pPr>
              <w:spacing w:after="0"/>
              <w:rPr>
                <w:sz w:val="18"/>
                <w:szCs w:val="18"/>
                <w:color w:val="auto"/>
              </w:rPr>
            </w:pP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9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0%</w:t>
            </w:r>
          </w:p>
        </w:tc>
        <w:tc>
          <w:tcPr>
            <w:tcW w:w="2300" w:type="dxa"/>
            <w:vAlign w:val="bottom"/>
            <w:gridSpan w:val="2"/>
            <w:shd w:val="clear" w:color="auto" w:fill="EEEEEE"/>
          </w:tcPr>
          <w:p>
            <w:pPr>
              <w:jc w:val="right"/>
              <w:ind w:right="4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jc w:val="right"/>
              <w:ind w:right="416"/>
              <w:spacing w:after="0"/>
              <w:rPr>
                <w:sz w:val="20"/>
                <w:szCs w:val="20"/>
                <w:color w:val="auto"/>
              </w:rPr>
            </w:pPr>
            <w:r>
              <w:rPr>
                <w:rFonts w:ascii="Arial" w:cs="Arial" w:eastAsia="Arial" w:hAnsi="Arial"/>
                <w:sz w:val="18"/>
                <w:szCs w:val="18"/>
                <w:color w:val="auto"/>
              </w:rPr>
              <w:t>3.71%-4.40%</w:t>
            </w:r>
          </w:p>
        </w:tc>
        <w:tc>
          <w:tcPr>
            <w:tcW w:w="2300" w:type="dxa"/>
            <w:vAlign w:val="bottom"/>
            <w:gridSpan w:val="2"/>
          </w:tcPr>
          <w:p>
            <w:pPr>
              <w:jc w:val="right"/>
              <w:ind w:right="430"/>
              <w:spacing w:after="0"/>
              <w:rPr>
                <w:sz w:val="20"/>
                <w:szCs w:val="20"/>
                <w:color w:val="auto"/>
              </w:rPr>
            </w:pPr>
            <w:r>
              <w:rPr>
                <w:rFonts w:ascii="Arial" w:cs="Arial" w:eastAsia="Arial" w:hAnsi="Arial"/>
                <w:sz w:val="18"/>
                <w:szCs w:val="18"/>
                <w:color w:val="auto"/>
              </w:rPr>
              <w:t>3.01%-3.83%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80" w:type="dxa"/>
            <w:vAlign w:val="bottom"/>
            <w:gridSpan w:val="3"/>
          </w:tcPr>
          <w:p>
            <w:pPr>
              <w:jc w:val="right"/>
              <w:ind w:right="123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2004</w:t>
            </w:r>
          </w:p>
        </w:tc>
        <w:tc>
          <w:tcPr>
            <w:tcW w:w="230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3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20" w:type="dxa"/>
            <w:vAlign w:val="bottom"/>
          </w:tcPr>
          <w:p>
            <w:pPr>
              <w:spacing w:after="0"/>
              <w:rPr>
                <w:sz w:val="5"/>
                <w:szCs w:val="5"/>
                <w:color w:val="auto"/>
              </w:rPr>
            </w:pPr>
          </w:p>
        </w:tc>
        <w:tc>
          <w:tcPr>
            <w:tcW w:w="1980" w:type="dxa"/>
            <w:vAlign w:val="bottom"/>
            <w:tcBorders>
              <w:top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tcBorders>
              <w:top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80%</w:t>
            </w:r>
          </w:p>
        </w:tc>
        <w:tc>
          <w:tcPr>
            <w:tcW w:w="2300" w:type="dxa"/>
            <w:vAlign w:val="bottom"/>
            <w:gridSpan w:val="2"/>
            <w:shd w:val="clear" w:color="auto" w:fill="EEEEEE"/>
          </w:tcPr>
          <w:p>
            <w:pPr>
              <w:jc w:val="right"/>
              <w:ind w:right="4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Expected lives</w:t>
            </w:r>
          </w:p>
        </w:tc>
        <w:tc>
          <w:tcPr>
            <w:tcW w:w="1980" w:type="dxa"/>
            <w:vAlign w:val="bottom"/>
          </w:tcPr>
          <w:p>
            <w:pPr>
              <w:jc w:val="right"/>
              <w:ind w:right="396"/>
              <w:spacing w:after="0"/>
              <w:rPr>
                <w:sz w:val="20"/>
                <w:szCs w:val="20"/>
                <w:color w:val="auto"/>
              </w:rPr>
            </w:pPr>
            <w:r>
              <w:rPr>
                <w:rFonts w:ascii="Arial" w:cs="Arial" w:eastAsia="Arial" w:hAnsi="Arial"/>
                <w:sz w:val="18"/>
                <w:szCs w:val="18"/>
                <w:color w:val="auto"/>
              </w:rPr>
              <w:t>5 years</w:t>
            </w:r>
          </w:p>
        </w:tc>
        <w:tc>
          <w:tcPr>
            <w:tcW w:w="280" w:type="dxa"/>
            <w:vAlign w:val="bottom"/>
          </w:tcPr>
          <w:p>
            <w:pPr>
              <w:spacing w:after="0"/>
              <w:rPr>
                <w:sz w:val="18"/>
                <w:szCs w:val="18"/>
                <w:color w:val="auto"/>
              </w:rPr>
            </w:pP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9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0%</w:t>
            </w:r>
          </w:p>
        </w:tc>
        <w:tc>
          <w:tcPr>
            <w:tcW w:w="2300" w:type="dxa"/>
            <w:vAlign w:val="bottom"/>
            <w:gridSpan w:val="2"/>
            <w:shd w:val="clear" w:color="auto" w:fill="EEEEEE"/>
          </w:tcPr>
          <w:p>
            <w:pPr>
              <w:jc w:val="right"/>
              <w:ind w:right="4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jc w:val="right"/>
              <w:ind w:right="416"/>
              <w:spacing w:after="0"/>
              <w:rPr>
                <w:sz w:val="20"/>
                <w:szCs w:val="20"/>
                <w:color w:val="auto"/>
              </w:rPr>
            </w:pPr>
            <w:r>
              <w:rPr>
                <w:rFonts w:ascii="Arial" w:cs="Arial" w:eastAsia="Arial" w:hAnsi="Arial"/>
                <w:sz w:val="18"/>
                <w:szCs w:val="18"/>
                <w:color w:val="auto"/>
              </w:rPr>
              <w:t>3.38%-4.40%</w:t>
            </w:r>
          </w:p>
        </w:tc>
        <w:tc>
          <w:tcPr>
            <w:tcW w:w="2300" w:type="dxa"/>
            <w:vAlign w:val="bottom"/>
            <w:gridSpan w:val="2"/>
          </w:tcPr>
          <w:p>
            <w:pPr>
              <w:jc w:val="right"/>
              <w:ind w:right="430"/>
              <w:spacing w:after="0"/>
              <w:rPr>
                <w:sz w:val="20"/>
                <w:szCs w:val="20"/>
                <w:color w:val="auto"/>
              </w:rPr>
            </w:pPr>
            <w:r>
              <w:rPr>
                <w:rFonts w:ascii="Arial" w:cs="Arial" w:eastAsia="Arial" w:hAnsi="Arial"/>
                <w:sz w:val="18"/>
                <w:szCs w:val="18"/>
                <w:color w:val="auto"/>
              </w:rPr>
              <w:t>3.01%-4.01%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right="120"/>
        <w:spacing w:after="0" w:line="272" w:lineRule="auto"/>
        <w:rPr>
          <w:sz w:val="20"/>
          <w:szCs w:val="20"/>
          <w:color w:val="auto"/>
        </w:rPr>
      </w:pPr>
      <w:r>
        <w:rPr>
          <w:rFonts w:ascii="Arial" w:cs="Arial" w:eastAsia="Arial" w:hAnsi="Arial"/>
          <w:sz w:val="17"/>
          <w:szCs w:val="17"/>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June 30, 2004 and 2003, the Company recognized compensation expense related to restricted stock awards of $628 and $545, respectively. For the six months ended June 30, 2004 and 2003, the Company recognized compensation expense related to restricted stock awards of $1,299 and $1,132, respectively.</w:t>
      </w:r>
    </w:p>
    <w:p>
      <w:pPr>
        <w:spacing w:after="0" w:line="174"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2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June 30, 2004 and December 31, 2003 are $1,114 and $752, respectively, of accrued capital expenditures. Included in accounts payable and accrued expenses at June 30, 2003 and December 31, 2002 are $1,359 and $13,490, respectively, of accrued capital expenditures.</w:t>
      </w:r>
    </w:p>
    <w:p>
      <w:pPr>
        <w:spacing w:after="0" w:line="18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Included in accounts payable and accrued expenses at December 31, 2003 and 2002 are $917 and $747, respectively, of accrued Company 401(k) Savings Plan contribution expense. In the first quarter of both 2004 and 2003, the Company contributed 64,333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42,543 shares, respectively, of Common Stock to the 401(k) Savings Plan in satisfaction of these obligations.</w:t>
      </w:r>
    </w:p>
    <w:p>
      <w:pPr>
        <w:spacing w:after="0" w:line="225" w:lineRule="exact"/>
        <w:rPr>
          <w:sz w:val="20"/>
          <w:szCs w:val="20"/>
          <w:color w:val="auto"/>
        </w:rPr>
      </w:pPr>
    </w:p>
    <w:p>
      <w:pPr>
        <w:ind w:left="260" w:right="180"/>
        <w:spacing w:after="0" w:line="308" w:lineRule="auto"/>
        <w:rPr>
          <w:sz w:val="20"/>
          <w:szCs w:val="20"/>
          <w:color w:val="auto"/>
        </w:rPr>
      </w:pPr>
      <w:r>
        <w:rPr>
          <w:rFonts w:ascii="Arial" w:cs="Arial" w:eastAsia="Arial" w:hAnsi="Arial"/>
          <w:sz w:val="17"/>
          <w:szCs w:val="17"/>
          <w:color w:val="auto"/>
        </w:rPr>
        <w:t>Included in marketable securities at June 30, 2004 and December 31, 2003 are $1,422 and $878, respectively, of accrued interest income. Included in marketable securities at June 30, 2003 and December 31, 2002 are $570 and $2,013, respectively, of accrued interest income.</w:t>
      </w:r>
    </w:p>
    <w:p>
      <w:pPr>
        <w:spacing w:after="0" w:line="14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June 30,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9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r>
      <w:tr>
        <w:trPr>
          <w:trHeight w:val="66"/>
        </w:trPr>
        <w:tc>
          <w:tcPr>
            <w:tcW w:w="59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r>
      <w:tr>
        <w:trPr>
          <w:trHeight w:val="61"/>
        </w:trPr>
        <w:tc>
          <w:tcPr>
            <w:tcW w:w="5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Pharmaceuticals Inc.</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$20,655</w:t>
            </w:r>
          </w:p>
        </w:tc>
        <w:tc>
          <w:tcPr>
            <w:tcW w:w="3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420" w:type="dxa"/>
            <w:vAlign w:val="bottom"/>
            <w:tcBorders>
              <w:left w:val="single" w:sz="8" w:color="EEEEEE"/>
            </w:tcBorders>
            <w:shd w:val="clear" w:color="auto" w:fill="EEEEEE"/>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Receivable from Novartis Pharma AG</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3,177</w:t>
            </w:r>
          </w:p>
        </w:tc>
        <w:tc>
          <w:tcPr>
            <w:tcW w:w="42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2,710</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420" w:type="dxa"/>
            <w:vAlign w:val="bottom"/>
            <w:tcBorders>
              <w:left w:val="single" w:sz="8" w:color="EEEEEE"/>
            </w:tcBorders>
            <w:shd w:val="clear" w:color="auto" w:fill="EEEEEE"/>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9"/>
                <w:szCs w:val="19"/>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r>
      <w:tr>
        <w:trPr>
          <w:trHeight w:val="221"/>
        </w:trPr>
        <w:tc>
          <w:tcPr>
            <w:tcW w:w="592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$25,397</w:t>
            </w:r>
          </w:p>
        </w:tc>
        <w:tc>
          <w:tcPr>
            <w:tcW w:w="300" w:type="dxa"/>
            <w:vAlign w:val="bottom"/>
            <w:shd w:val="clear" w:color="auto" w:fill="EEEEEE"/>
          </w:tcPr>
          <w:p>
            <w:pPr>
              <w:spacing w:after="0"/>
              <w:rPr>
                <w:sz w:val="19"/>
                <w:szCs w:val="19"/>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15,529</w:t>
            </w:r>
          </w:p>
        </w:tc>
        <w:tc>
          <w:tcPr>
            <w:tcW w:w="420" w:type="dxa"/>
            <w:vAlign w:val="bottom"/>
            <w:tcBorders>
              <w:left w:val="single" w:sz="8" w:color="EEEEEE"/>
            </w:tcBorders>
            <w:shd w:val="clear" w:color="auto" w:fill="EEEEEE"/>
          </w:tcPr>
          <w:p>
            <w:pPr>
              <w:spacing w:after="0"/>
              <w:rPr>
                <w:sz w:val="19"/>
                <w:szCs w:val="19"/>
                <w:color w:val="auto"/>
              </w:rPr>
            </w:pPr>
          </w:p>
        </w:tc>
      </w:tr>
      <w:tr>
        <w:trPr>
          <w:trHeight w:val="66"/>
        </w:trPr>
        <w:tc>
          <w:tcPr>
            <w:tcW w:w="5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r>
    </w:tbl>
    <w:p>
      <w:pPr>
        <w:spacing w:after="0" w:line="20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(“Merck”) pediatric vaccine under a long-term manufacturing agreement.</w:t>
      </w:r>
    </w:p>
    <w:p>
      <w:pPr>
        <w:spacing w:after="0" w:line="17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June 30,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Work-in-process</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4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9,124</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8,618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10,850</w:t>
            </w:r>
          </w:p>
        </w:tc>
        <w:tc>
          <w:tcPr>
            <w:tcW w:w="4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9,006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hanging="216"/>
        <w:spacing w:after="0"/>
        <w:tabs>
          <w:tab w:leader="none" w:pos="440" w:val="left"/>
        </w:tabs>
        <w:numPr>
          <w:ilvl w:val="1"/>
          <w:numId w:val="7"/>
        </w:numPr>
        <w:rPr>
          <w:rFonts w:ascii="Arial" w:cs="Arial" w:eastAsia="Arial" w:hAnsi="Arial"/>
          <w:sz w:val="26"/>
          <w:szCs w:val="26"/>
          <w:color w:val="auto"/>
          <w:vertAlign w:val="superscript"/>
        </w:rPr>
      </w:pPr>
      <w:r>
        <w:rPr>
          <w:rFonts w:ascii="Arial" w:cs="Arial" w:eastAsia="Arial" w:hAnsi="Arial"/>
          <w:sz w:val="16"/>
          <w:szCs w:val="16"/>
          <w:color w:val="auto"/>
        </w:rPr>
        <w:t>Net of reserves of $195.</w:t>
      </w:r>
    </w:p>
    <w:p>
      <w:pPr>
        <w:spacing w:after="0" w:line="197" w:lineRule="exact"/>
        <w:rPr>
          <w:rFonts w:ascii="Arial" w:cs="Arial" w:eastAsia="Arial" w:hAnsi="Arial"/>
          <w:sz w:val="26"/>
          <w:szCs w:val="26"/>
          <w:color w:val="auto"/>
          <w:vertAlign w:val="superscript"/>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June 30, 2004 and December 31, 2003 consist of the following:</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3,548</w:t>
            </w:r>
          </w:p>
        </w:tc>
        <w:tc>
          <w:tcPr>
            <w:tcW w:w="3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15,743</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18,933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or loss on marketable securities. The net effect of income taxes on comprehensive loss is immaterial. For the three months ended June 30, 2004 and 2003, the components of comprehensive loss are:</w:t>
      </w:r>
    </w:p>
    <w:p>
      <w:pPr>
        <w:spacing w:after="0" w:line="3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w w:val="96"/>
              </w:rPr>
              <w:t>June 30,</w:t>
            </w:r>
          </w:p>
        </w:tc>
      </w:tr>
      <w:tr>
        <w:trPr>
          <w:trHeight w:val="66"/>
        </w:trPr>
        <w:tc>
          <w:tcPr>
            <w:tcW w:w="60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225"/>
        </w:trPr>
        <w:tc>
          <w:tcPr>
            <w:tcW w:w="6000" w:type="dxa"/>
            <w:vAlign w:val="bottom"/>
          </w:tcPr>
          <w:p>
            <w:pPr>
              <w:spacing w:after="0"/>
              <w:rPr>
                <w:sz w:val="19"/>
                <w:szCs w:val="19"/>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9"/>
                <w:szCs w:val="19"/>
                <w:color w:val="auto"/>
              </w:rPr>
            </w:pPr>
          </w:p>
        </w:tc>
      </w:tr>
      <w:tr>
        <w:trPr>
          <w:trHeight w:val="66"/>
        </w:trPr>
        <w:tc>
          <w:tcPr>
            <w:tcW w:w="60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61"/>
        </w:trPr>
        <w:tc>
          <w:tcPr>
            <w:tcW w:w="6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($14,549)</w:t>
            </w: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($30,360)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(71)</w:t>
            </w:r>
          </w:p>
        </w:tc>
      </w:tr>
      <w:tr>
        <w:trPr>
          <w:trHeight w:val="27"/>
        </w:trPr>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r>
      <w:tr>
        <w:trPr>
          <w:trHeight w:val="221"/>
        </w:trPr>
        <w:tc>
          <w:tcPr>
            <w:tcW w:w="6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 comprehensive loss</w:t>
            </w:r>
          </w:p>
        </w:tc>
        <w:tc>
          <w:tcPr>
            <w:tcW w:w="9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($14,933)</w:t>
            </w: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($30,431)</w:t>
            </w:r>
          </w:p>
        </w:tc>
      </w:tr>
      <w:tr>
        <w:trPr>
          <w:trHeight w:val="66"/>
        </w:trPr>
        <w:tc>
          <w:tcPr>
            <w:tcW w:w="6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six months ended June 30, 2004 and 2003, the components of comprehensive income (loss) are:</w:t>
      </w:r>
    </w:p>
    <w:p>
      <w:pPr>
        <w:spacing w:after="0" w:line="200" w:lineRule="exact"/>
        <w:rPr>
          <w:sz w:val="20"/>
          <w:szCs w:val="20"/>
          <w:color w:val="auto"/>
        </w:r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7"/>
              </w:rPr>
              <w:t>Six months ended</w:t>
            </w:r>
          </w:p>
        </w:tc>
      </w:tr>
      <w:tr>
        <w:trPr>
          <w:trHeight w:val="186"/>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9"/>
              </w:rPr>
              <w:t>June 30,</w:t>
            </w:r>
          </w:p>
        </w:tc>
      </w:tr>
      <w:tr>
        <w:trPr>
          <w:trHeight w:val="66"/>
        </w:trPr>
        <w:tc>
          <w:tcPr>
            <w:tcW w:w="60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225"/>
        </w:trPr>
        <w:tc>
          <w:tcPr>
            <w:tcW w:w="600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9"/>
                <w:szCs w:val="19"/>
                <w:color w:val="auto"/>
              </w:rPr>
            </w:pPr>
          </w:p>
        </w:tc>
      </w:tr>
      <w:tr>
        <w:trPr>
          <w:trHeight w:val="66"/>
        </w:trPr>
        <w:tc>
          <w:tcPr>
            <w:tcW w:w="60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61"/>
        </w:trPr>
        <w:tc>
          <w:tcPr>
            <w:tcW w:w="6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$49,983</w:t>
            </w:r>
          </w:p>
        </w:tc>
        <w:tc>
          <w:tcPr>
            <w:tcW w:w="2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($60,681)</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rPr>
              <w:t>(315)</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(247)</w:t>
            </w:r>
          </w:p>
        </w:tc>
      </w:tr>
      <w:tr>
        <w:trPr>
          <w:trHeight w:val="27"/>
        </w:trPr>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right w:val="single" w:sz="8" w:color="808080"/>
            </w:tcBorders>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r>
      <w:tr>
        <w:trPr>
          <w:trHeight w:val="221"/>
        </w:trPr>
        <w:tc>
          <w:tcPr>
            <w:tcW w:w="6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 comprehensive income (loss)</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$49,668</w:t>
            </w:r>
          </w:p>
        </w:tc>
        <w:tc>
          <w:tcPr>
            <w:tcW w:w="220" w:type="dxa"/>
            <w:vAlign w:val="bottom"/>
            <w:shd w:val="clear" w:color="auto" w:fill="EEEEEE"/>
          </w:tcPr>
          <w:p>
            <w:pPr>
              <w:spacing w:after="0"/>
              <w:rPr>
                <w:sz w:val="19"/>
                <w:szCs w:val="19"/>
                <w:color w:val="auto"/>
              </w:rPr>
            </w:pP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($60,928)</w:t>
            </w:r>
          </w:p>
        </w:tc>
      </w:tr>
      <w:tr>
        <w:trPr>
          <w:trHeight w:val="66"/>
        </w:trPr>
        <w:tc>
          <w:tcPr>
            <w:tcW w:w="6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0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 – Novartis Pharma AG</w:t>
      </w:r>
    </w:p>
    <w:p>
      <w:pPr>
        <w:spacing w:after="0" w:line="229" w:lineRule="exact"/>
        <w:rPr>
          <w:rFonts w:ascii="Arial" w:cs="Arial" w:eastAsia="Arial" w:hAnsi="Arial"/>
          <w:sz w:val="18"/>
          <w:szCs w:val="18"/>
          <w:b w:val="1"/>
          <w:bCs w:val="1"/>
          <w:color w:val="auto"/>
        </w:rPr>
      </w:pPr>
    </w:p>
    <w:p>
      <w:pPr>
        <w:ind w:left="2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2003, the Company entered into a collaboration agreement with Novartis Pharma AG (“Novartis”) to jointly develop and commercialize the Company’s Interleukin-1 Trap (“IL-1 Trap”). In connection with this agreement, Novartis made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non-refundable up-front payment of $27.0 million and purchased $48.0 million of newly issued unregistered shares of the Company’s Common Stock.</w:t>
      </w:r>
    </w:p>
    <w:p>
      <w:pPr>
        <w:spacing w:after="0" w:line="248"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color w:val="auto"/>
        </w:rPr>
        <w:t>Development expenses incurred in 2003 were shared equally by the Company and Novartis. Regeneron funded its share of 2003 development expenses through loans from Novartis. In March 2004, Novartis forgave its outstanding loans to Regeneron totaling $17.8 million, including accrued interest, based on Regeneron’s achieving a pre-defined development milestone, which was recognized as a research progress payment.</w:t>
      </w:r>
    </w:p>
    <w:p>
      <w:pPr>
        <w:spacing w:after="0" w:line="166"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The Company recorded the $42.75 million as other contract income in the first quarter of 2004. In addition, the Company recognized contract research and development revenue of $22.1 million, which represents the remaining amount of the March 2003 up-front payment from Novartis that had previously been deferred. Regeneron and Novartis each retain rights under the collaboration agreement to elect to collaborate in the future on the development and commercialization of certain other IL-1 antagonists.</w:t>
      </w:r>
    </w:p>
    <w:p>
      <w:pPr>
        <w:spacing w:after="0" w:line="174" w:lineRule="exact"/>
        <w:rPr>
          <w:sz w:val="20"/>
          <w:szCs w:val="20"/>
          <w:color w:val="auto"/>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186" w:lineRule="exact"/>
        <w:rPr>
          <w:rFonts w:ascii="Arial" w:cs="Arial" w:eastAsia="Arial" w:hAnsi="Arial"/>
          <w:sz w:val="18"/>
          <w:szCs w:val="18"/>
          <w:b w:val="1"/>
          <w:bCs w:val="1"/>
          <w:color w:val="auto"/>
        </w:rPr>
      </w:pPr>
    </w:p>
    <w:p>
      <w:pPr>
        <w:ind w:left="340" w:right="9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 The Company produces an intermediate for a Merck pediatric vaccine under a long-term manufacturing agreement.</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table below presents information about reported segments for the three and six months ended June 30, 2004 and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7"/>
              </w:rPr>
              <w:t>Three months ended June 30, 2004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Research &amp;</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Contract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ind w:left="300"/>
              <w:spacing w:after="0"/>
              <w:rPr>
                <w:sz w:val="20"/>
                <w:szCs w:val="20"/>
                <w:color w:val="auto"/>
              </w:rPr>
            </w:pPr>
            <w:r>
              <w:rPr>
                <w:rFonts w:ascii="Arial" w:cs="Arial" w:eastAsia="Arial" w:hAnsi="Arial"/>
                <w:sz w:val="14"/>
                <w:szCs w:val="14"/>
                <w:b w:val="1"/>
                <w:bCs w:val="1"/>
                <w:color w:val="auto"/>
              </w:rPr>
              <w:t>Reconciling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Development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Items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gridSpan w:val="2"/>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3"/>
            <w:shd w:val="clear" w:color="auto" w:fill="EEEEEE"/>
          </w:tcPr>
          <w:p>
            <w:pPr>
              <w:jc w:val="right"/>
              <w:ind w:right="246"/>
              <w:spacing w:after="0"/>
              <w:rPr>
                <w:sz w:val="20"/>
                <w:szCs w:val="20"/>
                <w:color w:val="auto"/>
              </w:rPr>
            </w:pPr>
            <w:r>
              <w:rPr>
                <w:rFonts w:ascii="Arial" w:cs="Arial" w:eastAsia="Arial" w:hAnsi="Arial"/>
                <w:sz w:val="18"/>
                <w:szCs w:val="18"/>
                <w:color w:val="auto"/>
              </w:rPr>
              <w:t>$ 27,146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322"/>
              <w:spacing w:after="0"/>
              <w:rPr>
                <w:sz w:val="20"/>
                <w:szCs w:val="20"/>
                <w:color w:val="auto"/>
              </w:rPr>
            </w:pPr>
            <w:r>
              <w:rPr>
                <w:rFonts w:ascii="Arial" w:cs="Arial" w:eastAsia="Arial" w:hAnsi="Arial"/>
                <w:sz w:val="18"/>
                <w:szCs w:val="18"/>
                <w:color w:val="auto"/>
              </w:rPr>
              <w:t>$1,272</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480" w:type="dxa"/>
            <w:vAlign w:val="bottom"/>
            <w:gridSpan w:val="7"/>
            <w:shd w:val="clear" w:color="auto" w:fill="EEEEEE"/>
          </w:tcPr>
          <w:p>
            <w:pPr>
              <w:jc w:val="right"/>
              <w:ind w:right="237"/>
              <w:spacing w:after="0"/>
              <w:rPr>
                <w:sz w:val="20"/>
                <w:szCs w:val="20"/>
                <w:color w:val="auto"/>
              </w:rPr>
            </w:pPr>
            <w:r>
              <w:rPr>
                <w:rFonts w:ascii="Arial" w:cs="Arial" w:eastAsia="Arial" w:hAnsi="Arial"/>
                <w:sz w:val="18"/>
                <w:szCs w:val="18"/>
                <w:color w:val="auto"/>
              </w:rPr>
              <w:t>$ 28,418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3"/>
          </w:tcPr>
          <w:p>
            <w:pPr>
              <w:jc w:val="right"/>
              <w:ind w:right="246"/>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00" w:type="dxa"/>
            <w:vAlign w:val="bottom"/>
            <w:gridSpan w:val="4"/>
          </w:tcPr>
          <w:p>
            <w:pPr>
              <w:ind w:left="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3,797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3,011</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3,011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3"/>
          </w:tcPr>
          <w:p>
            <w:pPr>
              <w:jc w:val="right"/>
              <w:ind w:right="186"/>
              <w:spacing w:after="0"/>
              <w:rPr>
                <w:sz w:val="20"/>
                <w:szCs w:val="20"/>
                <w:color w:val="auto"/>
              </w:rPr>
            </w:pPr>
            <w:r>
              <w:rPr>
                <w:rFonts w:ascii="Arial" w:cs="Arial" w:eastAsia="Arial" w:hAnsi="Arial"/>
                <w:sz w:val="18"/>
                <w:szCs w:val="18"/>
                <w:color w:val="auto"/>
              </w:rPr>
              <w:t>(13,386)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6"/>
          </w:tcPr>
          <w:p>
            <w:pPr>
              <w:jc w:val="right"/>
              <w:ind w:right="322"/>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117"/>
              <w:spacing w:after="0" w:line="256" w:lineRule="exact"/>
              <w:rPr>
                <w:sz w:val="20"/>
                <w:szCs w:val="20"/>
                <w:color w:val="auto"/>
              </w:rPr>
            </w:pPr>
            <w:r>
              <w:rPr>
                <w:rFonts w:ascii="Arial" w:cs="Arial" w:eastAsia="Arial" w:hAnsi="Arial"/>
                <w:sz w:val="18"/>
                <w:szCs w:val="18"/>
                <w:color w:val="auto"/>
                <w:w w:val="84"/>
              </w:rPr>
              <w:t>(1,906)</w:t>
            </w:r>
            <w:r>
              <w:rPr>
                <w:rFonts w:ascii="Arial" w:cs="Arial" w:eastAsia="Arial" w:hAnsi="Arial"/>
                <w:sz w:val="29"/>
                <w:szCs w:val="29"/>
                <w:color w:val="auto"/>
                <w:w w:val="84"/>
                <w:vertAlign w:val="superscript"/>
              </w:rPr>
              <w:t>(2)</w:t>
            </w:r>
          </w:p>
        </w:tc>
        <w:tc>
          <w:tcPr>
            <w:tcW w:w="40" w:type="dxa"/>
            <w:vAlign w:val="bottom"/>
          </w:tcPr>
          <w:p>
            <w:pPr>
              <w:spacing w:after="0"/>
              <w:rPr>
                <w:sz w:val="22"/>
                <w:szCs w:val="22"/>
                <w:color w:val="auto"/>
              </w:rPr>
            </w:pPr>
          </w:p>
        </w:tc>
        <w:tc>
          <w:tcPr>
            <w:tcW w:w="1480" w:type="dxa"/>
            <w:vAlign w:val="bottom"/>
            <w:gridSpan w:val="7"/>
          </w:tcPr>
          <w:p>
            <w:pPr>
              <w:jc w:val="right"/>
              <w:ind w:right="177"/>
              <w:spacing w:after="0"/>
              <w:rPr>
                <w:sz w:val="20"/>
                <w:szCs w:val="20"/>
                <w:color w:val="auto"/>
              </w:rPr>
            </w:pPr>
            <w:r>
              <w:rPr>
                <w:rFonts w:ascii="Arial" w:cs="Arial" w:eastAsia="Arial" w:hAnsi="Arial"/>
                <w:sz w:val="18"/>
                <w:szCs w:val="18"/>
                <w:color w:val="auto"/>
              </w:rPr>
              <w:t>(14,549)</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3"/>
            <w:shd w:val="clear" w:color="auto" w:fill="EEEEEE"/>
          </w:tcPr>
          <w:p>
            <w:pPr>
              <w:jc w:val="right"/>
              <w:ind w:right="246"/>
              <w:spacing w:after="0"/>
              <w:rPr>
                <w:sz w:val="20"/>
                <w:szCs w:val="20"/>
                <w:color w:val="auto"/>
              </w:rPr>
            </w:pPr>
            <w:r>
              <w:rPr>
                <w:rFonts w:ascii="Arial" w:cs="Arial" w:eastAsia="Arial" w:hAnsi="Arial"/>
                <w:sz w:val="18"/>
                <w:szCs w:val="18"/>
                <w:color w:val="auto"/>
              </w:rPr>
              <w:t>2,214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2,214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9"/>
          </w:tcPr>
          <w:p>
            <w:pPr>
              <w:ind w:left="200"/>
              <w:spacing w:after="0"/>
              <w:rPr>
                <w:sz w:val="20"/>
                <w:szCs w:val="20"/>
                <w:color w:val="auto"/>
              </w:rPr>
            </w:pPr>
            <w:r>
              <w:rPr>
                <w:rFonts w:ascii="Arial" w:cs="Arial" w:eastAsia="Arial" w:hAnsi="Arial"/>
                <w:sz w:val="14"/>
                <w:szCs w:val="14"/>
                <w:b w:val="1"/>
                <w:bCs w:val="1"/>
                <w:color w:val="auto"/>
              </w:rPr>
              <w:t>Three months ended June 30, 2003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340"/>
              <w:spacing w:after="0"/>
              <w:rPr>
                <w:sz w:val="20"/>
                <w:szCs w:val="20"/>
                <w:color w:val="auto"/>
              </w:rPr>
            </w:pPr>
            <w:r>
              <w:rPr>
                <w:rFonts w:ascii="Arial" w:cs="Arial" w:eastAsia="Arial" w:hAnsi="Arial"/>
                <w:sz w:val="14"/>
                <w:szCs w:val="14"/>
                <w:b w:val="1"/>
                <w:bCs w:val="1"/>
                <w:color w:val="auto"/>
              </w:rPr>
              <w:t>Research &amp;</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Contract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Reconciling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Development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Items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gridSpan w:val="2"/>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3"/>
            <w:shd w:val="clear" w:color="auto" w:fill="EEEEEE"/>
          </w:tcPr>
          <w:p>
            <w:pPr>
              <w:jc w:val="right"/>
              <w:ind w:right="186"/>
              <w:spacing w:after="0"/>
              <w:rPr>
                <w:sz w:val="20"/>
                <w:szCs w:val="20"/>
                <w:color w:val="auto"/>
              </w:rPr>
            </w:pPr>
            <w:r>
              <w:rPr>
                <w:rFonts w:ascii="Arial" w:cs="Arial" w:eastAsia="Arial" w:hAnsi="Arial"/>
                <w:sz w:val="18"/>
                <w:szCs w:val="18"/>
                <w:color w:val="auto"/>
              </w:rPr>
              <w:t>$  8,150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402"/>
              <w:spacing w:after="0"/>
              <w:rPr>
                <w:sz w:val="20"/>
                <w:szCs w:val="20"/>
                <w:color w:val="auto"/>
              </w:rPr>
            </w:pPr>
            <w:r>
              <w:rPr>
                <w:rFonts w:ascii="Arial" w:cs="Arial" w:eastAsia="Arial" w:hAnsi="Arial"/>
                <w:sz w:val="18"/>
                <w:szCs w:val="18"/>
                <w:color w:val="auto"/>
              </w:rPr>
              <w:t>$758</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7"/>
              <w:spacing w:after="0"/>
              <w:rPr>
                <w:sz w:val="20"/>
                <w:szCs w:val="20"/>
                <w:color w:val="auto"/>
              </w:rPr>
            </w:pPr>
            <w:r>
              <w:rPr>
                <w:rFonts w:ascii="Arial" w:cs="Arial" w:eastAsia="Arial" w:hAnsi="Arial"/>
                <w:sz w:val="18"/>
                <w:szCs w:val="18"/>
                <w:color w:val="auto"/>
              </w:rPr>
              <w:t>8,908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440" w:type="dxa"/>
            <w:vAlign w:val="bottom"/>
          </w:tcPr>
          <w:p>
            <w:pPr>
              <w:spacing w:after="0" w:line="20" w:lineRule="exact"/>
              <w:rPr>
                <w:sz w:val="1"/>
                <w:szCs w:val="1"/>
                <w:color w:val="auto"/>
              </w:rPr>
            </w:pPr>
          </w:p>
        </w:tc>
        <w:tc>
          <w:tcPr>
            <w:tcW w:w="2520" w:type="dxa"/>
            <w:vAlign w:val="bottom"/>
            <w:gridSpan w:val="2"/>
          </w:tcPr>
          <w:p>
            <w:pPr>
              <w:spacing w:after="0"/>
              <w:rPr>
                <w:sz w:val="20"/>
                <w:szCs w:val="20"/>
                <w:color w:val="auto"/>
              </w:rPr>
            </w:pPr>
            <w:r>
              <w:rPr>
                <w:rFonts w:ascii="Arial" w:cs="Arial" w:eastAsia="Arial" w:hAnsi="Arial"/>
                <w:sz w:val="1"/>
                <w:szCs w:val="1"/>
                <w:color w:val="auto"/>
              </w:rPr>
              <w:t>Depreciation and amortization</w:t>
            </w:r>
          </w:p>
        </w:tc>
        <w:tc>
          <w:tcPr>
            <w:tcW w:w="1280" w:type="dxa"/>
            <w:vAlign w:val="bottom"/>
            <w:gridSpan w:val="3"/>
          </w:tcPr>
          <w:p>
            <w:pPr>
              <w:jc w:val="right"/>
              <w:ind w:right="186"/>
              <w:spacing w:after="0"/>
              <w:rPr>
                <w:sz w:val="20"/>
                <w:szCs w:val="20"/>
                <w:color w:val="auto"/>
              </w:rPr>
            </w:pPr>
            <w:r>
              <w:rPr>
                <w:rFonts w:ascii="Arial" w:cs="Arial" w:eastAsia="Arial" w:hAnsi="Arial"/>
                <w:sz w:val="1"/>
                <w:szCs w:val="1"/>
                <w:color w:val="auto"/>
              </w:rPr>
              <w:t>2,418</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
                <w:szCs w:val="1"/>
                <w:color w:val="auto"/>
              </w:rPr>
              <w:t>—</w:t>
            </w:r>
          </w:p>
        </w:tc>
        <w:tc>
          <w:tcPr>
            <w:tcW w:w="700" w:type="dxa"/>
            <w:vAlign w:val="bottom"/>
            <w:gridSpan w:val="4"/>
          </w:tcPr>
          <w:p>
            <w:pPr>
              <w:jc w:val="right"/>
              <w:spacing w:after="0"/>
              <w:rPr>
                <w:sz w:val="20"/>
                <w:szCs w:val="20"/>
                <w:color w:val="auto"/>
              </w:rPr>
            </w:pPr>
            <w:r>
              <w:rPr>
                <w:rFonts w:ascii="Arial" w:cs="Arial" w:eastAsia="Arial" w:hAnsi="Arial"/>
                <w:sz w:val="1"/>
                <w:szCs w:val="1"/>
                <w:color w:val="auto"/>
              </w:rPr>
              <w:t>$</w:t>
            </w:r>
          </w:p>
        </w:tc>
        <w:tc>
          <w:tcPr>
            <w:tcW w:w="900" w:type="dxa"/>
            <w:vAlign w:val="bottom"/>
          </w:tcPr>
          <w:p>
            <w:pPr>
              <w:jc w:val="right"/>
              <w:ind w:right="397"/>
              <w:spacing w:after="0"/>
              <w:rPr>
                <w:sz w:val="20"/>
                <w:szCs w:val="20"/>
                <w:color w:val="auto"/>
              </w:rPr>
            </w:pPr>
            <w:r>
              <w:rPr>
                <w:rFonts w:ascii="Arial" w:cs="Arial" w:eastAsia="Arial" w:hAnsi="Arial"/>
                <w:sz w:val="1"/>
                <w:szCs w:val="1"/>
                <w:color w:val="auto"/>
              </w:rPr>
              <w:t>261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jc w:val="right"/>
              <w:ind w:right="257"/>
              <w:spacing w:after="0"/>
              <w:rPr>
                <w:sz w:val="20"/>
                <w:szCs w:val="20"/>
                <w:color w:val="auto"/>
              </w:rPr>
            </w:pPr>
            <w:r>
              <w:rPr>
                <w:rFonts w:ascii="Arial" w:cs="Arial" w:eastAsia="Arial" w:hAnsi="Arial"/>
                <w:sz w:val="1"/>
                <w:szCs w:val="1"/>
                <w:color w:val="auto"/>
              </w:rPr>
              <w:t>2,679</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6"/>
          </w:tcPr>
          <w:p>
            <w:pPr>
              <w:jc w:val="right"/>
              <w:ind w:right="222"/>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shd w:val="clear" w:color="auto" w:fill="EEEEEE"/>
          </w:tcPr>
          <w:p>
            <w:pPr>
              <w:jc w:val="right"/>
              <w:ind w:right="186"/>
              <w:spacing w:after="0"/>
              <w:rPr>
                <w:sz w:val="20"/>
                <w:szCs w:val="20"/>
                <w:color w:val="auto"/>
              </w:rPr>
            </w:pPr>
            <w:r>
              <w:rPr>
                <w:rFonts w:ascii="Arial" w:cs="Arial" w:eastAsia="Arial" w:hAnsi="Arial"/>
                <w:sz w:val="18"/>
                <w:szCs w:val="18"/>
                <w:color w:val="auto"/>
              </w:rPr>
              <w:t>8</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397"/>
              <w:spacing w:after="0"/>
              <w:rPr>
                <w:sz w:val="20"/>
                <w:szCs w:val="20"/>
                <w:color w:val="auto"/>
              </w:rPr>
            </w:pPr>
            <w:r>
              <w:rPr>
                <w:rFonts w:ascii="Arial" w:cs="Arial" w:eastAsia="Arial" w:hAnsi="Arial"/>
                <w:sz w:val="18"/>
                <w:szCs w:val="18"/>
                <w:color w:val="auto"/>
                <w:w w:val="88"/>
              </w:rPr>
              <w:t>2,897</w:t>
            </w:r>
          </w:p>
        </w:tc>
        <w:tc>
          <w:tcPr>
            <w:tcW w:w="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20" w:type="dxa"/>
            <w:vAlign w:val="bottom"/>
            <w:shd w:val="clear" w:color="auto" w:fill="EEEEEE"/>
          </w:tcPr>
          <w:p>
            <w:pPr>
              <w:jc w:val="right"/>
              <w:ind w:right="257"/>
              <w:spacing w:after="0"/>
              <w:rPr>
                <w:sz w:val="20"/>
                <w:szCs w:val="20"/>
                <w:color w:val="auto"/>
              </w:rPr>
            </w:pPr>
            <w:r>
              <w:rPr>
                <w:rFonts w:ascii="Arial" w:cs="Arial" w:eastAsia="Arial" w:hAnsi="Arial"/>
                <w:sz w:val="18"/>
                <w:szCs w:val="18"/>
                <w:color w:val="auto"/>
              </w:rPr>
              <w:t>2,905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3"/>
          </w:tcPr>
          <w:p>
            <w:pPr>
              <w:jc w:val="right"/>
              <w:ind w:right="126"/>
              <w:spacing w:after="0"/>
              <w:rPr>
                <w:sz w:val="20"/>
                <w:szCs w:val="20"/>
                <w:color w:val="auto"/>
              </w:rPr>
            </w:pPr>
            <w:r>
              <w:rPr>
                <w:rFonts w:ascii="Arial" w:cs="Arial" w:eastAsia="Arial" w:hAnsi="Arial"/>
                <w:sz w:val="18"/>
                <w:szCs w:val="18"/>
                <w:color w:val="auto"/>
              </w:rPr>
              <w:t>(29,063)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6"/>
          </w:tcPr>
          <w:p>
            <w:pPr>
              <w:jc w:val="right"/>
              <w:ind w:right="40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5"/>
          </w:tcPr>
          <w:p>
            <w:pPr>
              <w:jc w:val="right"/>
              <w:ind w:right="157"/>
              <w:spacing w:after="0" w:line="256" w:lineRule="exact"/>
              <w:rPr>
                <w:sz w:val="20"/>
                <w:szCs w:val="20"/>
                <w:color w:val="auto"/>
              </w:rPr>
            </w:pPr>
            <w:r>
              <w:rPr>
                <w:rFonts w:ascii="Arial" w:cs="Arial" w:eastAsia="Arial" w:hAnsi="Arial"/>
                <w:sz w:val="18"/>
                <w:szCs w:val="18"/>
                <w:color w:val="auto"/>
              </w:rPr>
              <w:t>(1,796)</w:t>
            </w:r>
            <w:r>
              <w:rPr>
                <w:rFonts w:ascii="Arial" w:cs="Arial" w:eastAsia="Arial" w:hAnsi="Arial"/>
                <w:sz w:val="29"/>
                <w:szCs w:val="29"/>
                <w:color w:val="auto"/>
                <w:vertAlign w:val="superscript"/>
              </w:rPr>
              <w:t>(2)</w:t>
            </w:r>
          </w:p>
        </w:tc>
        <w:tc>
          <w:tcPr>
            <w:tcW w:w="40" w:type="dxa"/>
            <w:vAlign w:val="bottom"/>
          </w:tcPr>
          <w:p>
            <w:pPr>
              <w:spacing w:after="0"/>
              <w:rPr>
                <w:sz w:val="22"/>
                <w:szCs w:val="22"/>
                <w:color w:val="auto"/>
              </w:rPr>
            </w:pPr>
          </w:p>
        </w:tc>
        <w:tc>
          <w:tcPr>
            <w:tcW w:w="1480" w:type="dxa"/>
            <w:vAlign w:val="bottom"/>
            <w:gridSpan w:val="7"/>
          </w:tcPr>
          <w:p>
            <w:pPr>
              <w:jc w:val="right"/>
              <w:ind w:right="197"/>
              <w:spacing w:after="0"/>
              <w:rPr>
                <w:sz w:val="20"/>
                <w:szCs w:val="20"/>
                <w:color w:val="auto"/>
              </w:rPr>
            </w:pPr>
            <w:r>
              <w:rPr>
                <w:rFonts w:ascii="Arial" w:cs="Arial" w:eastAsia="Arial" w:hAnsi="Arial"/>
                <w:sz w:val="18"/>
                <w:szCs w:val="18"/>
                <w:color w:val="auto"/>
              </w:rPr>
              <w:t>(30,360)</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3"/>
            <w:shd w:val="clear" w:color="auto" w:fill="EEEEEE"/>
          </w:tcPr>
          <w:p>
            <w:pPr>
              <w:jc w:val="right"/>
              <w:ind w:right="186"/>
              <w:spacing w:after="0"/>
              <w:rPr>
                <w:sz w:val="20"/>
                <w:szCs w:val="20"/>
                <w:color w:val="auto"/>
              </w:rPr>
            </w:pPr>
            <w:r>
              <w:rPr>
                <w:rFonts w:ascii="Arial" w:cs="Arial" w:eastAsia="Arial" w:hAnsi="Arial"/>
                <w:sz w:val="18"/>
                <w:szCs w:val="18"/>
                <w:color w:val="auto"/>
              </w:rPr>
              <w:t>4,722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57"/>
              <w:spacing w:after="0"/>
              <w:rPr>
                <w:sz w:val="20"/>
                <w:szCs w:val="20"/>
                <w:color w:val="auto"/>
              </w:rPr>
            </w:pPr>
            <w:r>
              <w:rPr>
                <w:rFonts w:ascii="Arial" w:cs="Arial" w:eastAsia="Arial" w:hAnsi="Arial"/>
                <w:sz w:val="18"/>
                <w:szCs w:val="18"/>
                <w:color w:val="auto"/>
              </w:rPr>
              <w:t>4,722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Six months ended June 30, 2004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Research &amp;</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Contract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Reconciling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Development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Items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gridSpan w:val="3"/>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3"/>
            <w:shd w:val="clear" w:color="auto" w:fill="EEEEEE"/>
          </w:tcPr>
          <w:p>
            <w:pPr>
              <w:jc w:val="right"/>
              <w:ind w:right="266"/>
              <w:spacing w:after="0"/>
              <w:rPr>
                <w:sz w:val="20"/>
                <w:szCs w:val="20"/>
                <w:color w:val="auto"/>
              </w:rPr>
            </w:pPr>
            <w:r>
              <w:rPr>
                <w:rFonts w:ascii="Arial" w:cs="Arial" w:eastAsia="Arial" w:hAnsi="Arial"/>
                <w:sz w:val="18"/>
                <w:szCs w:val="18"/>
                <w:color w:val="auto"/>
              </w:rPr>
              <w:t>$86,526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302"/>
              <w:spacing w:after="0"/>
              <w:rPr>
                <w:sz w:val="20"/>
                <w:szCs w:val="20"/>
                <w:color w:val="auto"/>
              </w:rPr>
            </w:pPr>
            <w:r>
              <w:rPr>
                <w:rFonts w:ascii="Arial" w:cs="Arial" w:eastAsia="Arial" w:hAnsi="Arial"/>
                <w:sz w:val="18"/>
                <w:szCs w:val="18"/>
                <w:color w:val="auto"/>
              </w:rPr>
              <w:t>$ 3,882</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90,408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3"/>
          </w:tcPr>
          <w:p>
            <w:pPr>
              <w:jc w:val="right"/>
              <w:ind w:right="266"/>
              <w:spacing w:after="0"/>
              <w:rPr>
                <w:sz w:val="20"/>
                <w:szCs w:val="20"/>
                <w:color w:val="auto"/>
              </w:rPr>
            </w:pPr>
            <w:r>
              <w:rPr>
                <w:rFonts w:ascii="Arial" w:cs="Arial" w:eastAsia="Arial" w:hAnsi="Arial"/>
                <w:sz w:val="18"/>
                <w:szCs w:val="18"/>
                <w:color w:val="auto"/>
              </w:rPr>
              <w:t>7,048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00" w:type="dxa"/>
            <w:vAlign w:val="bottom"/>
            <w:gridSpan w:val="4"/>
          </w:tcPr>
          <w:p>
            <w:pPr>
              <w:ind w:left="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7,570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shd w:val="clear" w:color="auto" w:fill="EEEEEE"/>
          </w:tcPr>
          <w:p>
            <w:pPr>
              <w:jc w:val="right"/>
              <w:ind w:right="266"/>
              <w:spacing w:after="0"/>
              <w:rPr>
                <w:sz w:val="20"/>
                <w:szCs w:val="20"/>
                <w:color w:val="auto"/>
              </w:rPr>
            </w:pPr>
            <w:r>
              <w:rPr>
                <w:rFonts w:ascii="Arial" w:cs="Arial" w:eastAsia="Arial" w:hAnsi="Arial"/>
                <w:sz w:val="18"/>
                <w:szCs w:val="18"/>
                <w:color w:val="auto"/>
              </w:rPr>
              <w:t>126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6,021</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6,147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Other contract income</w:t>
            </w:r>
          </w:p>
        </w:tc>
        <w:tc>
          <w:tcPr>
            <w:tcW w:w="1280" w:type="dxa"/>
            <w:vAlign w:val="bottom"/>
            <w:gridSpan w:val="3"/>
          </w:tcPr>
          <w:p>
            <w:pPr>
              <w:jc w:val="right"/>
              <w:ind w:right="266"/>
              <w:spacing w:after="0"/>
              <w:rPr>
                <w:sz w:val="20"/>
                <w:szCs w:val="20"/>
                <w:color w:val="auto"/>
              </w:rPr>
            </w:pPr>
            <w:r>
              <w:rPr>
                <w:rFonts w:ascii="Arial" w:cs="Arial" w:eastAsia="Arial" w:hAnsi="Arial"/>
                <w:sz w:val="18"/>
                <w:szCs w:val="18"/>
                <w:color w:val="auto"/>
              </w:rPr>
              <w:t>42,750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42,750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3"/>
            <w:shd w:val="clear" w:color="auto" w:fill="EEEEEE"/>
          </w:tcPr>
          <w:p>
            <w:pPr>
              <w:jc w:val="right"/>
              <w:ind w:right="266"/>
              <w:spacing w:after="0"/>
              <w:rPr>
                <w:sz w:val="20"/>
                <w:szCs w:val="20"/>
                <w:color w:val="auto"/>
              </w:rPr>
            </w:pPr>
            <w:r>
              <w:rPr>
                <w:rFonts w:ascii="Arial" w:cs="Arial" w:eastAsia="Arial" w:hAnsi="Arial"/>
                <w:sz w:val="18"/>
                <w:szCs w:val="18"/>
                <w:color w:val="auto"/>
              </w:rPr>
              <w:t>52,647</w:t>
            </w:r>
          </w:p>
        </w:tc>
        <w:tc>
          <w:tcPr>
            <w:tcW w:w="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1400" w:type="dxa"/>
            <w:vAlign w:val="bottom"/>
            <w:gridSpan w:val="6"/>
            <w:shd w:val="clear" w:color="auto" w:fill="EEEEEE"/>
          </w:tcPr>
          <w:p>
            <w:pPr>
              <w:jc w:val="right"/>
              <w:ind w:right="302"/>
              <w:spacing w:after="0"/>
              <w:rPr>
                <w:sz w:val="20"/>
                <w:szCs w:val="20"/>
                <w:color w:val="auto"/>
              </w:rPr>
            </w:pPr>
            <w:r>
              <w:rPr>
                <w:rFonts w:ascii="Arial" w:cs="Arial" w:eastAsia="Arial" w:hAnsi="Arial"/>
                <w:sz w:val="18"/>
                <w:szCs w:val="18"/>
                <w:color w:val="auto"/>
              </w:rPr>
              <w:t>1,128</w:t>
            </w:r>
          </w:p>
        </w:tc>
        <w:tc>
          <w:tcPr>
            <w:tcW w:w="20" w:type="dxa"/>
            <w:vAlign w:val="bottom"/>
            <w:shd w:val="clear" w:color="auto" w:fill="EEEEEE"/>
          </w:tcPr>
          <w:p>
            <w:pPr>
              <w:spacing w:after="0"/>
              <w:rPr>
                <w:sz w:val="22"/>
                <w:szCs w:val="22"/>
                <w:color w:val="auto"/>
              </w:rPr>
            </w:pPr>
          </w:p>
        </w:tc>
        <w:tc>
          <w:tcPr>
            <w:tcW w:w="40" w:type="dxa"/>
            <w:vAlign w:val="bottom"/>
            <w:shd w:val="clear" w:color="auto" w:fill="EEEEEE"/>
          </w:tcPr>
          <w:p>
            <w:pPr>
              <w:spacing w:after="0"/>
              <w:rPr>
                <w:sz w:val="22"/>
                <w:szCs w:val="22"/>
                <w:color w:val="auto"/>
              </w:rPr>
            </w:pPr>
          </w:p>
        </w:tc>
        <w:tc>
          <w:tcPr>
            <w:tcW w:w="22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6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900" w:type="dxa"/>
            <w:vAlign w:val="bottom"/>
            <w:shd w:val="clear" w:color="auto" w:fill="EEEEEE"/>
          </w:tcPr>
          <w:p>
            <w:pPr>
              <w:jc w:val="right"/>
              <w:spacing w:after="0" w:line="256" w:lineRule="exact"/>
              <w:rPr>
                <w:sz w:val="20"/>
                <w:szCs w:val="20"/>
                <w:color w:val="auto"/>
              </w:rPr>
            </w:pPr>
            <w:r>
              <w:rPr>
                <w:rFonts w:ascii="Arial" w:cs="Arial" w:eastAsia="Arial" w:hAnsi="Arial"/>
                <w:sz w:val="18"/>
                <w:szCs w:val="18"/>
                <w:color w:val="auto"/>
                <w:w w:val="99"/>
              </w:rPr>
              <w:t>(3,792)</w:t>
            </w:r>
            <w:r>
              <w:rPr>
                <w:rFonts w:ascii="Arial" w:cs="Arial" w:eastAsia="Arial" w:hAnsi="Arial"/>
                <w:sz w:val="29"/>
                <w:szCs w:val="29"/>
                <w:color w:val="auto"/>
                <w:w w:val="99"/>
                <w:vertAlign w:val="superscript"/>
              </w:rPr>
              <w:t>(2)</w:t>
            </w:r>
          </w:p>
        </w:tc>
        <w:tc>
          <w:tcPr>
            <w:tcW w:w="4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8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49,983</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3"/>
          </w:tcPr>
          <w:p>
            <w:pPr>
              <w:jc w:val="right"/>
              <w:ind w:right="266"/>
              <w:spacing w:after="0"/>
              <w:rPr>
                <w:sz w:val="20"/>
                <w:szCs w:val="20"/>
                <w:color w:val="auto"/>
              </w:rPr>
            </w:pPr>
            <w:r>
              <w:rPr>
                <w:rFonts w:ascii="Arial" w:cs="Arial" w:eastAsia="Arial" w:hAnsi="Arial"/>
                <w:sz w:val="18"/>
                <w:szCs w:val="18"/>
                <w:color w:val="auto"/>
              </w:rPr>
              <w:t>2,899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2,899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3"/>
            <w:shd w:val="clear" w:color="auto" w:fill="EEEEEE"/>
          </w:tcPr>
          <w:p>
            <w:pPr>
              <w:jc w:val="right"/>
              <w:ind w:right="266"/>
              <w:spacing w:after="0"/>
              <w:rPr>
                <w:sz w:val="20"/>
                <w:szCs w:val="20"/>
                <w:color w:val="auto"/>
              </w:rPr>
            </w:pPr>
            <w:r>
              <w:rPr>
                <w:rFonts w:ascii="Arial" w:cs="Arial" w:eastAsia="Arial" w:hAnsi="Arial"/>
                <w:sz w:val="18"/>
                <w:szCs w:val="18"/>
                <w:color w:val="auto"/>
              </w:rPr>
              <w:t>96,816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302"/>
              <w:spacing w:after="0"/>
              <w:rPr>
                <w:sz w:val="20"/>
                <w:szCs w:val="20"/>
                <w:color w:val="auto"/>
              </w:rPr>
            </w:pPr>
            <w:r>
              <w:rPr>
                <w:rFonts w:ascii="Arial" w:cs="Arial" w:eastAsia="Arial" w:hAnsi="Arial"/>
                <w:sz w:val="18"/>
                <w:szCs w:val="18"/>
                <w:color w:val="auto"/>
              </w:rPr>
              <w:t>15,417</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0" w:type="dxa"/>
            <w:vAlign w:val="bottom"/>
            <w:gridSpan w:val="5"/>
            <w:shd w:val="clear" w:color="auto" w:fill="EEEEEE"/>
          </w:tcPr>
          <w:p>
            <w:pPr>
              <w:jc w:val="right"/>
              <w:ind w:right="57"/>
              <w:spacing w:after="0"/>
              <w:rPr>
                <w:sz w:val="20"/>
                <w:szCs w:val="20"/>
                <w:color w:val="auto"/>
              </w:rPr>
            </w:pPr>
            <w:r>
              <w:rPr>
                <w:rFonts w:ascii="Arial" w:cs="Arial" w:eastAsia="Arial" w:hAnsi="Arial"/>
                <w:sz w:val="18"/>
                <w:szCs w:val="18"/>
                <w:color w:val="auto"/>
              </w:rPr>
              <w:t>375,941</w:t>
            </w:r>
            <w:r>
              <w:rPr>
                <w:rFonts w:ascii="Arial" w:cs="Arial" w:eastAsia="Arial" w:hAnsi="Arial"/>
                <w:sz w:val="15"/>
                <w:szCs w:val="15"/>
                <w:color w:val="auto"/>
              </w:rPr>
              <w:t>(3)</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w w:val="89"/>
              </w:rPr>
              <w:t>488,174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9"/>
          </w:tcPr>
          <w:p>
            <w:pPr>
              <w:ind w:left="200"/>
              <w:spacing w:after="0"/>
              <w:rPr>
                <w:sz w:val="20"/>
                <w:szCs w:val="20"/>
                <w:color w:val="auto"/>
              </w:rPr>
            </w:pPr>
            <w:r>
              <w:rPr>
                <w:rFonts w:ascii="Arial" w:cs="Arial" w:eastAsia="Arial" w:hAnsi="Arial"/>
                <w:sz w:val="14"/>
                <w:szCs w:val="14"/>
                <w:b w:val="1"/>
                <w:bCs w:val="1"/>
                <w:color w:val="auto"/>
              </w:rPr>
              <w:t>Six months ended June 30, 2003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Research &amp;</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Contract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Reconciling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Development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Items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gridSpan w:val="3"/>
          </w:tcPr>
          <w:p>
            <w:pPr>
              <w:spacing w:after="0"/>
              <w:rPr>
                <w:sz w:val="5"/>
                <w:szCs w:val="5"/>
                <w:color w:val="auto"/>
              </w:rPr>
            </w:pPr>
          </w:p>
        </w:tc>
        <w:tc>
          <w:tcPr>
            <w:tcW w:w="126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5"/>
          </w:tcPr>
          <w:p>
            <w:pPr>
              <w:spacing w:after="0"/>
              <w:rPr>
                <w:sz w:val="5"/>
                <w:szCs w:val="5"/>
                <w:color w:val="auto"/>
              </w:rPr>
            </w:pPr>
          </w:p>
        </w:tc>
        <w:tc>
          <w:tcPr>
            <w:tcW w:w="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Borders>
              <w:top w:val="single" w:sz="8" w:color="808080"/>
            </w:tcBorders>
          </w:tcPr>
          <w:p>
            <w:pPr>
              <w:spacing w:after="0"/>
              <w:rPr>
                <w:sz w:val="5"/>
                <w:szCs w:val="5"/>
                <w:color w:val="auto"/>
              </w:rPr>
            </w:pPr>
          </w:p>
        </w:tc>
        <w:tc>
          <w:tcPr>
            <w:tcW w:w="6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20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808080"/>
            </w:tcBorders>
          </w:tcPr>
          <w:p>
            <w:pPr>
              <w:spacing w:after="0"/>
              <w:rPr>
                <w:sz w:val="5"/>
                <w:szCs w:val="5"/>
                <w:color w:val="auto"/>
              </w:rPr>
            </w:pPr>
          </w:p>
        </w:tc>
        <w:tc>
          <w:tcPr>
            <w:tcW w:w="60" w:type="dxa"/>
            <w:vAlign w:val="bottom"/>
            <w:tcBorders>
              <w:top w:val="single" w:sz="8" w:color="808080"/>
            </w:tcBorders>
          </w:tcPr>
          <w:p>
            <w:pPr>
              <w:spacing w:after="0"/>
              <w:rPr>
                <w:sz w:val="5"/>
                <w:szCs w:val="5"/>
                <w:color w:val="auto"/>
              </w:rPr>
            </w:pPr>
          </w:p>
        </w:tc>
        <w:tc>
          <w:tcPr>
            <w:tcW w:w="106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60" w:type="dxa"/>
            <w:vAlign w:val="bottom"/>
            <w:tcBorders>
              <w:top w:val="single" w:sz="8" w:color="808080"/>
            </w:tcBorders>
          </w:tcPr>
          <w:p>
            <w:pPr>
              <w:spacing w:after="0"/>
              <w:rPr>
                <w:sz w:val="5"/>
                <w:szCs w:val="5"/>
                <w:color w:val="auto"/>
              </w:rPr>
            </w:pPr>
          </w:p>
        </w:tc>
        <w:tc>
          <w:tcPr>
            <w:tcW w:w="400" w:type="dxa"/>
            <w:vAlign w:val="bottom"/>
            <w:tcBorders>
              <w:top w:val="single" w:sz="8" w:color="808080"/>
            </w:tcBorders>
          </w:tcPr>
          <w:p>
            <w:pPr>
              <w:spacing w:after="0"/>
              <w:rPr>
                <w:sz w:val="5"/>
                <w:szCs w:val="5"/>
                <w:color w:val="auto"/>
              </w:rPr>
            </w:pPr>
          </w:p>
        </w:tc>
        <w:tc>
          <w:tcPr>
            <w:tcW w:w="900" w:type="dxa"/>
            <w:vAlign w:val="bottom"/>
            <w:tcBorders>
              <w:top w:val="single" w:sz="8" w:color="808080"/>
            </w:tcBorders>
          </w:tcPr>
          <w:p>
            <w:pPr>
              <w:spacing w:after="0"/>
              <w:rPr>
                <w:sz w:val="5"/>
                <w:szCs w:val="5"/>
                <w:color w:val="auto"/>
              </w:rPr>
            </w:pPr>
          </w:p>
        </w:tc>
        <w:tc>
          <w:tcPr>
            <w:tcW w:w="4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3"/>
            <w:shd w:val="clear" w:color="auto" w:fill="EEEEEE"/>
          </w:tcPr>
          <w:p>
            <w:pPr>
              <w:jc w:val="right"/>
              <w:ind w:right="366"/>
              <w:spacing w:after="0"/>
              <w:rPr>
                <w:sz w:val="20"/>
                <w:szCs w:val="20"/>
                <w:color w:val="auto"/>
              </w:rPr>
            </w:pPr>
            <w:r>
              <w:rPr>
                <w:rFonts w:ascii="Arial" w:cs="Arial" w:eastAsia="Arial" w:hAnsi="Arial"/>
                <w:sz w:val="18"/>
                <w:szCs w:val="18"/>
                <w:color w:val="auto"/>
              </w:rPr>
              <w:t>$ 17,363</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382"/>
              <w:spacing w:after="0"/>
              <w:rPr>
                <w:sz w:val="20"/>
                <w:szCs w:val="20"/>
                <w:color w:val="auto"/>
              </w:rPr>
            </w:pPr>
            <w:r>
              <w:rPr>
                <w:rFonts w:ascii="Arial" w:cs="Arial" w:eastAsia="Arial" w:hAnsi="Arial"/>
                <w:sz w:val="18"/>
                <w:szCs w:val="18"/>
                <w:color w:val="auto"/>
              </w:rPr>
              <w:t>$ 1,470</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w w:val="87"/>
              </w:rPr>
              <w:t>18,833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Depreciation and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1280" w:type="dxa"/>
            <w:vAlign w:val="bottom"/>
            <w:gridSpan w:val="3"/>
          </w:tcPr>
          <w:p>
            <w:pPr>
              <w:jc w:val="right"/>
              <w:ind w:right="366"/>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7"/>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4,967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shd w:val="clear" w:color="auto" w:fill="EEEEEE"/>
          </w:tcPr>
          <w:p>
            <w:pPr>
              <w:jc w:val="right"/>
              <w:ind w:right="366"/>
              <w:spacing w:after="0"/>
              <w:rPr>
                <w:sz w:val="20"/>
                <w:szCs w:val="20"/>
                <w:color w:val="auto"/>
              </w:rPr>
            </w:pPr>
            <w:r>
              <w:rPr>
                <w:rFonts w:ascii="Arial" w:cs="Arial" w:eastAsia="Arial" w:hAnsi="Arial"/>
                <w:sz w:val="18"/>
                <w:szCs w:val="18"/>
                <w:color w:val="auto"/>
              </w:rPr>
              <w:t>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97"/>
              <w:spacing w:after="0"/>
              <w:rPr>
                <w:sz w:val="20"/>
                <w:szCs w:val="20"/>
                <w:color w:val="auto"/>
              </w:rPr>
            </w:pPr>
            <w:r>
              <w:rPr>
                <w:rFonts w:ascii="Arial" w:cs="Arial" w:eastAsia="Arial" w:hAnsi="Arial"/>
                <w:sz w:val="18"/>
                <w:szCs w:val="18"/>
                <w:color w:val="auto"/>
              </w:rPr>
              <w:t>5,836</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5,844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3"/>
          </w:tcPr>
          <w:p>
            <w:pPr>
              <w:jc w:val="right"/>
              <w:ind w:right="306"/>
              <w:spacing w:after="0"/>
              <w:rPr>
                <w:sz w:val="20"/>
                <w:szCs w:val="20"/>
                <w:color w:val="auto"/>
              </w:rPr>
            </w:pPr>
            <w:r>
              <w:rPr>
                <w:rFonts w:ascii="Arial" w:cs="Arial" w:eastAsia="Arial" w:hAnsi="Arial"/>
                <w:sz w:val="18"/>
                <w:szCs w:val="18"/>
                <w:color w:val="auto"/>
              </w:rPr>
              <w:t>(57,699)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6"/>
          </w:tcPr>
          <w:p>
            <w:pPr>
              <w:jc w:val="right"/>
              <w:ind w:right="382"/>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77"/>
              <w:spacing w:after="0" w:line="256" w:lineRule="exact"/>
              <w:rPr>
                <w:sz w:val="20"/>
                <w:szCs w:val="20"/>
                <w:color w:val="auto"/>
              </w:rPr>
            </w:pPr>
            <w:r>
              <w:rPr>
                <w:rFonts w:ascii="Arial" w:cs="Arial" w:eastAsia="Arial" w:hAnsi="Arial"/>
                <w:sz w:val="18"/>
                <w:szCs w:val="18"/>
                <w:color w:val="auto"/>
                <w:w w:val="89"/>
              </w:rPr>
              <w:t>(3,527)</w:t>
            </w:r>
            <w:r>
              <w:rPr>
                <w:rFonts w:ascii="Arial" w:cs="Arial" w:eastAsia="Arial" w:hAnsi="Arial"/>
                <w:sz w:val="29"/>
                <w:szCs w:val="29"/>
                <w:color w:val="auto"/>
                <w:w w:val="89"/>
                <w:vertAlign w:val="superscript"/>
              </w:rPr>
              <w:t>(2)</w:t>
            </w:r>
          </w:p>
        </w:tc>
        <w:tc>
          <w:tcPr>
            <w:tcW w:w="40" w:type="dxa"/>
            <w:vAlign w:val="bottom"/>
          </w:tcPr>
          <w:p>
            <w:pPr>
              <w:spacing w:after="0"/>
              <w:rPr>
                <w:sz w:val="22"/>
                <w:szCs w:val="22"/>
                <w:color w:val="auto"/>
              </w:rPr>
            </w:pPr>
          </w:p>
        </w:tc>
        <w:tc>
          <w:tcPr>
            <w:tcW w:w="1480" w:type="dxa"/>
            <w:vAlign w:val="bottom"/>
            <w:gridSpan w:val="7"/>
          </w:tcPr>
          <w:p>
            <w:pPr>
              <w:jc w:val="right"/>
              <w:ind w:right="177"/>
              <w:spacing w:after="0"/>
              <w:rPr>
                <w:sz w:val="20"/>
                <w:szCs w:val="20"/>
                <w:color w:val="auto"/>
              </w:rPr>
            </w:pPr>
            <w:r>
              <w:rPr>
                <w:rFonts w:ascii="Arial" w:cs="Arial" w:eastAsia="Arial" w:hAnsi="Arial"/>
                <w:sz w:val="18"/>
                <w:szCs w:val="18"/>
                <w:color w:val="auto"/>
              </w:rPr>
              <w:t>(60,681)</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3"/>
            <w:shd w:val="clear" w:color="auto" w:fill="EEEEEE"/>
          </w:tcPr>
          <w:p>
            <w:pPr>
              <w:jc w:val="right"/>
              <w:ind w:right="366"/>
              <w:spacing w:after="0"/>
              <w:rPr>
                <w:sz w:val="20"/>
                <w:szCs w:val="20"/>
                <w:color w:val="auto"/>
              </w:rPr>
            </w:pPr>
            <w:r>
              <w:rPr>
                <w:rFonts w:ascii="Arial" w:cs="Arial" w:eastAsia="Arial" w:hAnsi="Arial"/>
                <w:sz w:val="18"/>
                <w:szCs w:val="18"/>
                <w:color w:val="auto"/>
              </w:rPr>
              <w:t>12,854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w w:val="87"/>
              </w:rPr>
              <w:t>12,854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440" w:type="dxa"/>
            <w:vAlign w:val="bottom"/>
          </w:tcPr>
          <w:p>
            <w:pPr>
              <w:spacing w:after="0" w:line="20" w:lineRule="exact"/>
              <w:rPr>
                <w:sz w:val="1"/>
                <w:szCs w:val="1"/>
                <w:color w:val="auto"/>
              </w:rPr>
            </w:pPr>
          </w:p>
        </w:tc>
        <w:tc>
          <w:tcPr>
            <w:tcW w:w="2520" w:type="dxa"/>
            <w:vAlign w:val="bottom"/>
            <w:gridSpan w:val="2"/>
          </w:tcPr>
          <w:p>
            <w:pPr>
              <w:spacing w:after="0"/>
              <w:rPr>
                <w:sz w:val="20"/>
                <w:szCs w:val="20"/>
                <w:color w:val="auto"/>
              </w:rPr>
            </w:pPr>
            <w:r>
              <w:rPr>
                <w:rFonts w:ascii="Arial" w:cs="Arial" w:eastAsia="Arial" w:hAnsi="Arial"/>
                <w:sz w:val="1"/>
                <w:szCs w:val="1"/>
                <w:color w:val="auto"/>
              </w:rPr>
              <w:t>Total assets</w:t>
            </w:r>
          </w:p>
        </w:tc>
        <w:tc>
          <w:tcPr>
            <w:tcW w:w="1280" w:type="dxa"/>
            <w:vAlign w:val="bottom"/>
            <w:gridSpan w:val="3"/>
          </w:tcPr>
          <w:p>
            <w:pPr>
              <w:jc w:val="right"/>
              <w:ind w:right="366"/>
              <w:spacing w:after="0"/>
              <w:rPr>
                <w:sz w:val="20"/>
                <w:szCs w:val="20"/>
                <w:color w:val="auto"/>
              </w:rPr>
            </w:pPr>
            <w:r>
              <w:rPr>
                <w:rFonts w:ascii="Arial" w:cs="Arial" w:eastAsia="Arial" w:hAnsi="Arial"/>
                <w:sz w:val="1"/>
                <w:szCs w:val="1"/>
                <w:color w:val="auto"/>
              </w:rPr>
              <w:t>88,860</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tcPr>
          <w:p>
            <w:pPr>
              <w:jc w:val="right"/>
              <w:ind w:right="382"/>
              <w:spacing w:after="0"/>
              <w:rPr>
                <w:sz w:val="20"/>
                <w:szCs w:val="20"/>
                <w:color w:val="auto"/>
              </w:rPr>
            </w:pPr>
            <w:r>
              <w:rPr>
                <w:rFonts w:ascii="Arial" w:cs="Arial" w:eastAsia="Arial" w:hAnsi="Arial"/>
                <w:sz w:val="1"/>
                <w:szCs w:val="1"/>
                <w:color w:val="auto"/>
              </w:rPr>
              <w:t>14,023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5"/>
          </w:tcPr>
          <w:p>
            <w:pPr>
              <w:jc w:val="right"/>
              <w:ind w:right="297"/>
              <w:spacing w:after="0"/>
              <w:rPr>
                <w:sz w:val="20"/>
                <w:szCs w:val="20"/>
                <w:color w:val="auto"/>
              </w:rPr>
            </w:pPr>
            <w:r>
              <w:rPr>
                <w:rFonts w:ascii="Arial" w:cs="Arial" w:eastAsia="Arial" w:hAnsi="Arial"/>
                <w:sz w:val="1"/>
                <w:szCs w:val="1"/>
                <w:color w:val="auto"/>
              </w:rPr>
              <w:t>292,664</w:t>
            </w:r>
          </w:p>
        </w:tc>
        <w:tc>
          <w:tcPr>
            <w:tcW w:w="40" w:type="dxa"/>
            <w:vAlign w:val="bottom"/>
          </w:tcPr>
          <w:p>
            <w:pPr>
              <w:spacing w:after="0" w:line="20" w:lineRule="exact"/>
              <w:rPr>
                <w:sz w:val="1"/>
                <w:szCs w:val="1"/>
                <w:color w:val="auto"/>
              </w:rPr>
            </w:pPr>
          </w:p>
        </w:tc>
        <w:tc>
          <w:tcPr>
            <w:tcW w:w="1480" w:type="dxa"/>
            <w:vAlign w:val="bottom"/>
            <w:gridSpan w:val="7"/>
          </w:tcPr>
          <w:p>
            <w:pPr>
              <w:jc w:val="right"/>
              <w:ind w:right="237"/>
              <w:spacing w:after="0"/>
              <w:rPr>
                <w:sz w:val="20"/>
                <w:szCs w:val="20"/>
                <w:color w:val="auto"/>
              </w:rPr>
            </w:pPr>
            <w:r>
              <w:rPr>
                <w:rFonts w:ascii="Arial" w:cs="Arial" w:eastAsia="Arial" w:hAnsi="Arial"/>
                <w:sz w:val="1"/>
                <w:szCs w:val="1"/>
                <w:color w:val="auto"/>
              </w:rPr>
              <w:t>395,547</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137"/>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6"/>
          </w:tcPr>
          <w:p>
            <w:pPr>
              <w:jc w:val="right"/>
              <w:ind w:right="92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680" w:right="80" w:hanging="280"/>
        <w:spacing w:after="0" w:line="194" w:lineRule="auto"/>
        <w:tabs>
          <w:tab w:leader="none" w:pos="680" w:val="left"/>
        </w:tabs>
        <w:numPr>
          <w:ilvl w:val="1"/>
          <w:numId w:val="12"/>
        </w:numPr>
        <w:rPr>
          <w:rFonts w:ascii="Arial" w:cs="Arial" w:eastAsia="Arial" w:hAnsi="Arial"/>
          <w:sz w:val="30"/>
          <w:szCs w:val="30"/>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87" w:lineRule="exact"/>
        <w:rPr>
          <w:rFonts w:ascii="Arial" w:cs="Arial" w:eastAsia="Arial" w:hAnsi="Arial"/>
          <w:sz w:val="30"/>
          <w:szCs w:val="30"/>
          <w:color w:val="auto"/>
          <w:vertAlign w:val="superscript"/>
        </w:rPr>
      </w:pPr>
    </w:p>
    <w:p>
      <w:pPr>
        <w:ind w:left="680" w:hanging="280"/>
        <w:spacing w:after="0"/>
        <w:tabs>
          <w:tab w:leader="none" w:pos="680" w:val="left"/>
        </w:tabs>
        <w:numPr>
          <w:ilvl w:val="1"/>
          <w:numId w:val="12"/>
        </w:numPr>
        <w:rPr>
          <w:rFonts w:ascii="Arial" w:cs="Arial" w:eastAsia="Arial" w:hAnsi="Arial"/>
          <w:sz w:val="30"/>
          <w:szCs w:val="30"/>
          <w:color w:val="auto"/>
          <w:vertAlign w:val="superscript"/>
        </w:rPr>
      </w:pPr>
      <w:r>
        <w:rPr>
          <w:rFonts w:ascii="Arial" w:cs="Arial" w:eastAsia="Arial" w:hAnsi="Arial"/>
          <w:sz w:val="18"/>
          <w:szCs w:val="18"/>
          <w:color w:val="auto"/>
        </w:rPr>
        <w:t>Represents investment income, net of interest expense related to convertible notes issued in October 2001.</w:t>
      </w:r>
    </w:p>
    <w:p>
      <w:pPr>
        <w:spacing w:after="0" w:line="201" w:lineRule="exact"/>
        <w:rPr>
          <w:rFonts w:ascii="Arial" w:cs="Arial" w:eastAsia="Arial" w:hAnsi="Arial"/>
          <w:sz w:val="30"/>
          <w:szCs w:val="30"/>
          <w:color w:val="auto"/>
          <w:vertAlign w:val="superscript"/>
        </w:rPr>
      </w:pPr>
    </w:p>
    <w:p>
      <w:pPr>
        <w:ind w:left="680" w:right="420" w:hanging="280"/>
        <w:spacing w:after="0" w:line="194" w:lineRule="auto"/>
        <w:tabs>
          <w:tab w:leader="none" w:pos="680" w:val="left"/>
        </w:tabs>
        <w:numPr>
          <w:ilvl w:val="1"/>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cash and cash equivalents, marketable securities, restricted marketable securities, prepaid expenses and other current assets, and other assets.</w:t>
      </w:r>
    </w:p>
    <w:p>
      <w:pPr>
        <w:spacing w:after="0" w:line="198" w:lineRule="exact"/>
        <w:rPr>
          <w:rFonts w:ascii="Arial" w:cs="Arial" w:eastAsia="Arial" w:hAnsi="Arial"/>
          <w:sz w:val="30"/>
          <w:szCs w:val="30"/>
          <w:color w:val="auto"/>
          <w:vertAlign w:val="superscript"/>
        </w:rPr>
      </w:pPr>
    </w:p>
    <w:p>
      <w:pPr>
        <w:ind w:left="340" w:hanging="317"/>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b w:val="1"/>
          <w:bCs w:val="1"/>
          <w:color w:val="auto"/>
        </w:rPr>
      </w:pPr>
    </w:p>
    <w:p>
      <w:pPr>
        <w:ind w:left="340" w:right="1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complaint is without merit, and in December 2003 the Company filed a motion to dismiss the lawsuit. The ultimate outcome of this matter cannot presently be determined. Accordingly, no provision for any liability that may result upon the resolution of this matter has been made in the accompanying financial statements.</w:t>
      </w:r>
    </w:p>
    <w:p>
      <w:pPr>
        <w:spacing w:after="0" w:line="174" w:lineRule="exact"/>
        <w:rPr>
          <w:rFonts w:ascii="Arial" w:cs="Arial" w:eastAsia="Arial" w:hAnsi="Arial"/>
          <w:sz w:val="18"/>
          <w:szCs w:val="18"/>
          <w:b w:val="1"/>
          <w:bCs w:val="1"/>
          <w:color w:val="auto"/>
        </w:rPr>
      </w:pPr>
    </w:p>
    <w:p>
      <w:pPr>
        <w:ind w:left="340" w:hanging="327"/>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29"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April 2004, the Emerging Issues Task Force issued Statement No. 03-6, </w:t>
      </w:r>
      <w:r>
        <w:rPr>
          <w:rFonts w:ascii="Arial" w:cs="Arial" w:eastAsia="Arial" w:hAnsi="Arial"/>
          <w:sz w:val="17"/>
          <w:szCs w:val="17"/>
          <w:i w:val="1"/>
          <w:iCs w:val="1"/>
          <w:color w:val="auto"/>
        </w:rPr>
        <w:t>Participating Securities and the Two-Class Method under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128, Earnings per Share </w:t>
      </w:r>
      <w:r>
        <w:rPr>
          <w:rFonts w:ascii="Arial" w:cs="Arial" w:eastAsia="Arial" w:hAnsi="Arial"/>
          <w:sz w:val="17"/>
          <w:szCs w:val="17"/>
          <w:color w:val="auto"/>
        </w:rPr>
        <w:t>(EITF 03-6). EITF 03-6 addresses a number of questions regarding the computation of earnings per share (“EPS”) by</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that 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the Company has no participating securities, the Company’s adoption of EITF 03-6 did not have a material impact on the Company’s financial statements.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2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6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our clinical programs.</w:t>
      </w:r>
    </w:p>
    <w:p>
      <w:pPr>
        <w:spacing w:after="0" w:line="221" w:lineRule="exact"/>
        <w:rPr>
          <w:sz w:val="20"/>
          <w:szCs w:val="20"/>
          <w:color w:val="auto"/>
        </w:rPr>
      </w:pPr>
    </w:p>
    <w:p>
      <w:pPr>
        <w:ind w:left="340" w:hanging="179"/>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VEGF TRAP: </w:t>
      </w:r>
      <w:r>
        <w:rPr>
          <w:rFonts w:ascii="Arial" w:cs="Arial" w:eastAsia="Arial" w:hAnsi="Arial"/>
          <w:sz w:val="17"/>
          <w:szCs w:val="17"/>
          <w:color w:val="auto"/>
        </w:rPr>
        <w:t>Protein-based product candidate designed to bind Vascular Endothelial Growth Factor (called VEGF, also known as Vascular</w:t>
      </w:r>
      <w:r>
        <w:rPr>
          <w:rFonts w:ascii="Arial" w:cs="Arial" w:eastAsia="Arial" w:hAnsi="Arial"/>
          <w:sz w:val="17"/>
          <w:szCs w:val="17"/>
          <w:b w:val="1"/>
          <w:bCs w:val="1"/>
          <w:color w:val="auto"/>
        </w:rPr>
        <w:t xml:space="preserve"> </w:t>
      </w:r>
      <w:r>
        <w:rPr>
          <w:rFonts w:ascii="Arial" w:cs="Arial" w:eastAsia="Arial" w:hAnsi="Arial"/>
          <w:sz w:val="17"/>
          <w:szCs w:val="17"/>
          <w:color w:val="auto"/>
        </w:rPr>
        <w:t>Permeability Factor or VPF) and the related Placental Growth Factor (called P1GF), and prevent their interaction with cell surface receptors. VEGF (and to a less validated degree, P1GF) is required for the growth of new blood vessels that are needed for tumors to grow and is a potent regulator of vascular permeability and leakage. In 2001, we initiated a dose-escalation phase 1 clinical trial designed to assess the safety and tolerability of the VEGF Trap in subjects with advanced solid tumor malignancies. This trial, which tested VEGF Trap delivered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color w:val="auto"/>
        </w:rPr>
        <w:t>by subcutaneous injection, was completed and the preliminary results of the study were announced at the annual meeting of the American Society of Clinical Oncology (ASCO) in June 2004. The phase 1 trial was an open label, dose-escalation study conducted at three sites in the United States. The study enrolled and treated 38 patients with incurable, relapsed or refractory solid tumors, with subcutaneous injections of VEGF Trap. In total, the trial enrolled patients with 15 different types of cancer. Preliminary results of this study indicated that:</w:t>
      </w:r>
    </w:p>
    <w:p>
      <w:pPr>
        <w:spacing w:after="0" w:line="171" w:lineRule="exact"/>
        <w:rPr>
          <w:sz w:val="20"/>
          <w:szCs w:val="20"/>
          <w:color w:val="auto"/>
        </w:rPr>
      </w:pPr>
    </w:p>
    <w:p>
      <w:pPr>
        <w:ind w:left="440" w:hanging="168"/>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VEGF Trap was generally well-tolerated at the dose levels studied,</w:t>
      </w:r>
    </w:p>
    <w:p>
      <w:pPr>
        <w:spacing w:after="0" w:line="225" w:lineRule="exact"/>
        <w:rPr>
          <w:rFonts w:ascii="Arial" w:cs="Arial" w:eastAsia="Arial" w:hAnsi="Arial"/>
          <w:sz w:val="18"/>
          <w:szCs w:val="18"/>
          <w:color w:val="auto"/>
        </w:rPr>
      </w:pPr>
    </w:p>
    <w:p>
      <w:pPr>
        <w:ind w:left="440" w:right="160" w:hanging="168"/>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majority of adverse events were mild to moderate in severity, not uncommonly experienced by patients with advanced cancer, and similar to those encountered in clinical trials of other anti-angiogenesis agents, including an approved anti-VEGF antibody, and</w:t>
      </w:r>
    </w:p>
    <w:p>
      <w:pPr>
        <w:spacing w:after="0" w:line="170" w:lineRule="exact"/>
        <w:rPr>
          <w:rFonts w:ascii="Arial" w:cs="Arial" w:eastAsia="Arial" w:hAnsi="Arial"/>
          <w:sz w:val="18"/>
          <w:szCs w:val="18"/>
          <w:color w:val="auto"/>
        </w:rPr>
      </w:pPr>
    </w:p>
    <w:p>
      <w:pPr>
        <w:ind w:left="440" w:hanging="168"/>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circulating levels of the VEGF Trap at the highest dose (1.6 mg/kg per week) were consistent with levels observed to be effective in preclinical models.</w:t>
      </w:r>
    </w:p>
    <w:p>
      <w:pPr>
        <w:spacing w:after="0" w:line="248" w:lineRule="exact"/>
        <w:rPr>
          <w:sz w:val="20"/>
          <w:szCs w:val="20"/>
          <w:color w:val="auto"/>
        </w:rPr>
      </w:pPr>
    </w:p>
    <w:p>
      <w:pPr>
        <w:ind w:left="340" w:right="160"/>
        <w:spacing w:after="0" w:line="342" w:lineRule="auto"/>
        <w:rPr>
          <w:sz w:val="20"/>
          <w:szCs w:val="20"/>
          <w:color w:val="auto"/>
        </w:rPr>
      </w:pPr>
      <w:r>
        <w:rPr>
          <w:rFonts w:ascii="Arial" w:cs="Arial" w:eastAsia="Arial" w:hAnsi="Arial"/>
          <w:sz w:val="16"/>
          <w:szCs w:val="16"/>
          <w:color w:val="auto"/>
        </w:rPr>
        <w:t>Detailed results of the trial are expected to be published in a peer-reviewed journal once all patients complete the extended treatment phase available to patients who maintained stable disease after the initial 10-week treatment period and the full results of the extension phase have been analyzed.</w:t>
      </w:r>
    </w:p>
    <w:p>
      <w:pPr>
        <w:spacing w:after="0" w:line="124"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A second phase 1 trial, which commenced in April 2004, is studying higher VEGF Trap exposures through intravenous administration. This study is also designed to evaluate the safety, tolerability, and pharmacokinetics of intravenous VEGF Trap. We are also evaluating the VEGF Trap for the potential treatment of certain eye diseases and in March 2004 announced the initiation of a phase 1 study of the VEGF Trap in patients with the neovascular or “wet” form of age-related macular degeneration (AMD). This phase 1 trial is a randomized, placebo-controlled, dose-escalating study designed to assess the safety and tolerability of VEGF Trap delivered by intravenous infusions in subjects with wet AMD and obtain a preliminary assessment of the potential effect of the VEGF Trap on visual acuity. In addition to existing programs, we will also explore the possibility of studying the use of the VEGF Trap, delivered through intravitreal administration, in different eye diseases.</w:t>
      </w:r>
    </w:p>
    <w:p>
      <w:pPr>
        <w:spacing w:after="0" w:line="178"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In September 2003, we entered into a collaboration agreement with Aventis Pharmaceuticals Inc. to jointly develop and commercialize the VEGF Trap in multiple oncology, ophthalmology, and possibly other indications throughout the world with the exception of Japan, where product rights remain with us. 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In 2004, we and Aventis plan to increase research and development spending to expand the development of the VEGF Trap. The broad based clinical development program is anticipated to include multiple studies to evaluate the VEGF Trap in single agent and in combination with other cancer treatments.</w:t>
      </w:r>
    </w:p>
    <w:p>
      <w:pPr>
        <w:spacing w:after="0" w:line="163" w:lineRule="exact"/>
        <w:rPr>
          <w:sz w:val="20"/>
          <w:szCs w:val="20"/>
          <w:color w:val="auto"/>
        </w:rPr>
      </w:pPr>
    </w:p>
    <w:p>
      <w:pPr>
        <w:ind w:left="340" w:right="540" w:hanging="179"/>
        <w:spacing w:after="0" w:line="28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INTERLEUKlN-1 TRAP (IL-1 Trap): </w:t>
      </w:r>
      <w:r>
        <w:rPr>
          <w:rFonts w:ascii="Arial" w:cs="Arial" w:eastAsia="Arial" w:hAnsi="Arial"/>
          <w:sz w:val="18"/>
          <w:szCs w:val="18"/>
          <w:color w:val="auto"/>
        </w:rPr>
        <w:t>Protein-based product candidate designed to bind the interleukin-1 (called IL-1) cytokine and prevent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 with cell surface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receptors. IL-1 is thought to play an important role in rheumatoid arthritis and other inflammatory diseases. In October 2003, we announced that the IL-1 Trap demonstrated evidence of clinical activity and safety in patients with rheumatoid arthritis (RA)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serious drug-related adverse events.</w:t>
      </w:r>
    </w:p>
    <w:p>
      <w:pPr>
        <w:spacing w:after="0" w:line="193"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We plan to initiate a phase 2b study of the IL-1 Trap in patients with rheumatoid arthritis in the next twelve months. The phase 2b study will be conducted in a larger patient population, testing higher doses and for a longer period of time than in the previous phase 2 trial. In addition, we intend to conduct studies of the IL-1 Trap in a variety of other inflammatory diseases where interleukin-1 is believed to play an important role. We are currently working on new product formulations that would allow delivery of higher doses of IL-1 Trap either through subcutaneous or intravenous administration and have initiated patient tolerability studies to evaluate these new formulations.</w:t>
      </w:r>
    </w:p>
    <w:p>
      <w:pPr>
        <w:spacing w:after="0" w:line="188"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In March 2003, we began collaborating with Novartis Pharma AG on the development of the IL-1 Trap. On February 27, 2004, Novartis provided notice of its intention not to proceed with the joint development of the IL-1 Trap. In March 2004, Novartis agreed to pay us $42.75 million to satisfy its obligation to fund development costs for the nine month period following its notification and for the two months prior to that notice. Novartis paid us the $42.75 million in April 2004. All rights to the IL-1 Trap have reverted to Regeneron. Novartis and we retain rights under the collaboration agreement to elect to collaborate in the future on the development and commercialization of certain other IL-1 antagonists. In March 2004, we also achieved a pre-defined development milestone and Novartis forgave all its outstanding loans to us totaling $17.8 million.</w:t>
      </w:r>
    </w:p>
    <w:p>
      <w:pPr>
        <w:spacing w:after="0" w:line="174" w:lineRule="exact"/>
        <w:rPr>
          <w:sz w:val="20"/>
          <w:szCs w:val="20"/>
          <w:color w:val="auto"/>
        </w:rPr>
      </w:pPr>
    </w:p>
    <w:p>
      <w:pPr>
        <w:ind w:left="340" w:right="60" w:hanging="179"/>
        <w:spacing w:after="0" w:line="273"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INTERLEUKIN-4/INTERLEUKIN-13 TRAP (IL-4/13 Trap): </w:t>
      </w:r>
      <w:r>
        <w:rPr>
          <w:rFonts w:ascii="Arial" w:cs="Arial" w:eastAsia="Arial" w:hAnsi="Arial"/>
          <w:sz w:val="17"/>
          <w:szCs w:val="17"/>
          <w:color w:val="auto"/>
        </w:rPr>
        <w:t>Protein-based product candidate designed to bind both the interleukin-4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interleukin-13 (called IL-4 and IL-13) cytokines and prevent their interaction with cell surface receptors. IL-4 and IL-13 are thought to play a major role in diseases such as asthma, allergic disorders, and other inflammatory diseases. In October 2002, we initiated a phase 1 trial for the IL-4/13 Trap in adult subjects with mild to moderate asthma. This placebo-controlled, double-blind, dose escalation study was designed to assess the safety and tolerability of the IL-4/13 Trap delivered by subcutaneous injections. The trial was completed in the first quarter of 2004, and the results were presented at a scientific conference during the second quarter of 2004. The IL-4/13 Trap was generally safe and well tolerated at the doses tested in this phase 1 trial. We are evaluating the potential use of the IL-4/13 Trap in other therapeutic indications.</w:t>
      </w:r>
    </w:p>
    <w:p>
      <w:pPr>
        <w:spacing w:after="0" w:line="175" w:lineRule="exact"/>
        <w:rPr>
          <w:rFonts w:ascii="Arial" w:cs="Arial" w:eastAsia="Arial" w:hAnsi="Arial"/>
          <w:sz w:val="17"/>
          <w:szCs w:val="17"/>
          <w:color w:val="auto"/>
        </w:rPr>
      </w:pPr>
    </w:p>
    <w:p>
      <w:pPr>
        <w:ind w:left="340" w:right="380" w:hanging="179"/>
        <w:spacing w:after="0" w:line="203" w:lineRule="auto"/>
        <w:tabs>
          <w:tab w:leader="none" w:pos="34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AXOKINE </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Protein-based product candidate designed to act on the brain region regulating appetite and energy expenditure. AXOKINE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treatment of obesity. In March 2003, we reported data from the 12-month treatment period of our initial phase 3 pivotal trial of AXOKINE. The double-blind treatment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period in this study was followed by a twelve-month open-label extension phase, during which all study subjects received AXOKINE. The extension phase was completed in the first quarter of 2004. We are currently conducting research on AXOKINE and evaluating its commercial potential. We do not expect to initiate any additional phase 3 clinical trials of AXOKINE in 2004.</w:t>
      </w:r>
    </w:p>
    <w:p>
      <w:pPr>
        <w:spacing w:after="0" w:line="181" w:lineRule="exact"/>
        <w:rPr>
          <w:sz w:val="20"/>
          <w:szCs w:val="20"/>
          <w:color w:val="auto"/>
        </w:rPr>
      </w:pPr>
    </w:p>
    <w:p>
      <w:pPr>
        <w:ind w:right="40" w:firstLine="225"/>
        <w:spacing w:after="0" w:line="252" w:lineRule="auto"/>
        <w:rPr>
          <w:sz w:val="20"/>
          <w:szCs w:val="20"/>
          <w:color w:val="auto"/>
        </w:rPr>
      </w:pPr>
      <w:r>
        <w:rPr>
          <w:rFonts w:ascii="Arial" w:cs="Arial" w:eastAsia="Arial" w:hAnsi="Arial"/>
          <w:sz w:val="17"/>
          <w:szCs w:val="17"/>
          <w:color w:val="auto"/>
        </w:rPr>
        <w:t>In addition to our clinical programs, we have research programs focused on angiogenesis, metabolic diseases, muscle atrophy and related disorders, inflammatory conditions, and other diseases and disorders. We also use our Velocigene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Trap technology platforms to discover and develop new product candidates and are developing our Velocimmune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platform to create fully human, therapeutic antibodies.</w:t>
      </w:r>
    </w:p>
    <w:p>
      <w:pPr>
        <w:spacing w:after="0" w:line="3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U.S. Food and Drug Administration (or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5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From inception on January 8, 1988 through June 30, 2004, we had a cumulative loss of $481.6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IL-1 Trap, IL-4/13 Trap, and AXOKINE; commercialize product candidates that receive regulatory approval, if any; advance new product candidates into clinical development from our existing research programs; and continue our research and development programs.</w:t>
      </w:r>
    </w:p>
    <w:p>
      <w:pPr>
        <w:spacing w:after="0" w:line="11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154"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key first half of 2004 clinical events and plans for the next twelve months are as follows: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1560" w:type="dxa"/>
            <w:vAlign w:val="bottom"/>
          </w:tcPr>
          <w:p>
            <w:pPr>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Pr>
          <w:p>
            <w:pPr>
              <w:ind w:left="760"/>
              <w:spacing w:after="0"/>
              <w:rPr>
                <w:sz w:val="20"/>
                <w:szCs w:val="20"/>
                <w:color w:val="auto"/>
              </w:rPr>
            </w:pPr>
            <w:r>
              <w:rPr>
                <w:rFonts w:ascii="Arial" w:cs="Arial" w:eastAsia="Arial" w:hAnsi="Arial"/>
                <w:sz w:val="14"/>
                <w:szCs w:val="14"/>
                <w:b w:val="1"/>
                <w:bCs w:val="1"/>
                <w:color w:val="auto"/>
              </w:rPr>
              <w:t>First Half of 2004 Events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ind w:left="1480"/>
              <w:spacing w:after="0"/>
              <w:rPr>
                <w:sz w:val="20"/>
                <w:szCs w:val="20"/>
                <w:color w:val="auto"/>
              </w:rPr>
            </w:pPr>
            <w:r>
              <w:rPr>
                <w:rFonts w:ascii="Arial" w:cs="Arial" w:eastAsia="Arial" w:hAnsi="Arial"/>
                <w:sz w:val="14"/>
                <w:szCs w:val="14"/>
                <w:b w:val="1"/>
                <w:bCs w:val="1"/>
                <w:color w:val="auto"/>
              </w:rPr>
              <w:t>Twelve-Month Plans</w:t>
            </w:r>
          </w:p>
        </w:tc>
      </w:tr>
      <w:tr>
        <w:trPr>
          <w:trHeight w:val="66"/>
        </w:trPr>
        <w:tc>
          <w:tcPr>
            <w:tcW w:w="15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20" w:type="dxa"/>
            <w:vAlign w:val="bottom"/>
            <w:tcBorders>
              <w:bottom w:val="single" w:sz="8" w:color="808080"/>
            </w:tcBorders>
          </w:tcPr>
          <w:p>
            <w:pPr>
              <w:spacing w:after="0"/>
              <w:rPr>
                <w:sz w:val="5"/>
                <w:szCs w:val="5"/>
                <w:color w:val="auto"/>
              </w:rPr>
            </w:pPr>
          </w:p>
        </w:tc>
      </w:tr>
      <w:tr>
        <w:trPr>
          <w:trHeight w:val="263"/>
        </w:trPr>
        <w:tc>
          <w:tcPr>
            <w:tcW w:w="1560" w:type="dxa"/>
            <w:vAlign w:val="bottom"/>
          </w:tcPr>
          <w:p>
            <w:pPr>
              <w:spacing w:after="0"/>
              <w:rPr>
                <w:sz w:val="20"/>
                <w:szCs w:val="20"/>
                <w:color w:val="auto"/>
              </w:rPr>
            </w:pPr>
            <w:r>
              <w:rPr>
                <w:rFonts w:ascii="Arial" w:cs="Arial" w:eastAsia="Arial" w:hAnsi="Arial"/>
                <w:sz w:val="18"/>
                <w:szCs w:val="18"/>
                <w:color w:val="auto"/>
              </w:rPr>
              <w:t>VEGF Trap</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Completed phase 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Commence additional single-agent</w:t>
            </w: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subcutaneous single-agent</w:t>
            </w:r>
          </w:p>
        </w:tc>
        <w:tc>
          <w:tcPr>
            <w:tcW w:w="26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and combination trials</w:t>
            </w: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trial in cancer</w:t>
            </w:r>
          </w:p>
        </w:tc>
        <w:tc>
          <w:tcPr>
            <w:tcW w:w="26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in cancer indications</w:t>
            </w:r>
          </w:p>
        </w:tc>
      </w:tr>
      <w:tr>
        <w:trPr>
          <w:trHeight w:val="216"/>
        </w:trPr>
        <w:tc>
          <w:tcPr>
            <w:tcW w:w="15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Commenced phase 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Commence additional</w:t>
            </w: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intravenous single-agent</w:t>
            </w:r>
          </w:p>
        </w:tc>
        <w:tc>
          <w:tcPr>
            <w:tcW w:w="26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studies in eye diseases</w:t>
            </w:r>
          </w:p>
        </w:tc>
      </w:tr>
      <w:tr>
        <w:trPr>
          <w:trHeight w:val="230"/>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trial in cancer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ind w:left="2520"/>
        <w:spacing w:after="0"/>
        <w:tabs>
          <w:tab w:leader="none" w:pos="2800" w:val="left"/>
        </w:tabs>
        <w:rPr>
          <w:sz w:val="20"/>
          <w:szCs w:val="20"/>
          <w:color w:val="auto"/>
        </w:rPr>
      </w:pPr>
      <w:r>
        <w:rPr>
          <w:rFonts w:ascii="Arial" w:cs="Arial" w:eastAsia="Arial" w:hAnsi="Arial"/>
          <w:sz w:val="18"/>
          <w:szCs w:val="18"/>
          <w:color w:val="auto"/>
        </w:rPr>
        <w:t>•</w:t>
        <w:tab/>
        <w:t>Commenced phase 1 trial</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neovascular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age-related macular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203200</wp:posOffset>
            </wp:positionV>
            <wp:extent cx="61575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400" w:lineRule="exact"/>
        <w:rPr>
          <w:sz w:val="20"/>
          <w:szCs w:val="20"/>
          <w:color w:val="auto"/>
        </w:rPr>
      </w:pPr>
    </w:p>
    <w:p>
      <w:pPr>
        <w:ind w:left="860"/>
        <w:spacing w:after="0"/>
        <w:tabs>
          <w:tab w:leader="none" w:pos="2500" w:val="left"/>
          <w:tab w:leader="none" w:pos="2800" w:val="left"/>
        </w:tabs>
        <w:rPr>
          <w:sz w:val="20"/>
          <w:szCs w:val="20"/>
          <w:color w:val="auto"/>
        </w:rPr>
      </w:pPr>
      <w:r>
        <w:rPr>
          <w:rFonts w:ascii="Arial" w:cs="Arial" w:eastAsia="Arial" w:hAnsi="Arial"/>
          <w:sz w:val="18"/>
          <w:szCs w:val="18"/>
          <w:color w:val="auto"/>
        </w:rPr>
        <w:t>IL-1 Trap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Planned for phase 2b trial in</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rheumatoid arthritis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02" w:right="3060" w:hanging="302"/>
        <w:spacing w:after="0" w:line="274" w:lineRule="auto"/>
        <w:tabs>
          <w:tab w:leader="none" w:pos="30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Commence phase 2b trial in rheumatoid arthritis</w:t>
      </w:r>
    </w:p>
    <w:p>
      <w:pPr>
        <w:ind w:left="302" w:right="1160" w:hanging="302"/>
        <w:spacing w:after="0" w:line="250" w:lineRule="auto"/>
        <w:tabs>
          <w:tab w:leader="none" w:pos="3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 exploratory proof of concept trials in other indications</w:t>
      </w:r>
    </w:p>
    <w:p>
      <w:pPr>
        <w:ind w:left="302" w:right="3120" w:hanging="302"/>
        <w:spacing w:after="0" w:line="323" w:lineRule="auto"/>
        <w:tabs>
          <w:tab w:leader="none" w:pos="3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 IL-1 Trap in other inflammatory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157480</wp:posOffset>
            </wp:positionV>
            <wp:extent cx="61575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18" w:space="720"/>
            <w:col w:w="5382"/>
          </w:cols>
          <w:pgMar w:left="240" w:top="419" w:right="239" w:bottom="1440" w:gutter="0" w:footer="0" w:header="0"/>
          <w:type w:val="continuous"/>
        </w:sectPr>
      </w:pPr>
    </w:p>
    <w:p>
      <w:pPr>
        <w:spacing w:after="0" w:line="128" w:lineRule="exact"/>
        <w:rPr>
          <w:sz w:val="20"/>
          <w:szCs w:val="20"/>
          <w:color w:val="auto"/>
        </w:rPr>
      </w:pPr>
    </w:p>
    <w:p>
      <w:pPr>
        <w:ind w:left="860"/>
        <w:spacing w:after="0"/>
        <w:tabs>
          <w:tab w:leader="none" w:pos="2500" w:val="left"/>
          <w:tab w:leader="none" w:pos="2800" w:val="left"/>
        </w:tabs>
        <w:rPr>
          <w:sz w:val="20"/>
          <w:szCs w:val="20"/>
          <w:color w:val="auto"/>
        </w:rPr>
      </w:pPr>
      <w:r>
        <w:rPr>
          <w:rFonts w:ascii="Arial" w:cs="Arial" w:eastAsia="Arial" w:hAnsi="Arial"/>
          <w:sz w:val="18"/>
          <w:szCs w:val="18"/>
          <w:color w:val="auto"/>
        </w:rPr>
        <w:t>IL-4/13 Trap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Completed phase 1 trial</w:t>
      </w:r>
    </w:p>
    <w:p>
      <w:pPr>
        <w:spacing w:after="0" w:line="23" w:lineRule="exact"/>
        <w:rPr>
          <w:sz w:val="20"/>
          <w:szCs w:val="20"/>
          <w:color w:val="auto"/>
        </w:rPr>
      </w:pPr>
    </w:p>
    <w:p>
      <w:pPr>
        <w:jc w:val="center"/>
        <w:ind w:left="1002"/>
        <w:spacing w:after="0"/>
        <w:rPr>
          <w:sz w:val="20"/>
          <w:szCs w:val="20"/>
          <w:color w:val="auto"/>
        </w:rPr>
      </w:pPr>
      <w:r>
        <w:rPr>
          <w:rFonts w:ascii="Arial" w:cs="Arial" w:eastAsia="Arial" w:hAnsi="Arial"/>
          <w:sz w:val="18"/>
          <w:szCs w:val="18"/>
          <w:color w:val="auto"/>
        </w:rPr>
        <w:t>in asthma</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02" w:right="2840" w:hanging="302"/>
        <w:spacing w:after="0" w:line="277" w:lineRule="auto"/>
        <w:tabs>
          <w:tab w:leader="none" w:pos="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 for phase 2 trial in asthma or other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177165</wp:posOffset>
            </wp:positionV>
            <wp:extent cx="6157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18" w:space="720"/>
            <w:col w:w="5382"/>
          </w:cols>
          <w:pgMar w:left="240" w:top="419"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860"/>
              <w:spacing w:after="0"/>
              <w:rPr>
                <w:sz w:val="20"/>
                <w:szCs w:val="20"/>
                <w:color w:val="auto"/>
              </w:rPr>
            </w:pPr>
            <w:r>
              <w:rPr>
                <w:rFonts w:ascii="Arial" w:cs="Arial" w:eastAsia="Arial" w:hAnsi="Arial"/>
                <w:sz w:val="18"/>
                <w:szCs w:val="18"/>
                <w:color w:val="auto"/>
              </w:rPr>
              <w:t>AXOKINE</w:t>
            </w:r>
          </w:p>
        </w:tc>
        <w:tc>
          <w:tcPr>
            <w:tcW w:w="160" w:type="dxa"/>
            <w:vAlign w:val="bottom"/>
          </w:tcPr>
          <w:p>
            <w:pPr>
              <w:spacing w:after="0"/>
              <w:rPr>
                <w:sz w:val="18"/>
                <w:szCs w:val="18"/>
                <w:color w:val="auto"/>
              </w:rPr>
            </w:pPr>
          </w:p>
        </w:tc>
        <w:tc>
          <w:tcPr>
            <w:tcW w:w="3920" w:type="dxa"/>
            <w:vAlign w:val="bottom"/>
          </w:tcPr>
          <w:p>
            <w:pPr>
              <w:jc w:val="right"/>
              <w:ind w:right="30"/>
              <w:spacing w:after="0"/>
              <w:rPr>
                <w:sz w:val="20"/>
                <w:szCs w:val="20"/>
                <w:color w:val="auto"/>
              </w:rPr>
            </w:pPr>
            <w:r>
              <w:rPr>
                <w:rFonts w:ascii="Arial" w:cs="Arial" w:eastAsia="Arial" w:hAnsi="Arial"/>
                <w:sz w:val="18"/>
                <w:szCs w:val="18"/>
                <w:color w:val="auto"/>
              </w:rPr>
              <w:t>•   Additional research and development and</w:t>
            </w:r>
          </w:p>
        </w:tc>
        <w:tc>
          <w:tcPr>
            <w:tcW w:w="4640" w:type="dxa"/>
            <w:vAlign w:val="bottom"/>
            <w:gridSpan w:val="8"/>
          </w:tcPr>
          <w:p>
            <w:pPr>
              <w:ind w:left="120"/>
              <w:spacing w:after="0"/>
              <w:rPr>
                <w:sz w:val="20"/>
                <w:szCs w:val="20"/>
                <w:color w:val="auto"/>
              </w:rPr>
            </w:pPr>
            <w:r>
              <w:rPr>
                <w:rFonts w:ascii="Arial" w:cs="Arial" w:eastAsia="Arial" w:hAnsi="Arial"/>
                <w:sz w:val="18"/>
                <w:szCs w:val="18"/>
                <w:color w:val="auto"/>
              </w:rPr>
              <w:t>•   Make decision on further development of AXOKINE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820"/>
              <w:spacing w:after="0"/>
              <w:rPr>
                <w:sz w:val="20"/>
                <w:szCs w:val="20"/>
                <w:color w:val="auto"/>
              </w:rPr>
            </w:pPr>
            <w:r>
              <w:rPr>
                <w:rFonts w:ascii="Arial" w:cs="Arial" w:eastAsia="Arial" w:hAnsi="Arial"/>
                <w:sz w:val="18"/>
                <w:szCs w:val="18"/>
                <w:color w:val="auto"/>
              </w:rPr>
              <w:t>market research activities</w:t>
            </w:r>
          </w:p>
        </w:tc>
        <w:tc>
          <w:tcPr>
            <w:tcW w:w="4640" w:type="dxa"/>
            <w:vAlign w:val="bottom"/>
            <w:gridSpan w:val="8"/>
            <w:vMerge w:val="restart"/>
          </w:tcPr>
          <w:p>
            <w:pPr>
              <w:ind w:left="120"/>
              <w:spacing w:after="0"/>
              <w:rPr>
                <w:sz w:val="20"/>
                <w:szCs w:val="20"/>
                <w:color w:val="auto"/>
              </w:rPr>
            </w:pPr>
            <w:r>
              <w:rPr>
                <w:rFonts w:ascii="Arial" w:cs="Arial" w:eastAsia="Arial" w:hAnsi="Arial"/>
                <w:sz w:val="18"/>
                <w:szCs w:val="18"/>
                <w:color w:val="auto"/>
              </w:rPr>
              <w:t>•   No new phase 3 trials planned at this time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40" w:type="dxa"/>
            <w:vAlign w:val="bottom"/>
            <w:gridSpan w:val="8"/>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7"/>
              </w:rPr>
              <w:t>Results of Operations</w:t>
            </w: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Three Months Ended June 30, 2004 and 2003</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80" w:type="dxa"/>
            <w:vAlign w:val="bottom"/>
            <w:gridSpan w:val="8"/>
          </w:tcPr>
          <w:p>
            <w:pPr>
              <w:ind w:left="240"/>
              <w:spacing w:after="0"/>
              <w:rPr>
                <w:sz w:val="20"/>
                <w:szCs w:val="20"/>
                <w:color w:val="auto"/>
              </w:rPr>
            </w:pPr>
            <w:r>
              <w:rPr>
                <w:rFonts w:ascii="Arial" w:cs="Arial" w:eastAsia="Arial" w:hAnsi="Arial"/>
                <w:sz w:val="18"/>
                <w:szCs w:val="18"/>
                <w:color w:val="auto"/>
              </w:rPr>
              <w:t>Revenues in the three months ended June 30, 2004 and 2003 consist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tcBorders>
              <w:left w:val="single" w:sz="8" w:color="EEEEEE"/>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Aventis</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 —</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Novartis</w:t>
            </w:r>
          </w:p>
        </w:tc>
        <w:tc>
          <w:tcPr>
            <w:tcW w:w="2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200" w:type="dxa"/>
            <w:vAlign w:val="bottom"/>
            <w:tcBorders>
              <w:left w:val="single" w:sz="8" w:color="EEEEEE"/>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Procter &amp; Gamble</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230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spacing w:after="0"/>
              <w:rPr>
                <w:sz w:val="18"/>
                <w:szCs w:val="18"/>
                <w:color w:val="auto"/>
              </w:rPr>
            </w:pPr>
          </w:p>
        </w:tc>
        <w:tc>
          <w:tcPr>
            <w:tcW w:w="2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0.1</w:t>
            </w:r>
          </w:p>
        </w:tc>
        <w:tc>
          <w:tcPr>
            <w:tcW w:w="1200" w:type="dxa"/>
            <w:vAlign w:val="bottom"/>
            <w:tcBorders>
              <w:left w:val="single" w:sz="8" w:color="EEEEEE"/>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w w:val="95"/>
              </w:rPr>
              <w:t>Total contract research &amp; development revenue</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Contract manufacturing revenue</w:t>
            </w:r>
          </w:p>
        </w:tc>
        <w:tc>
          <w:tcPr>
            <w:tcW w:w="230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spacing w:after="0"/>
              <w:rPr>
                <w:sz w:val="18"/>
                <w:szCs w:val="18"/>
                <w:color w:val="auto"/>
              </w:rPr>
            </w:pPr>
          </w:p>
        </w:tc>
        <w:tc>
          <w:tcPr>
            <w:tcW w:w="2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0.8</w:t>
            </w:r>
          </w:p>
        </w:tc>
        <w:tc>
          <w:tcPr>
            <w:tcW w:w="1200" w:type="dxa"/>
            <w:vAlign w:val="bottom"/>
            <w:tcBorders>
              <w:left w:val="single" w:sz="8" w:color="EEEEEE"/>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21</w:t>
            </w:r>
          </w:p>
        </w:tc>
        <w:tc>
          <w:tcPr>
            <w:tcW w:w="2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Our total revenue increased to $28.4 million in the second quarter of 2004 from $8.9 million for the same period in 2003 primarily from revenue related to our collaboration with Aventis on the VEGF Trap, which commenced in September 2003. Contract research and development revenue from collaborators consists partly of reimbursement for research and development expenses and partly of the recognition of revenue related to non refundable, up-front payments.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In the second quarter of 2004, in connection with the collaboration with Aventis, we recognized $20.7 million in reimbursement for research and development expenses and $2.7 million in revenue related to an $80.0 million up-front non-refundable payment which was received in September of 2003. In the second quarter of 2003, in connection with our collaboration agreement with Novartis on the IL-1 Trap, we recognized $4.1 million in reimbursement for development expenses and $1.3 million in revenue related to a $27.0 million up-front non-refundable payment. In the first quarter of 2004, Novartis provided notice of its intention not to proceed with the joint development of the IL-1 Trap. As a result, we do not expect to recognize any future contract research and development revenue from Novartis.</w:t>
      </w:r>
    </w:p>
    <w:p>
      <w:pPr>
        <w:spacing w:after="0" w:line="14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Contract manufacturing revenue relates primarily to our long-term agreement with Merck &amp; Co., Inc. to manufacture a vaccine intermediate at our Rensselaer, New York facility. This agreement expires in October of 2005, unless extended by mutual agreement. Contract manufacturing revenue increased to $1.3 million in the second quarter of 2004 from $0.8 million for the same period in 2003, principally from an increase in product shipments to Merck in 2004 compared to the same period in 2003. Revenue and the related manufacturing expense are recognized as product is shipped, after acceptance by Merck. Included in contract manufacturing revenue in the second quarter of 2004 was $0.1 million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Research and development (R&amp;D) expenses increased to $36.3 million in the second quarter of 2004 from $33.7 million for the same period of 2003, due primarily to (i) a $3.8 million increase in clinical supply production material, outside testing, and research contract expenses, which principally relate to the VEGF Trap and IL-1 Trap, (ii) a $2.0 million increase in other R&amp;D expenses, primarily facility expenses at our expanded Rensselaer facility such as rent, utilities, insurance, and depreciation, and (iii) a $1.1 million increase in payroll related expenses. These increases were offset by a $4.3 million decrease in clinical trial expenses associated primarily with the completion of the double-blind treatment portion of our AXOKINE phase 3 clinical trial for the treatment of obesity in the first quarter of 2003, the completion of our IL-1 Trap phase 2 clinical trial for the treatment of rheumatoid arthritis in the third quarter of 2003, and the completion of other AXOKINE trials in the second quarter of 2004.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Contract manufacturing expenses increased to $0.5 million in the second quarter of 2004 compared to $0.3 million in the same period in 2003, primarily because we shipped more product to Merck.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General and administrative expenses increased to $4.2 million in the second quarter of 2004 from $3.5 million in the same period of 2003, due primarily to increases in (i) patent-related expenses to protect our proprietary technology and (ii) professional fees principally related to our efforts to comply with the requirements of Section 404 of the Sarbanes-Oxley Act of 2002 and other accounting services.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98" w:lineRule="exact"/>
        <w:rPr>
          <w:sz w:val="20"/>
          <w:szCs w:val="20"/>
          <w:color w:val="auto"/>
        </w:rPr>
      </w:pPr>
    </w:p>
    <w:p>
      <w:pPr>
        <w:jc w:val="both"/>
        <w:ind w:right="460" w:firstLine="225"/>
        <w:spacing w:after="0" w:line="286" w:lineRule="auto"/>
        <w:rPr>
          <w:sz w:val="20"/>
          <w:szCs w:val="20"/>
          <w:color w:val="auto"/>
        </w:rPr>
      </w:pPr>
      <w:r>
        <w:rPr>
          <w:rFonts w:ascii="Arial" w:cs="Arial" w:eastAsia="Arial" w:hAnsi="Arial"/>
          <w:sz w:val="17"/>
          <w:szCs w:val="17"/>
          <w:color w:val="auto"/>
        </w:rPr>
        <w:t>Investment income remained relatively unchanged at $1.1 million in the second quarter of both 2004 and 2003. Interest expense increased slightly to $3.0 million in the second quarter of 2004 from $2.9 million in the same period of 2003. Interest expense is attributable principally to $200.0 million of convertible notes issued in October 2001, which mature in 2008 and bear interest at 5.5% per annum.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in the six months ended June 30, 2004 and 2003 consist of the following:</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color w:val="auto"/>
              </w:rPr>
              <w:t>Aventis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$39.8</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Novartis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color w:val="auto"/>
              </w:rPr>
              <w:t>Procter &amp; Gamble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Total contract research &amp; development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Research progress payment</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$90.4</w:t>
            </w:r>
          </w:p>
        </w:tc>
        <w:tc>
          <w:tcPr>
            <w:tcW w:w="1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18.8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Our total revenue increased to $90.4 million in the first half of 2004 from $18.8 million for the same period in 2003 primarily from revenue related to our collaboration with Aventis on the VEGF Trap, which commenced in September 2003, and our collaboration with Novartis on the IL-1 Trap, which commenced in March 2003. Contract research and development revenue from our principal collaborators for the first half of 2004, as detailed below, consists partly of reimbursement for research and development expenses and partly of the recognition of revenue related to non-refundable, up-front payments. Non-refundable, up-front payments are recorded as deferred revenue and recognized ratably over the period which we are obligated to perform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services in accordance with SAB 104. In the first quarter of 2004, Novartis provided notice of its intention not to proceed with the joint development of the IL-1 Trap and the remaining balance of the March 2003 $27.0 million up-front payment from Novartis was recognized as contract research and development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gridSpan w:val="9"/>
          </w:tcPr>
          <w:p>
            <w:pPr>
              <w:jc w:val="center"/>
              <w:ind w:right="600"/>
              <w:spacing w:after="0"/>
              <w:rPr>
                <w:sz w:val="20"/>
                <w:szCs w:val="20"/>
                <w:color w:val="auto"/>
              </w:rPr>
            </w:pPr>
            <w:r>
              <w:rPr>
                <w:rFonts w:ascii="Arial" w:cs="Arial" w:eastAsia="Arial" w:hAnsi="Arial"/>
                <w:sz w:val="14"/>
                <w:szCs w:val="14"/>
                <w:b w:val="1"/>
                <w:bCs w:val="1"/>
                <w:color w:val="auto"/>
                <w:w w:val="91"/>
              </w:rPr>
              <w:t>For the six months ended June 30, 2004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Up-front Payment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2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Revenue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6"/>
                <w:szCs w:val="16"/>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6"/>
                <w:szCs w:val="16"/>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Original</w:t>
            </w:r>
          </w:p>
        </w:tc>
        <w:tc>
          <w:tcPr>
            <w:tcW w:w="2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Revenue at</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rPr>
              <w:t>Payment</w:t>
            </w:r>
          </w:p>
        </w:tc>
        <w:tc>
          <w:tcPr>
            <w:tcW w:w="220" w:type="dxa"/>
            <w:vAlign w:val="bottom"/>
          </w:tcPr>
          <w:p>
            <w:pPr>
              <w:spacing w:after="0"/>
              <w:rPr>
                <w:sz w:val="16"/>
                <w:szCs w:val="16"/>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Recognized</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June 30, 2004</w:t>
            </w:r>
          </w:p>
        </w:tc>
        <w:tc>
          <w:tcPr>
            <w:tcW w:w="24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Aventis</w:t>
            </w:r>
          </w:p>
        </w:tc>
        <w:tc>
          <w:tcPr>
            <w:tcW w:w="32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46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Novartis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22.1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Procter &amp; Gamble</w:t>
            </w: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107.0</w:t>
            </w:r>
          </w:p>
        </w:tc>
        <w:tc>
          <w:tcPr>
            <w:tcW w:w="2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27.6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70.9</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39.7</w:t>
            </w:r>
          </w:p>
        </w:tc>
        <w:tc>
          <w:tcPr>
            <w:tcW w:w="4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67.3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the first half of 2003, we recognized $9.2 million in revenue related to the reimbursement of research and development expenses by Novartis and $2.7 million in revenue related to the $27.0 million, up-front payment received from Novartis in March 2003.</w:t>
      </w:r>
    </w:p>
    <w:p>
      <w:pPr>
        <w:spacing w:after="0" w:line="130"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March 2004, Novartis forgave all its outstanding loans, including accrued interest, to Regeneron totaling $17.8 million, based upon Regeneron’s achieving a pre-defined development milestone, which was recognized as a research progress payment.</w:t>
      </w:r>
    </w:p>
    <w:p>
      <w:pPr>
        <w:spacing w:after="0" w:line="130" w:lineRule="exact"/>
        <w:rPr>
          <w:sz w:val="20"/>
          <w:szCs w:val="20"/>
          <w:color w:val="auto"/>
        </w:rPr>
      </w:pPr>
    </w:p>
    <w:p>
      <w:pPr>
        <w:ind w:right="300" w:firstLine="225"/>
        <w:spacing w:after="0" w:line="297" w:lineRule="auto"/>
        <w:rPr>
          <w:sz w:val="20"/>
          <w:szCs w:val="20"/>
          <w:color w:val="auto"/>
        </w:rPr>
      </w:pPr>
      <w:r>
        <w:rPr>
          <w:rFonts w:ascii="Arial" w:cs="Arial" w:eastAsia="Arial" w:hAnsi="Arial"/>
          <w:sz w:val="16"/>
          <w:szCs w:val="16"/>
          <w:color w:val="auto"/>
        </w:rPr>
        <w:t>Contract manufacturing revenue increased to $3.9 million in the first half of 2004 from $1.5 million for the same period in 2003, principally from an increase in product shipments to Merck in 2004 compared to the same period in 2003. Revenue and the related manufacturing expense are recognized as product is shipped, after acceptance by Merck. Included in contract manufacturing revenue in the first six months of 2004 was $0.6 million of deferred revenue associated with capital improvement reimbursements paid by Merck prior to commencement of production. This deferred revenue is being recognized as product is shipped to Merck based on the total amount of product expected to be shipped over the life of the manufacturing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(R&amp;D) expenses increased to $68.5 million in the first half of 2004 from $68.1 million for the same period of 2003, due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primarily to (i) a $4.5 million increase in other R&amp;D expenses, primarily facility expenses at our expanded Rensselaer facility such as rent, utilities,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insurance, and depreciation, (ii) a $2.7 million increase in clinical supply production material, lab supply, outside testing, and research contract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principally relate to the VEGF Trap and IL-1 Trap, and (iii) a 1.7 million increase in payroll related expenses. These increases were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$8.5 million decrease in clinical trial expenses associated primarily with the completion of the double-blind treatment portion of our AXOKINE phase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for the treatment of obesity in the first quarter of 2003, the completion of</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IL-1 Trap phase 2 clinical trial for the treatment of rheumatoid arthritis in the third quarter of 2003, and the completion of other AXOKINE trials in the second quarter of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85"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Contract manufacturing expenses increased to $2.8 million in the first half of 2004, compared to $0.9 million in the same period in 2003, primarily because we shipped more product to Merck.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General and administrative expenses increased to $8.0 million in the first half of 2004 from $6.9 million in the same period of 2003, due primarily to</w:t>
      </w:r>
    </w:p>
    <w:p>
      <w:pPr>
        <w:spacing w:after="0" w:line="35" w:lineRule="exact"/>
        <w:rPr>
          <w:sz w:val="20"/>
          <w:szCs w:val="20"/>
          <w:color w:val="auto"/>
        </w:rPr>
      </w:pPr>
    </w:p>
    <w:p>
      <w:pPr>
        <w:ind w:firstLine="8"/>
        <w:spacing w:after="0" w:line="261"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patent-related expenses to protect our proprietary technology and (ii) professional fees principally related to our efforts to comply with the requirements of Section 404 of the Sarbanes-Oxley Act of 2002 and other accounting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the first quarter of 2004, Novartis notified us of its decision to forgo its right under the collaboration to jointly develop the IL-1 Trap and agreed to pay us $42.75 million to satisfy its obligation to fund development costs for the IL-1 Trap for the nine-month period following its notification and for the two months prior to that notice. The $42.75 million was included in other contract income in the first quarter of 2004.</w:t>
      </w:r>
    </w:p>
    <w:p>
      <w:pPr>
        <w:spacing w:after="0" w:line="15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Investment income decreased to $2.2 million in 2004 from $2.3 million in 2003 due primarily to lower effective interest rates on investment securities. Interest expense is attributable principally to $200.0 million of convertible notes issued in October 2001, which mature in 2008 and bear interest at 5.5% per annum. Interest expense increased to $6.1 million in the first half of 2004 from $5.8 million in the same period of 2003 due, in part, to interest incurred in the first quarter of 2004 on loans from Novartis to fund our share of 2003 IL-1 Trap development costs. (These Novartis loans were forgiven in March 2004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revenue earned under our agreements with Aventis, Novartis, Merck, Procter &amp; Gamble, Serono, and other companies, and investment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85" w:lineRule="exact"/>
        <w:rPr>
          <w:sz w:val="20"/>
          <w:szCs w:val="20"/>
          <w:color w:val="auto"/>
        </w:rPr>
      </w:pPr>
    </w:p>
    <w:p>
      <w:pPr>
        <w:ind w:right="460" w:firstLine="215"/>
        <w:spacing w:after="0" w:line="342" w:lineRule="auto"/>
        <w:rPr>
          <w:sz w:val="20"/>
          <w:szCs w:val="20"/>
          <w:color w:val="auto"/>
        </w:rPr>
      </w:pPr>
      <w:r>
        <w:rPr>
          <w:rFonts w:ascii="Arial" w:cs="Arial" w:eastAsia="Arial" w:hAnsi="Arial"/>
          <w:sz w:val="16"/>
          <w:szCs w:val="16"/>
          <w:color w:val="auto"/>
        </w:rPr>
        <w:t>At June 30, 2004, we had $367.7 million in cash, cash equivalents, marketable securities, and restricted marketable securities. Restricted marketable securities are pledged U.S. government securities which will be sufficient upon receipt of scheduled principal and interest payments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provide for the payment in full of the interest payments on the convertible senior subordinated notes through 2004. In the first half of 2004, our net income was $50.0 million but we used $1.1 million of cash in operations. The difference between net income and cash usage was primarily due to the recognition of $39.9 million of non-cash deferred and research progress payment revenue related to the Novartis collaboration and $5.5 million of non-cash deferred revenue related to the Aventis collaboration. In the first half of 2003, our net loss was $60.7 million but we used only $39.5 million of cash in operations, principally due to the receipt of a $27.0 million non-refundable, up-front payment from Novartis in the first quarter of 2003, of which only $2.7 million was recognized as revenue during the first half of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85"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Net cash provided by investing activities was $1.2 million in the first half of 2004 compared to $35.0 million in the same period in 2003. The decrease is due primarily to lower cash proceeds from sales or maturities of investment securities partially offset by a decrease in payments for capital expenditures (resulting from the completion of the Rensselaer plant expansion in 2003).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98"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Cash provided by financing activities decreased to $4.4 million in the first half of 2004 compared to $54.1 million in the same period in 2003. In March 2003, we sold $48.0 million of newly issued unregistered shares of our Common Stock to Novartis in connection with our collaboration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185"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Under the collaboration agreement with Aventis,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w:t>
      </w:r>
    </w:p>
    <w:p>
      <w:pPr>
        <w:spacing w:after="0" w:line="120" w:lineRule="exact"/>
        <w:rPr>
          <w:sz w:val="20"/>
          <w:szCs w:val="20"/>
          <w:color w:val="auto"/>
        </w:rPr>
      </w:pPr>
    </w:p>
    <w:p>
      <w:pPr>
        <w:jc w:val="both"/>
        <w:ind w:right="100" w:firstLine="222"/>
        <w:spacing w:after="0" w:line="259" w:lineRule="auto"/>
        <w:rPr>
          <w:sz w:val="20"/>
          <w:szCs w:val="20"/>
          <w:color w:val="auto"/>
        </w:rPr>
      </w:pPr>
      <w:r>
        <w:rPr>
          <w:rFonts w:ascii="Arial" w:cs="Arial" w:eastAsia="Arial" w:hAnsi="Arial"/>
          <w:sz w:val="18"/>
          <w:szCs w:val="18"/>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We have the option to conduct additional pre-phase 3 studies at our own expense.</w:t>
      </w:r>
    </w:p>
    <w:p>
      <w:pPr>
        <w:spacing w:after="0" w:line="146"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2004, we and Aventis plan to increase research and development spending to expand the development of the VEGF Trap. Over the next 12 months, the broad based development program is anticipated to include multiple studies to evaluate the VEGF Trap in single agent and in combination with other cancer treatments.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Also, under the terms of the Aventis collaboration agreement,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Our additions to property, plant, and equipment totaled $2.9 million and $12.9 million for the first six months of 2004 and 2003, respectively. During the remainder of 2004, we expect to incur approximately $3 million to $5 million in capital expenditures related primarily to equipment for our expanded manufacturing, research, and development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We currently anticipate that for the remainder of 2004, approximately 50-60% of our expenditures will be directed toward the preclinical and clinical development of product candidates, including the VEGF Trap, IL-1 Trap, IL-4/13 Trap, and AXOKINE; approximately 15-25% of our expenditures will cover our basic research activities and the continued development of our novel technology platforms; and the remainder of our expenditures will be for capital expenditures and general corporate purposes, including working capital. In connection with our funding requirements, there has been no significant change in our contractual obligations for leases and long-term debt since December 31, 2003 except as follows: Our loan payable to Novartis was forgiven in</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March 2004 (as described above). In January 2004, we amended our Tarrytown, New York lease and exercised our option to extend the lease for certain parts of the leased space through December 2009. The effect of this extension was to increase our operating lease obligations to a total of $16.1 million for the years 2005 to 2007 and a total of $3.5 million for the years 2008 and 2009. The amended Tarrytown lease contains renewal options for certain parts of the leased space through December 2014.</w:t>
      </w:r>
    </w:p>
    <w:p>
      <w:pPr>
        <w:spacing w:after="0" w:line="149"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and Procter &amp; Gamble).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required to pay royalties or otherwise share the profits generated on such sales in connection with our collaboration and licensing agreements. Also, under the terms of the Aventis collaboration agreement,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6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3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the end of 2005 and expect to end 2004 with a cash balance of $300 to $325 million.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June 30, 2004,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02"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In April 2004, the Emerging Issues Task Force issued Statement No. 03-6, </w:t>
      </w:r>
      <w:r>
        <w:rPr>
          <w:rFonts w:ascii="Arial" w:cs="Arial" w:eastAsia="Arial" w:hAnsi="Arial"/>
          <w:sz w:val="18"/>
          <w:szCs w:val="18"/>
          <w:i w:val="1"/>
          <w:iCs w:val="1"/>
          <w:color w:val="auto"/>
        </w:rPr>
        <w:t>Participating Securities and the Two-Class Method under FASB Statement 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128, Earnings per Share </w:t>
      </w:r>
      <w:r>
        <w:rPr>
          <w:rFonts w:ascii="Arial" w:cs="Arial" w:eastAsia="Arial" w:hAnsi="Arial"/>
          <w:sz w:val="18"/>
          <w:szCs w:val="18"/>
          <w:color w:val="auto"/>
        </w:rPr>
        <w:t>(EITF 03-6), EITF 03-6 addresses a number of questions regarding the computation of earnings per share (EPS) by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we have no participating securities, our adoption of EITF 03-6 did not have a material impact on our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our Annual Report on Form 10-K and should be considered by our investors.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130"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From inception on January 8, 1988 through June 30, 2004, we had a cumulative loss of $481.6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w:t>
      </w:r>
    </w:p>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30"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2005.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4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4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83"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or reach statistical significance. For example, the pending trials studying the maintenance of weight loss following short-term treatment regimens with AXOKINE may not have enrolled a sufficient number of patients to detect statistically significant differences between patients treated with AXOKINE and those taking placebo. These trials were designed before we had access to the data from the completed pivotal phase 3 AXOKINE trial, which demonstrated that the magnitude of the average difference in weight loss observed between all AXOKINE-treated subjects and those taking placebo was small.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3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3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15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are studying the VEGF Trap for the potential treatment of certain diseases of the eye through intravitreal injections in the eye or general administration through intravenous infusions or subcutaneous injections. Although we believe that there are potential clinical advantages to general administration over injections directly in the eye (including patient comfort and acceptance), there are unique potential risks to patients associated with systemic blockade of VEGF by intravenous infusions or subcutaneous injections that could limit or end the VEGF Trap development program. These risks, based on the clinical and preclinical experience of systemically delivered VEGF inhibitors, include bleeding, hypertension, and proteinuria.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12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13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March 2003, we reported data from the 12-month treatment period of our initial phase 3 pivotal trial of AXOKINE. Although the phase 3 study met its primary endpoints and many individuals achieved a medically meaningful weight loss, the average weight loss was small and limited by the development of antibodies.</w:t>
      </w:r>
    </w:p>
    <w:p>
      <w:pPr>
        <w:spacing w:after="0" w:line="14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October 2003, we reported results from the first phase 2 trial of our IL-1 Trap. While patients treated with the highest dose, 100 milligrams of the IL-1 Trap once a week, exhibited improvements in the primary endpoint of the trial, the proportion of ACR 20 responses versus placebo, the results did not achieve statistical significance. We plan to conduct a phase 2b study of the IL-1 Trap in a larger patient population, testing higher doses than were tested in the previous phase 2 trial and for a longer period of time. However, higher doses may not lead to better results than were demonstrated in the previous phase 2 trial. In addition, safety or tolerability concerns may arise which limit our ability to deliver higher doses of the IL-1 Trap to patients. We plan to study higher doses of the IL-1 Trap through increased subcutaneous injections and intravenous delivery. Either approach may affect the safety and/or tolerability of the IL-1 Trap, which may limit its commercial potential if the product candidate is ever approved for marketing and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85"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6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83"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48"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30"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IL-l Trap under our collaboration agreement. This may harm our ability to develop and commercialize the IL-l Trap.</w:t>
      </w:r>
    </w:p>
    <w:p>
      <w:pPr>
        <w:spacing w:after="0" w:line="83"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We relied heavily on Novartis to provide their expertise, resources, funding, manufacturing capacity, clinical expertise, and commercial infrastructure to support the IL-l Trap program. Novartis’ decision to withdraw from participating in the development and commercialization of the IL-1 Trap may delay or disrupt the IL-l Trap program. We do not have the resources and skills to replace those of Novartis, which could result in significant delays in the development and potential commercialization of the IL-l Trap. In addition, we will have to fund the development and commercialization of the IL-l Trap without Novartis’ long-term commitment, which will require substantially greater expenditures on our part.</w:t>
      </w:r>
    </w:p>
    <w:p>
      <w:pPr>
        <w:spacing w:after="0" w:line="1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143"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its collaboration agreement with us at 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Aventis collaboration agreement would create new and additional risks to the successful development of the VEGF Trap.</w:t>
      </w:r>
    </w:p>
    <w:p>
      <w:pPr>
        <w:spacing w:after="0" w:line="14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Sanofi-Synthelabo and Aventis have reached agreement on a merger. It is unclear what impact, if any, this business combination will have on the VEGF Trap collaboration, including the possibility of a termination of the collaboration agreement and a delay in, or disruption to, the VEGF Trap development program.</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143" w:lineRule="exact"/>
        <w:rPr>
          <w:sz w:val="20"/>
          <w:szCs w:val="20"/>
          <w:color w:val="auto"/>
        </w:rPr>
      </w:pPr>
    </w:p>
    <w:p>
      <w:pPr>
        <w:jc w:val="center"/>
        <w:spacing w:after="0" w:line="312" w:lineRule="auto"/>
        <w:rPr>
          <w:sz w:val="20"/>
          <w:szCs w:val="20"/>
          <w:color w:val="auto"/>
        </w:rPr>
      </w:pPr>
      <w:r>
        <w:rPr>
          <w:rFonts w:ascii="Arial" w:cs="Arial" w:eastAsia="Arial" w:hAnsi="Arial"/>
          <w:sz w:val="16"/>
          <w:szCs w:val="16"/>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40"/>
        <w:spacing w:after="0" w:line="277" w:lineRule="auto"/>
        <w:rPr>
          <w:sz w:val="20"/>
          <w:szCs w:val="20"/>
          <w:color w:val="auto"/>
        </w:rPr>
      </w:pPr>
      <w:r>
        <w:rPr>
          <w:rFonts w:ascii="Arial" w:cs="Arial" w:eastAsia="Arial" w:hAnsi="Arial"/>
          <w:sz w:val="18"/>
          <w:szCs w:val="18"/>
          <w:color w:val="auto"/>
        </w:rPr>
        <w:t>under an agreement in a timely manner or at all, we would experience additional costs, delays, and difficulties in the development or ultimate commercialization of our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5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53"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98"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19"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operating results.</w:t>
      </w:r>
    </w:p>
    <w:p>
      <w:pPr>
        <w:spacing w:after="0" w:line="131"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or HSA. There are certain European regulatory restrictions on using these biological source materials. If we are required to substitute these sources to comply with European regulatory requirements, our clinical development activities may be delayed or interrupted.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43" w:lineRule="exact"/>
        <w:rPr>
          <w:sz w:val="20"/>
          <w:szCs w:val="20"/>
          <w:color w:val="auto"/>
        </w:rPr>
      </w:pPr>
    </w:p>
    <w:p>
      <w:pPr>
        <w:ind w:right="420" w:firstLine="222"/>
        <w:spacing w:after="0" w:line="255" w:lineRule="auto"/>
        <w:rPr>
          <w:sz w:val="20"/>
          <w:szCs w:val="20"/>
          <w:color w:val="auto"/>
        </w:rPr>
      </w:pPr>
      <w:r>
        <w:rPr>
          <w:rFonts w:ascii="Arial" w:cs="Arial" w:eastAsia="Arial" w:hAnsi="Arial"/>
          <w:sz w:val="18"/>
          <w:szCs w:val="18"/>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Currently, we rely on Aventis for sales, marketing, and distribution of the VEGF Trap. We will have to rely on a third party or devote significant resources to develop our own sales, marketing and distribution capabilities for our other product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candidates and we may be unsuccessful in developing our own sales, marketing, and distribution organization.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85"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AXOK1NE,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is currently formulated for delivery in single use vials. We are in the process of developing a formulation that may be used in multiple use vials. If we are unable to develop this multiple use vial formulation, potential future AXOKINE sales and profitability may be limited. In addition, we are in the process of developing formulations that would allow delivery of higher doses of the IL-1 Trap to test in clinical trials. This includes formulations for subcutaneous and intravenous administration. If we are unable to develop or manufacture such a higher dose formulation that can be produced in a cost-effective manner, potential future IL-1 Trap sales and profitability may be limited.</w:t>
      </w:r>
    </w:p>
    <w:p>
      <w:pPr>
        <w:spacing w:after="0" w:line="1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143"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and Pfizer. Many of these molecules are farther along in development than the VEGF Trap and may offer competitive advantages over our molecule. The marketing</w:t>
      </w:r>
    </w:p>
    <w:p>
      <w:pPr>
        <w:spacing w:after="0" w:line="3"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approval for Genentech’s VEGF antagonist, Avastin</w:t>
      </w:r>
      <w:r>
        <w:rPr>
          <w:rFonts w:ascii="Arial" w:cs="Arial" w:eastAsia="Arial" w:hAnsi="Arial"/>
          <w:sz w:val="30"/>
          <w:szCs w:val="30"/>
          <w:color w:val="auto"/>
          <w:vertAlign w:val="superscript"/>
        </w:rPr>
        <w:t>TM</w:t>
      </w:r>
      <w:r>
        <w:rPr>
          <w:rFonts w:ascii="Arial" w:cs="Arial" w:eastAsia="Arial" w:hAnsi="Arial"/>
          <w:sz w:val="18"/>
          <w:szCs w:val="18"/>
          <w:color w:val="auto"/>
        </w:rPr>
        <w:t>, may make it more difficult for us to enroll patients in clinical trials to support the VEGF Trap. This may delay or impair our ability to successfully develop and commercialize the VEGF Trap.</w:t>
      </w:r>
    </w:p>
    <w:p>
      <w:pPr>
        <w:spacing w:after="0" w:line="162" w:lineRule="exact"/>
        <w:rPr>
          <w:sz w:val="20"/>
          <w:szCs w:val="20"/>
          <w:color w:val="auto"/>
        </w:rPr>
      </w:pPr>
    </w:p>
    <w:p>
      <w:pPr>
        <w:ind w:right="440" w:firstLine="222"/>
        <w:spacing w:after="0" w:line="222" w:lineRule="auto"/>
        <w:rPr>
          <w:sz w:val="20"/>
          <w:szCs w:val="20"/>
          <w:color w:val="auto"/>
        </w:rPr>
      </w:pPr>
      <w:r>
        <w:rPr>
          <w:rFonts w:ascii="Arial" w:cs="Arial" w:eastAsia="Arial" w:hAnsi="Arial"/>
          <w:sz w:val="18"/>
          <w:szCs w:val="18"/>
          <w:color w:val="auto"/>
        </w:rPr>
        <w:t>The markets for both rheumatoid arthritis and asthma are both very competitive. Several highly successful medicines are available for these diseases. Examples include the TNF-antagonists Enbrel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 registered trademark of Amgen), Remicade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 registered trademark of Centocor), and Humira® (a registered trademark of Abbott) for rheumatoid arthritis, and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leukotriene-modifier Singulair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 registered trademark of Merck), as well as various inexpensive corticosteroid medicines for asthma. The availability of highly effective FDA approved. TNF-antagonists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w:t>
      </w:r>
    </w:p>
    <w:p>
      <w:pPr>
        <w:spacing w:after="0" w:line="169"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injectible form, while the currently available marketed medicines for the treatment of obesity, and a late-stage product candidate in development by Sanofi-Synthelabo, are delivered in pill form, which is generally favored over injectible medicines. Therefore, even if AXOKINE is approved for sale, the fact that it must be delivered by injection may severely limit its market acceptance among patients and physicians.</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13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examining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3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able to continue to attract and retain the qualified personnel necessary for developing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Out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85" w:lineRule="exact"/>
        <w:rPr>
          <w:sz w:val="20"/>
          <w:szCs w:val="20"/>
          <w:color w:val="auto"/>
        </w:rPr>
      </w:pPr>
    </w:p>
    <w:p>
      <w:pPr>
        <w:ind w:right="200" w:firstLine="225"/>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proprietary rights of third parties. Other parties may allege to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third party patents, the holders of these patents may sue us for infringement and a court may find that we are infringing one or more validly issued patents, which may materially harm our business.</w:t>
      </w:r>
    </w:p>
    <w:p>
      <w:pPr>
        <w:spacing w:after="0" w:line="137" w:lineRule="exact"/>
        <w:rPr>
          <w:sz w:val="20"/>
          <w:szCs w:val="20"/>
          <w:color w:val="auto"/>
        </w:rPr>
      </w:pPr>
    </w:p>
    <w:p>
      <w:pPr>
        <w:ind w:right="100" w:firstLine="215"/>
        <w:spacing w:after="0" w:line="279" w:lineRule="auto"/>
        <w:rPr>
          <w:sz w:val="20"/>
          <w:szCs w:val="20"/>
          <w:color w:val="auto"/>
        </w:rPr>
      </w:pPr>
      <w:r>
        <w:rPr>
          <w:rFonts w:ascii="Arial" w:cs="Arial" w:eastAsia="Arial" w:hAnsi="Arial"/>
          <w:sz w:val="17"/>
          <w:szCs w:val="17"/>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business, financial condition, and results of operations. Legal disputes are likely to be costly and time consuming to defend.</w:t>
      </w:r>
    </w:p>
    <w:p>
      <w:pPr>
        <w:spacing w:after="0" w:line="198"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198"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7" w:lineRule="exact"/>
        <w:rPr>
          <w:sz w:val="20"/>
          <w:szCs w:val="20"/>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185" w:lineRule="exact"/>
        <w:rPr>
          <w:sz w:val="20"/>
          <w:szCs w:val="20"/>
          <w:color w:val="auto"/>
        </w:rPr>
      </w:pPr>
    </w:p>
    <w:p>
      <w:pPr>
        <w:ind w:firstLine="215"/>
        <w:spacing w:after="0" w:line="312"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Amgen, Aventis, and Novartis, also might make it more difficult for us to sell equity or equity-related securities in the future at a time and price that we deemed appropriate.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0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$1.0 million and $1.4 million change in the fair market value of our investment portfolio at June 30, 2004 and December 31, 2003, respectively. The decrease is due primarily to the shorter duration of our investment portfolio as of June 30, 2004 in comparison to December 31, 2003.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conducted an evaluation of the effectiveness of our disclosure controls and procedures as of the end of the period covered by this Quarterly Report on Form 10-Q.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151"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In order to achieve compliance with Section 404 of the Sarbanes-Oxley Act of 2002, we have been engaged in a process to document and evaluate our internal control over financial reporting. In this regard, under the review and approval of the Audit Committee, management has dedicated internal resources and engaged outside consultants to adopt a work plan to (i) assess the adequacy of our internal control over financial reporting, (ii) take steps to improve control processes, where appropriate, and (iii) validate through testing that controls are functioning as documented. During the third quarter of 2004, we anticipate implementing and testing many new procedures and other controls governing information technology systems, which will enhance our overall internal controls over financial reporting. We anticipate that such enhancements will be completed within the prescribed time period required under Section 404, but it is possible that the work plan will not be completed in time.</w:t>
      </w:r>
    </w:p>
    <w:p>
      <w:pPr>
        <w:spacing w:after="0" w:line="13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12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other legal proceedings to have a material adverse effect on our business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June 11, 2004, we conducted our Annual Meeting of Shareholders pursuant to due notice. A quorum being present either in person or by proxy, the shareholders voted on the following matters:</w:t>
      </w:r>
    </w:p>
    <w:p>
      <w:pPr>
        <w:spacing w:after="0" w:line="130" w:lineRule="exact"/>
        <w:rPr>
          <w:sz w:val="20"/>
          <w:szCs w:val="20"/>
          <w:color w:val="auto"/>
        </w:rPr>
      </w:pPr>
    </w:p>
    <w:p>
      <w:pPr>
        <w:ind w:left="400" w:hanging="16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elect three Directors to hold office for a three-year term as Class I directors, and until their successors are duly elected and qualified.</w:t>
      </w:r>
    </w:p>
    <w:p>
      <w:pPr>
        <w:spacing w:after="0" w:line="198" w:lineRule="exact"/>
        <w:rPr>
          <w:rFonts w:ascii="Arial" w:cs="Arial" w:eastAsia="Arial" w:hAnsi="Arial"/>
          <w:sz w:val="18"/>
          <w:szCs w:val="18"/>
          <w:color w:val="auto"/>
        </w:rPr>
      </w:pPr>
    </w:p>
    <w:p>
      <w:pPr>
        <w:ind w:left="400" w:hanging="16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approve the selection of PricewaterhouseCoopers LLP as independent accountants for our fiscal year ending December 31, 2004.</w:t>
      </w:r>
    </w:p>
    <w:p>
      <w:pPr>
        <w:spacing w:after="0" w:line="184" w:lineRule="exact"/>
        <w:rPr>
          <w:rFonts w:ascii="Arial" w:cs="Arial" w:eastAsia="Arial" w:hAnsi="Arial"/>
          <w:sz w:val="18"/>
          <w:szCs w:val="18"/>
          <w:color w:val="auto"/>
        </w:rPr>
      </w:pPr>
    </w:p>
    <w:p>
      <w:pPr>
        <w:ind w:right="120" w:firstLine="233"/>
        <w:spacing w:after="0" w:line="277" w:lineRule="auto"/>
        <w:tabs>
          <w:tab w:leader="none" w:pos="4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approve the amendments to the Company’s 2000 Long-Term Incentive Plan to increase the maximum number of shares of common stock reserved for issuance under the plan by 7,500,000 shares.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39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Withheld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Authority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1. Election of Class I Directors</w:t>
            </w:r>
          </w:p>
        </w:tc>
        <w:tc>
          <w:tcPr>
            <w:tcW w:w="1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Leonard S. Schleifer, M.D., Ph.D.</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66,904,024</w:t>
            </w:r>
          </w:p>
        </w:tc>
        <w:tc>
          <w:tcPr>
            <w:tcW w:w="17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6,888,629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Eric M. Shooter, Ph.D.</w:t>
            </w:r>
          </w:p>
        </w:tc>
        <w:tc>
          <w:tcPr>
            <w:tcW w:w="1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66,949,396</w:t>
            </w:r>
          </w:p>
        </w:tc>
        <w:tc>
          <w:tcPr>
            <w:tcW w:w="172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89"/>
              </w:rPr>
              <w:t>6,843,257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George D. Yancopoulos, M.D., Ph.D.</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66,750,969</w:t>
            </w:r>
          </w:p>
        </w:tc>
        <w:tc>
          <w:tcPr>
            <w:tcW w:w="17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7,041,684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terms of office of Alfred G. Gilman, M.D., Ph.D., Joseph L. Goldstein, M.D., P. Roy Vagelos, M.D., Charles A Baker, Michael S. Brown, M.D., Arthur F. Ryan, and George L. Sing continued after the meeting.</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60" w:type="dxa"/>
            <w:vAlign w:val="bottom"/>
          </w:tcPr>
          <w:p>
            <w:pPr>
              <w:jc w:val="right"/>
              <w:ind w:right="639"/>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6"/>
                <w:szCs w:val="16"/>
                <w:color w:val="auto"/>
              </w:rPr>
            </w:pPr>
          </w:p>
        </w:tc>
        <w:tc>
          <w:tcPr>
            <w:tcW w:w="198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40" w:type="dxa"/>
            <w:vAlign w:val="bottom"/>
            <w:gridSpan w:val="3"/>
          </w:tcPr>
          <w:p>
            <w:pPr>
              <w:spacing w:after="0"/>
              <w:rPr>
                <w:sz w:val="5"/>
                <w:szCs w:val="5"/>
                <w:color w:val="auto"/>
              </w:rPr>
            </w:pPr>
          </w:p>
        </w:tc>
        <w:tc>
          <w:tcPr>
            <w:tcW w:w="166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0" w:type="dxa"/>
            <w:vAlign w:val="bottom"/>
            <w:gridSpan w:val="5"/>
          </w:tcPr>
          <w:p>
            <w:pPr>
              <w:ind w:left="40"/>
              <w:spacing w:after="0"/>
              <w:rPr>
                <w:sz w:val="20"/>
                <w:szCs w:val="20"/>
                <w:color w:val="auto"/>
              </w:rPr>
            </w:pPr>
            <w:r>
              <w:rPr>
                <w:rFonts w:ascii="Arial" w:cs="Arial" w:eastAsia="Arial" w:hAnsi="Arial"/>
                <w:sz w:val="18"/>
                <w:szCs w:val="18"/>
                <w:color w:val="auto"/>
              </w:rPr>
              <w:t>2. Approval of accountants</w:t>
            </w:r>
          </w:p>
        </w:tc>
        <w:tc>
          <w:tcPr>
            <w:tcW w:w="1660" w:type="dxa"/>
            <w:vAlign w:val="bottom"/>
          </w:tcPr>
          <w:p>
            <w:pPr>
              <w:jc w:val="right"/>
              <w:ind w:right="379"/>
              <w:spacing w:after="0"/>
              <w:rPr>
                <w:sz w:val="20"/>
                <w:szCs w:val="20"/>
                <w:color w:val="auto"/>
              </w:rPr>
            </w:pPr>
            <w:r>
              <w:rPr>
                <w:rFonts w:ascii="Arial" w:cs="Arial" w:eastAsia="Arial" w:hAnsi="Arial"/>
                <w:sz w:val="18"/>
                <w:szCs w:val="18"/>
                <w:color w:val="auto"/>
              </w:rPr>
              <w:t>72,998,100</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723,898</w:t>
            </w:r>
          </w:p>
        </w:tc>
        <w:tc>
          <w:tcPr>
            <w:tcW w:w="340" w:type="dxa"/>
            <w:vAlign w:val="bottom"/>
          </w:tcPr>
          <w:p>
            <w:pPr>
              <w:spacing w:after="0"/>
              <w:rPr>
                <w:sz w:val="22"/>
                <w:szCs w:val="22"/>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70,655</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0" w:type="dxa"/>
            <w:vAlign w:val="bottom"/>
            <w:gridSpan w:val="5"/>
          </w:tcPr>
          <w:p>
            <w:pPr>
              <w:ind w:left="40"/>
              <w:spacing w:after="0"/>
              <w:rPr>
                <w:sz w:val="20"/>
                <w:szCs w:val="20"/>
                <w:color w:val="auto"/>
              </w:rPr>
            </w:pPr>
            <w:r>
              <w:rPr>
                <w:rFonts w:ascii="Arial" w:cs="Arial" w:eastAsia="Arial" w:hAnsi="Arial"/>
                <w:sz w:val="18"/>
                <w:szCs w:val="18"/>
                <w:color w:val="auto"/>
              </w:rPr>
              <w:t>3. Approval of amendment to 2000 Long-Term</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Incentive Plan</w:t>
            </w:r>
          </w:p>
        </w:tc>
        <w:tc>
          <w:tcPr>
            <w:tcW w:w="2280" w:type="dxa"/>
            <w:vAlign w:val="bottom"/>
          </w:tcPr>
          <w:p>
            <w:pPr>
              <w:spacing w:after="0"/>
              <w:rPr>
                <w:sz w:val="20"/>
                <w:szCs w:val="20"/>
                <w:color w:val="auto"/>
              </w:rPr>
            </w:pPr>
          </w:p>
        </w:tc>
        <w:tc>
          <w:tcPr>
            <w:tcW w:w="1660" w:type="dxa"/>
            <w:vAlign w:val="bottom"/>
          </w:tcPr>
          <w:p>
            <w:pPr>
              <w:jc w:val="right"/>
              <w:ind w:right="379"/>
              <w:spacing w:after="0"/>
              <w:rPr>
                <w:sz w:val="20"/>
                <w:szCs w:val="20"/>
                <w:color w:val="auto"/>
              </w:rPr>
            </w:pPr>
            <w:r>
              <w:rPr>
                <w:rFonts w:ascii="Arial" w:cs="Arial" w:eastAsia="Arial" w:hAnsi="Arial"/>
                <w:sz w:val="18"/>
                <w:szCs w:val="18"/>
                <w:color w:val="auto"/>
              </w:rPr>
              <w:t>46,369,850</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18,787,034</w:t>
            </w:r>
          </w:p>
        </w:tc>
        <w:tc>
          <w:tcPr>
            <w:tcW w:w="340" w:type="dxa"/>
            <w:vAlign w:val="bottom"/>
          </w:tcPr>
          <w:p>
            <w:pPr>
              <w:spacing w:after="0"/>
              <w:rPr>
                <w:sz w:val="20"/>
                <w:szCs w:val="20"/>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46,984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0" w:type="dxa"/>
            <w:vAlign w:val="bottom"/>
            <w:gridSpan w:val="7"/>
          </w:tcPr>
          <w:p>
            <w:pPr>
              <w:spacing w:after="0"/>
              <w:rPr>
                <w:sz w:val="20"/>
                <w:szCs w:val="20"/>
                <w:color w:val="auto"/>
              </w:rPr>
            </w:pPr>
            <w:r>
              <w:rPr>
                <w:rFonts w:ascii="Arial" w:cs="Arial" w:eastAsia="Arial" w:hAnsi="Arial"/>
                <w:sz w:val="18"/>
                <w:szCs w:val="18"/>
                <w:b w:val="1"/>
                <w:bCs w:val="1"/>
                <w:color w:val="auto"/>
              </w:rPr>
              <w:t>Item 6. Exhibits and Reports on Form 8-K</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0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1400" w:type="dxa"/>
            <w:vAlign w:val="bottom"/>
            <w:gridSpan w:val="2"/>
          </w:tcPr>
          <w:p>
            <w:pPr>
              <w:ind w:left="86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gridSpan w:val="2"/>
          </w:tcPr>
          <w:p>
            <w:pPr>
              <w:ind w:left="86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7640" w:type="dxa"/>
            <w:vAlign w:val="bottom"/>
            <w:tcBorders>
              <w:bottom w:val="single" w:sz="8" w:color="808080"/>
            </w:tcBorders>
            <w:gridSpan w:val="7"/>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2"/>
                <w:szCs w:val="22"/>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40" w:type="dxa"/>
            <w:vAlign w:val="bottom"/>
            <w:gridSpan w:val="7"/>
          </w:tcPr>
          <w:p>
            <w:pPr>
              <w:ind w:left="180"/>
              <w:spacing w:after="0"/>
              <w:rPr>
                <w:sz w:val="20"/>
                <w:szCs w:val="20"/>
                <w:color w:val="auto"/>
              </w:rPr>
            </w:pPr>
            <w:r>
              <w:rPr>
                <w:rFonts w:ascii="Arial" w:cs="Arial" w:eastAsia="Arial" w:hAnsi="Arial"/>
                <w:sz w:val="18"/>
                <w:szCs w:val="18"/>
                <w:color w:val="auto"/>
                <w:w w:val="98"/>
              </w:rPr>
              <w:t>Restated Certificate of Incorporation of Regeneron Pharmaceuticals, Inc., as of June 21, 1991.</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40" w:type="dxa"/>
            <w:vAlign w:val="bottom"/>
            <w:gridSpan w:val="7"/>
          </w:tcPr>
          <w:p>
            <w:pPr>
              <w:ind w:left="180"/>
              <w:spacing w:after="0"/>
              <w:rPr>
                <w:sz w:val="20"/>
                <w:szCs w:val="20"/>
                <w:color w:val="auto"/>
              </w:rPr>
            </w:pPr>
            <w:r>
              <w:rPr>
                <w:rFonts w:ascii="Arial" w:cs="Arial" w:eastAsia="Arial" w:hAnsi="Arial"/>
                <w:sz w:val="18"/>
                <w:szCs w:val="18"/>
                <w:color w:val="auto"/>
                <w:w w:val="92"/>
              </w:rPr>
              <w:t>Certificate of Amendment of the Restated Certificate of Incorporation of Regeneron Pharmaceuticals,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w w:val="91"/>
              </w:rPr>
              <w:t>Inc., as of October 18, 1996.</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40" w:type="dxa"/>
            <w:vAlign w:val="bottom"/>
            <w:gridSpan w:val="7"/>
          </w:tcPr>
          <w:p>
            <w:pPr>
              <w:ind w:left="180"/>
              <w:spacing w:after="0"/>
              <w:rPr>
                <w:sz w:val="20"/>
                <w:szCs w:val="20"/>
                <w:color w:val="auto"/>
              </w:rPr>
            </w:pPr>
            <w:r>
              <w:rPr>
                <w:rFonts w:ascii="Arial" w:cs="Arial" w:eastAsia="Arial" w:hAnsi="Arial"/>
                <w:sz w:val="18"/>
                <w:szCs w:val="18"/>
                <w:color w:val="auto"/>
                <w:w w:val="91"/>
              </w:rPr>
              <w:t>Certificate of Amendment of the Certificate of Incorporation of Regeneron Pharmaceuticals, Inc., as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December 17, 2001.</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(d)</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40" w:type="dxa"/>
            <w:vAlign w:val="bottom"/>
            <w:gridSpan w:val="5"/>
          </w:tcPr>
          <w:p>
            <w:pPr>
              <w:ind w:left="180"/>
              <w:spacing w:after="0"/>
              <w:rPr>
                <w:sz w:val="20"/>
                <w:szCs w:val="20"/>
                <w:color w:val="auto"/>
              </w:rPr>
            </w:pPr>
            <w:r>
              <w:rPr>
                <w:rFonts w:ascii="Arial" w:cs="Arial" w:eastAsia="Arial" w:hAnsi="Arial"/>
                <w:sz w:val="18"/>
                <w:szCs w:val="18"/>
                <w:color w:val="auto"/>
                <w:w w:val="95"/>
              </w:rPr>
              <w:t>By-Laws of the Company, currently in effect (amended as of January 22, 1995).</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60"/>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40" w:type="dxa"/>
            <w:vAlign w:val="bottom"/>
            <w:gridSpan w:val="5"/>
          </w:tcPr>
          <w:p>
            <w:pPr>
              <w:ind w:left="180"/>
              <w:spacing w:after="0"/>
              <w:rPr>
                <w:sz w:val="20"/>
                <w:szCs w:val="20"/>
                <w:color w:val="auto"/>
              </w:rPr>
            </w:pPr>
            <w:r>
              <w:rPr>
                <w:rFonts w:ascii="Arial" w:cs="Arial" w:eastAsia="Arial" w:hAnsi="Arial"/>
                <w:sz w:val="18"/>
                <w:szCs w:val="18"/>
                <w:color w:val="auto"/>
                <w:w w:val="91"/>
              </w:rPr>
              <w:t>Amendment No. 3 to 2000 Long-term Incentive Plan, effective as of June 14, 2004.</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40" w:type="dxa"/>
            <w:vAlign w:val="bottom"/>
            <w:gridSpan w:val="7"/>
          </w:tcPr>
          <w:p>
            <w:pPr>
              <w:ind w:left="180"/>
              <w:spacing w:after="0"/>
              <w:rPr>
                <w:sz w:val="20"/>
                <w:szCs w:val="20"/>
                <w:color w:val="auto"/>
              </w:rPr>
            </w:pPr>
            <w:r>
              <w:rPr>
                <w:rFonts w:ascii="Arial" w:cs="Arial" w:eastAsia="Arial" w:hAnsi="Arial"/>
                <w:sz w:val="18"/>
                <w:szCs w:val="18"/>
                <w:color w:val="auto"/>
                <w:w w:val="93"/>
              </w:rPr>
              <w:t>Certification of CEO and CFO pursuant to Rule 13a-14(a) under the Securities and Exchange Act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1934.</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ind w:left="8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40" w:type="dxa"/>
            <w:vAlign w:val="bottom"/>
            <w:gridSpan w:val="5"/>
          </w:tcPr>
          <w:p>
            <w:pPr>
              <w:ind w:left="180"/>
              <w:spacing w:after="0"/>
              <w:rPr>
                <w:sz w:val="20"/>
                <w:szCs w:val="20"/>
                <w:color w:val="auto"/>
              </w:rPr>
            </w:pPr>
            <w:r>
              <w:rPr>
                <w:rFonts w:ascii="Arial" w:cs="Arial" w:eastAsia="Arial" w:hAnsi="Arial"/>
                <w:sz w:val="18"/>
                <w:szCs w:val="18"/>
                <w:color w:val="auto"/>
              </w:rPr>
              <w:t>Certification of CEO and CFO pursuant to 18 U.S.C. Section 1350.</w:t>
            </w: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Description:</w:t>
      </w:r>
    </w:p>
    <w:p>
      <w:pPr>
        <w:spacing w:after="0" w:line="189" w:lineRule="exact"/>
        <w:rPr>
          <w:sz w:val="20"/>
          <w:szCs w:val="20"/>
          <w:color w:val="auto"/>
        </w:rPr>
      </w:pPr>
    </w:p>
    <w:p>
      <w:pPr>
        <w:ind w:left="480" w:hanging="24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Incorporated by reference from the Form 10-Q for Regeneron Pharmaceuticals, Inc. for the quarter ended June 30, 1991, filed August 13, 1991.</w:t>
      </w:r>
    </w:p>
    <w:p>
      <w:pPr>
        <w:spacing w:after="0" w:line="196" w:lineRule="exact"/>
        <w:rPr>
          <w:rFonts w:ascii="Arial" w:cs="Arial" w:eastAsia="Arial" w:hAnsi="Arial"/>
          <w:sz w:val="17"/>
          <w:szCs w:val="17"/>
          <w:color w:val="auto"/>
        </w:rPr>
      </w:pPr>
    </w:p>
    <w:p>
      <w:pPr>
        <w:ind w:left="480" w:hanging="247"/>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21" w:lineRule="exact"/>
        <w:rPr>
          <w:rFonts w:ascii="Arial" w:cs="Arial" w:eastAsia="Arial" w:hAnsi="Arial"/>
          <w:sz w:val="16"/>
          <w:szCs w:val="16"/>
          <w:color w:val="auto"/>
        </w:rPr>
      </w:pPr>
    </w:p>
    <w:p>
      <w:pPr>
        <w:ind w:left="480" w:hanging="247"/>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07" w:lineRule="exact"/>
        <w:rPr>
          <w:rFonts w:ascii="Arial" w:cs="Arial" w:eastAsia="Arial" w:hAnsi="Arial"/>
          <w:sz w:val="16"/>
          <w:szCs w:val="16"/>
          <w:color w:val="auto"/>
        </w:rPr>
      </w:pPr>
    </w:p>
    <w:p>
      <w:pPr>
        <w:ind w:left="460" w:right="440" w:hanging="227"/>
        <w:spacing w:after="0" w:line="277" w:lineRule="auto"/>
        <w:tabs>
          <w:tab w:leader="none" w:pos="4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1994, filed March 30, 1995.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 Reports</w:t>
      </w:r>
    </w:p>
    <w:p>
      <w:pPr>
        <w:spacing w:after="0" w:line="198" w:lineRule="exact"/>
        <w:rPr>
          <w:sz w:val="20"/>
          <w:szCs w:val="20"/>
          <w:color w:val="auto"/>
        </w:rPr>
      </w:pPr>
    </w:p>
    <w:p>
      <w:pPr>
        <w:ind w:left="100" w:right="379"/>
        <w:spacing w:after="0" w:line="277" w:lineRule="auto"/>
        <w:rPr>
          <w:sz w:val="20"/>
          <w:szCs w:val="20"/>
          <w:color w:val="auto"/>
        </w:rPr>
      </w:pPr>
      <w:r>
        <w:rPr>
          <w:rFonts w:ascii="Arial" w:cs="Arial" w:eastAsia="Arial" w:hAnsi="Arial"/>
          <w:sz w:val="18"/>
          <w:szCs w:val="18"/>
          <w:color w:val="auto"/>
        </w:rPr>
        <w:t>Form 8-K, filed July 27, 2004: On July 26, 2004, we issued a press release announcing our second quarter 2004 financial and operating results.</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5, 2004</w:t>
      </w:r>
      <w:r>
        <w:rPr>
          <w:sz w:val="20"/>
          <w:szCs w:val="20"/>
          <w:color w:val="auto"/>
        </w:rPr>
        <w:tab/>
      </w: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23495</wp:posOffset>
            </wp:positionV>
            <wp:extent cx="2727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Assistant Secretary</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419"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10.6.3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LONG-TERM INCENTIVE PLAN</w:t>
      </w:r>
    </w:p>
    <w:p>
      <w:pPr>
        <w:spacing w:after="0" w:line="170"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06"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WHEREAS, pursuant to Section 19 of the Plan, the Board of Directors of the Company is authorized to amend the Plan at any time, subject to the receipt of shareholder approval if the Board of Directors determines that such approval is necessary in order to satisfy the requirements of applicable law; and</w:t>
      </w:r>
    </w:p>
    <w:p>
      <w:pPr>
        <w:spacing w:after="0" w:line="97"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WHEREAS, the Company has sought shareholder approval of the amendment set forth in paragraph 1 below, which has the effect of increasing the number of shares of Company Stock reserved for issuance under the Plan by 7,500,000 shares; and</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Board of Directors of the Company desires to amend the Plan, in the manner set forth in paragraph 1 below.</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Plan is hereby amended, effective as of June 14, 2004 as set forth below.</w:t>
      </w:r>
    </w:p>
    <w:p>
      <w:pPr>
        <w:spacing w:after="0" w:line="225" w:lineRule="exact"/>
        <w:rPr>
          <w:sz w:val="20"/>
          <w:szCs w:val="20"/>
          <w:color w:val="auto"/>
        </w:rPr>
      </w:pPr>
    </w:p>
    <w:p>
      <w:pPr>
        <w:ind w:left="560" w:right="360" w:hanging="241"/>
        <w:spacing w:after="0" w:line="277"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Section 3(a) of the Plan, </w:t>
      </w:r>
      <w:r>
        <w:rPr>
          <w:rFonts w:ascii="Arial" w:cs="Arial" w:eastAsia="Arial" w:hAnsi="Arial"/>
          <w:sz w:val="18"/>
          <w:szCs w:val="18"/>
          <w:i w:val="1"/>
          <w:iCs w:val="1"/>
          <w:color w:val="auto"/>
        </w:rPr>
        <w:t>Shares Available for Awards</w:t>
      </w:r>
      <w:r>
        <w:rPr>
          <w:rFonts w:ascii="Arial" w:cs="Arial" w:eastAsia="Arial" w:hAnsi="Arial"/>
          <w:sz w:val="18"/>
          <w:szCs w:val="18"/>
          <w:color w:val="auto"/>
        </w:rPr>
        <w:t>, is hereby amended by deleting the first full paragraph thereof and replacing it in its entirety with the following paragraph:</w:t>
      </w:r>
    </w:p>
    <w:p>
      <w:pPr>
        <w:spacing w:after="0" w:line="170" w:lineRule="exact"/>
        <w:rPr>
          <w:rFonts w:ascii="Arial" w:cs="Arial" w:eastAsia="Arial" w:hAnsi="Arial"/>
          <w:sz w:val="18"/>
          <w:szCs w:val="18"/>
          <w:color w:val="auto"/>
        </w:rPr>
      </w:pPr>
    </w:p>
    <w:p>
      <w:pPr>
        <w:ind w:left="560" w:right="20"/>
        <w:spacing w:after="0" w:line="289" w:lineRule="auto"/>
        <w:rPr>
          <w:rFonts w:ascii="Arial" w:cs="Arial" w:eastAsia="Arial" w:hAnsi="Arial"/>
          <w:sz w:val="18"/>
          <w:szCs w:val="18"/>
          <w:color w:val="auto"/>
        </w:rPr>
      </w:pPr>
      <w:r>
        <w:rPr>
          <w:rFonts w:ascii="Arial" w:cs="Arial" w:eastAsia="Arial" w:hAnsi="Arial"/>
          <w:sz w:val="16"/>
          <w:szCs w:val="16"/>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 Subject to the subsequent provisions of this Section 3, including the adjustment provisions contained herein, the maximum number of shares of Company Stock that may be delivered pursuant to Awards made under the Plan shall equal the sum of: (i) 18,500,000 shares of Company Stock; (ii) any shares of Company Stock previously reserved for issuance under the Company’s 1990 Long-Term Incentive Plan (the “Prior Plan”), but which remain unissued as of June 14, 2002 and any shares of Company Stock that are represented by awards granted under the Prior Plan which are forfeited, expire, or are cancelled without delivery of shares of Company Stock; and (iii) any shares of Company Stock that again become available for Awards pursuant to Section 3(e) below. Notwithstanding the foregoing, the maximum number of shares of Company Stock that may be issued pursuant to Incentive Stock Options shall be 18,500,000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2. The Plan is hereby ratified and confirmed in all other respects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WITNESS WHEREOF, this Amendment No. 3 has been duly executed by an authorized officer of the Company.</w:t>
      </w:r>
    </w:p>
    <w:p>
      <w:pPr>
        <w:spacing w:after="0" w:line="200" w:lineRule="exact"/>
        <w:rPr>
          <w:sz w:val="20"/>
          <w:szCs w:val="20"/>
          <w:color w:val="auto"/>
        </w:rPr>
      </w:pPr>
    </w:p>
    <w:p>
      <w:pPr>
        <w:spacing w:after="0" w:line="23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14605</wp:posOffset>
            </wp:positionV>
            <wp:extent cx="3009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Stuart Kolinski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Vice President &amp; General Counsel</w:t>
      </w:r>
    </w:p>
    <w:p>
      <w:pPr>
        <w:sectPr>
          <w:pgSz w:w="11900" w:h="16838" w:orient="portrait"/>
          <w:cols w:equalWidth="0" w:num="1">
            <w:col w:w="9899"/>
          </w:cols>
          <w:pgMar w:left="560" w:top="1152"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60" w:right="140" w:hanging="257"/>
        <w:spacing w:after="0" w:line="264"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1260" w:right="40" w:hanging="267"/>
        <w:spacing w:after="0" w:line="342" w:lineRule="auto"/>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300" w:hanging="257"/>
        <w:spacing w:after="0" w:line="264"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color w:val="auto"/>
        </w:rPr>
        <w:t>auditors and the audit committee of registrant’s board of directors (or persons performing the equivalent functions):</w:t>
      </w:r>
    </w:p>
    <w:p>
      <w:pPr>
        <w:spacing w:after="0" w:line="225" w:lineRule="exact"/>
        <w:rPr>
          <w:sz w:val="20"/>
          <w:szCs w:val="20"/>
          <w:color w:val="auto"/>
        </w:rPr>
      </w:pPr>
    </w:p>
    <w:p>
      <w:pPr>
        <w:ind w:left="1260" w:right="300" w:hanging="257"/>
        <w:spacing w:after="0" w:line="342" w:lineRule="auto"/>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hanging="267"/>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5, 2004</w:t>
      </w:r>
      <w:r>
        <w:rPr>
          <w:sz w:val="20"/>
          <w:szCs w:val="20"/>
          <w:color w:val="auto"/>
        </w:rPr>
        <w:tab/>
      </w:r>
      <w:r>
        <w:rPr>
          <w:rFonts w:ascii="Arial" w:cs="Arial" w:eastAsia="Arial" w:hAnsi="Arial"/>
          <w:sz w:val="16"/>
          <w:szCs w:val="16"/>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23495</wp:posOffset>
            </wp:positionV>
            <wp:extent cx="2727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60" w:right="140" w:hanging="257"/>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1260" w:right="40" w:hanging="267"/>
        <w:spacing w:after="0" w:line="342"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300" w:hanging="257"/>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260" w:right="680" w:hanging="257"/>
        <w:spacing w:after="0" w:line="342"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left="1260" w:hanging="267"/>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5, 2004</w:t>
      </w:r>
      <w:r>
        <w:rPr>
          <w:sz w:val="20"/>
          <w:szCs w:val="20"/>
          <w:color w:val="auto"/>
        </w:rPr>
        <w:tab/>
      </w:r>
      <w:r>
        <w:rPr>
          <w:rFonts w:ascii="Arial" w:cs="Arial" w:eastAsia="Arial" w:hAnsi="Arial"/>
          <w:sz w:val="16"/>
          <w:szCs w:val="16"/>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23495</wp:posOffset>
            </wp:positionV>
            <wp:extent cx="2727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 and Assistant Secretary</w:t>
      </w:r>
    </w:p>
    <w:p>
      <w:pPr>
        <w:sectPr>
          <w:pgSz w:w="11900" w:h="16838" w:orient="portrait"/>
          <w:cols w:equalWidth="0" w:num="1">
            <w:col w:w="11040"/>
          </w:cols>
          <w:pgMar w:left="240" w:top="1152" w:right="6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June 30, 2004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46" w:lineRule="exact"/>
        <w:rPr>
          <w:sz w:val="20"/>
          <w:szCs w:val="20"/>
          <w:color w:val="auto"/>
        </w:rPr>
      </w:pPr>
    </w:p>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44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44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2004</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1"/>
    </w:lvl>
    <w:lvl w:ilvl="1">
      <w:lvlJc w:val="left"/>
      <w:lvlText w:val="(%2)"/>
      <w:numFmt w:val="decimal"/>
      <w:start w:val="1"/>
    </w:lvl>
  </w:abstractNum>
  <w:abstractNum w:abstractNumId="7">
    <w:nsid w:val="3F2DBA31"/>
    <w:multiLevelType w:val="hybridMultilevel"/>
    <w:lvl w:ilvl="0">
      <w:lvlJc w:val="left"/>
      <w:lvlText w:val="%1."/>
      <w:numFmt w:val="decimal"/>
      <w:start w:val="7"/>
    </w:lvl>
    <w:lvl w:ilvl="1">
      <w:lvlJc w:val="left"/>
      <w:lvlText w:val="%2"/>
      <w:numFmt w:val="decimal"/>
      <w:start w:val="1"/>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
    </w:lvl>
    <w:lvl w:ilvl="1">
      <w:lvlJc w:val="left"/>
      <w:lvlText w:val="(%2)"/>
      <w:numFmt w:val="decimal"/>
      <w:start w:val="1"/>
    </w:lvl>
  </w:abstractNum>
  <w:abstractNum w:abstractNumId="12">
    <w:nsid w:val="628C895D"/>
    <w:multiLevelType w:val="hybridMultilevel"/>
    <w:lvl w:ilvl="0">
      <w:lvlJc w:val="left"/>
      <w:lvlText w:val="%1."/>
      <w:numFmt w:val="decimal"/>
      <w:start w:val="11"/>
    </w:lvl>
    <w:lvl w:ilvl="1">
      <w:lvlJc w:val="left"/>
      <w:lvlText w:val="%2"/>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2019-12-20T02:01:02Z</dcterms:created>
  <dcterms:modified xsi:type="dcterms:W3CDTF">2019-12-20T02:01:02Z</dcterms:modified>
</cp:coreProperties>
</file>