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889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8898890"/>
                    </a:xfrm>
                    <a:prstGeom prst="rect">
                      <a:avLst/>
                    </a:prstGeom>
                    <a:noFill/>
                  </pic:spPr>
                </pic:pic>
              </a:graphicData>
            </a:graphic>
          </wp:anchor>
        </w:drawing>
      </w:r>
    </w:p>
    <w:p>
      <w:pPr>
        <w:spacing w:after="0" w:line="93" w:lineRule="exact"/>
        <w:rPr>
          <w:sz w:val="24"/>
          <w:szCs w:val="24"/>
          <w:color w:val="auto"/>
        </w:rPr>
      </w:pPr>
    </w:p>
    <w:p>
      <w:pPr>
        <w:sectPr>
          <w:pgSz w:w="11900" w:h="16855" w:orient="portrait"/>
          <w:cols w:equalWidth="0" w:num="2">
            <w:col w:w="2260" w:space="520"/>
            <w:col w:w="8740"/>
          </w:cols>
          <w:pgMar w:left="240" w:top="221"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VAGELOS P ROY</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580" w:type="dxa"/>
            <w:vAlign w:val="bottom"/>
            <w:gridSpan w:val="2"/>
          </w:tcPr>
          <w:p>
            <w:pPr>
              <w:ind w:left="20"/>
              <w:spacing w:after="0"/>
              <w:rPr>
                <w:sz w:val="20"/>
                <w:szCs w:val="20"/>
                <w:color w:val="auto"/>
              </w:rPr>
            </w:pPr>
            <w:r>
              <w:rPr>
                <w:rFonts w:ascii="Arial" w:cs="Arial" w:eastAsia="Arial" w:hAnsi="Arial"/>
                <w:sz w:val="17"/>
                <w:szCs w:val="17"/>
                <w:color w:val="0000FF"/>
                <w:w w:val="96"/>
              </w:rPr>
              <w:t>777 OLD SAW MILL RIVER ROAD</w:t>
            </w:r>
          </w:p>
        </w:tc>
        <w:tc>
          <w:tcPr>
            <w:tcW w:w="122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1400" w:type="dxa"/>
            <w:vAlign w:val="bottom"/>
          </w:tcPr>
          <w:p>
            <w:pPr>
              <w:ind w:left="120"/>
              <w:spacing w:after="0"/>
              <w:rPr>
                <w:sz w:val="20"/>
                <w:szCs w:val="20"/>
                <w:color w:val="auto"/>
              </w:rPr>
            </w:pPr>
            <w:r>
              <w:rPr>
                <w:rFonts w:ascii="Arial" w:cs="Arial" w:eastAsia="Arial" w:hAnsi="Arial"/>
                <w:sz w:val="17"/>
                <w:szCs w:val="17"/>
                <w:color w:val="0000FF"/>
              </w:rPr>
              <w:t>NY</w:t>
            </w:r>
          </w:p>
        </w:tc>
        <w:tc>
          <w:tcPr>
            <w:tcW w:w="1220" w:type="dxa"/>
            <w:vAlign w:val="bottom"/>
          </w:tcPr>
          <w:p>
            <w:pPr>
              <w:spacing w:after="0"/>
              <w:rPr>
                <w:sz w:val="20"/>
                <w:szCs w:val="20"/>
                <w:color w:val="auto"/>
              </w:rPr>
            </w:pPr>
            <w:r>
              <w:rPr>
                <w:rFonts w:ascii="Arial" w:cs="Arial" w:eastAsia="Arial" w:hAnsi="Arial"/>
                <w:sz w:val="17"/>
                <w:szCs w:val="17"/>
                <w:color w:val="0000FF"/>
              </w:rPr>
              <w:t>10591</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120"/>
              <w:spacing w:after="0"/>
              <w:rPr>
                <w:sz w:val="20"/>
                <w:szCs w:val="20"/>
                <w:color w:val="auto"/>
              </w:rPr>
            </w:pPr>
            <w:r>
              <w:rPr>
                <w:rFonts w:ascii="Arial" w:cs="Arial" w:eastAsia="Arial" w:hAnsi="Arial"/>
                <w:sz w:val="13"/>
                <w:szCs w:val="13"/>
                <w:color w:val="auto"/>
              </w:rPr>
              <w:t>(State)</w:t>
            </w:r>
          </w:p>
        </w:tc>
        <w:tc>
          <w:tcPr>
            <w:tcW w:w="12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5820" w:type="dxa"/>
            <w:vAlign w:val="bottom"/>
            <w:gridSpan w:val="4"/>
          </w:tcPr>
          <w:p>
            <w:pPr>
              <w:spacing w:after="0" w:line="202" w:lineRule="exact"/>
              <w:rPr>
                <w:rFonts w:ascii="Arial" w:cs="Arial" w:eastAsia="Arial" w:hAnsi="Arial"/>
                <w:sz w:val="19"/>
                <w:szCs w:val="19"/>
                <w:color w:val="0000EE"/>
              </w:rPr>
            </w:pPr>
            <w:hyperlink r:id="rId13">
              <w:r>
                <w:rPr>
                  <w:rFonts w:ascii="Arial" w:cs="Arial" w:eastAsia="Arial" w:hAnsi="Arial"/>
                  <w:sz w:val="19"/>
                  <w:szCs w:val="19"/>
                  <w:color w:val="0000EE"/>
                </w:rPr>
                <w:t xml:space="preserve">REGENERON PHARMACEUTICALS, INC.  </w:t>
              </w:r>
            </w:hyperlink>
            <w:r>
              <w:rPr>
                <w:rFonts w:ascii="Arial" w:cs="Arial" w:eastAsia="Arial" w:hAnsi="Arial"/>
                <w:sz w:val="23"/>
                <w:szCs w:val="23"/>
                <w:color w:val="000000"/>
                <w:vertAlign w:val="superscript"/>
              </w:rPr>
              <w:t>(Check</w:t>
            </w:r>
            <w:r>
              <w:rPr>
                <w:rFonts w:ascii="Arial" w:cs="Arial" w:eastAsia="Arial" w:hAnsi="Arial"/>
                <w:sz w:val="19"/>
                <w:szCs w:val="19"/>
                <w:color w:val="0000EE"/>
              </w:rPr>
              <w:t xml:space="preserve"> </w:t>
            </w:r>
            <w:r>
              <w:rPr>
                <w:rFonts w:ascii="Arial" w:cs="Arial" w:eastAsia="Arial" w:hAnsi="Arial"/>
                <w:sz w:val="23"/>
                <w:szCs w:val="23"/>
                <w:color w:val="000000"/>
                <w:vertAlign w:val="superscript"/>
              </w:rPr>
              <w:t>all applicable)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40" w:type="dxa"/>
            <w:vAlign w:val="bottom"/>
            <w:shd w:val="clear" w:color="auto" w:fill="0000EE"/>
          </w:tcPr>
          <w:p>
            <w:pPr>
              <w:spacing w:after="0"/>
              <w:rPr>
                <w:rFonts w:ascii="Arial" w:cs="Arial" w:eastAsia="Arial" w:hAnsi="Arial"/>
                <w:sz w:val="2"/>
                <w:szCs w:val="2"/>
                <w:color w:val="auto"/>
              </w:rPr>
            </w:pPr>
            <w:hyperlink r:id="rId13">
              <w:r>
                <w:rPr>
                  <w:rFonts w:ascii="Arial" w:cs="Arial" w:eastAsia="Arial" w:hAnsi="Arial"/>
                  <w:sz w:val="2"/>
                  <w:szCs w:val="2"/>
                  <w:color w:val="auto"/>
                </w:rPr>
                <w:t xml:space="preserve">[ </w:t>
              </w:r>
              <w:r>
                <w:rPr>
                  <w:rFonts w:ascii="Arial" w:cs="Arial" w:eastAsia="Arial" w:hAnsi="Arial"/>
                  <w:sz w:val="1"/>
                  <w:szCs w:val="1"/>
                  <w:color w:val="0000FF"/>
                </w:rPr>
                <w:t>REGN</w:t>
              </w:r>
              <w:r>
                <w:rPr>
                  <w:rFonts w:ascii="Arial" w:cs="Arial" w:eastAsia="Arial" w:hAnsi="Arial"/>
                  <w:sz w:val="2"/>
                  <w:szCs w:val="2"/>
                  <w:color w:val="auto"/>
                </w:rPr>
                <w:t xml:space="preserve"> ]</w:t>
              </w:r>
            </w:hyperlink>
          </w:p>
        </w:tc>
        <w:tc>
          <w:tcPr>
            <w:tcW w:w="80" w:type="dxa"/>
            <w:vAlign w:val="bottom"/>
          </w:tcPr>
          <w:p>
            <w:pPr>
              <w:spacing w:after="0"/>
              <w:rPr>
                <w:sz w:val="2"/>
                <w:szCs w:val="2"/>
                <w:color w:val="auto"/>
              </w:rPr>
            </w:pPr>
          </w:p>
        </w:tc>
        <w:tc>
          <w:tcPr>
            <w:tcW w:w="500" w:type="dxa"/>
            <w:vAlign w:val="bottom"/>
          </w:tcPr>
          <w:p>
            <w:pPr>
              <w:ind w:left="280"/>
              <w:spacing w:after="0"/>
              <w:rPr>
                <w:sz w:val="20"/>
                <w:szCs w:val="20"/>
                <w:color w:val="auto"/>
              </w:rPr>
            </w:pPr>
            <w:r>
              <w:rPr>
                <w:rFonts w:ascii="Arial" w:cs="Arial" w:eastAsia="Arial" w:hAnsi="Arial"/>
                <w:sz w:val="2"/>
                <w:szCs w:val="2"/>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40" w:type="dxa"/>
            <w:vAlign w:val="bottom"/>
            <w:gridSpan w:val="2"/>
          </w:tcPr>
          <w:p>
            <w:pPr>
              <w:ind w:left="440"/>
              <w:spacing w:after="0" w:line="185" w:lineRule="exact"/>
              <w:rPr>
                <w:sz w:val="20"/>
                <w:szCs w:val="20"/>
                <w:color w:val="auto"/>
              </w:rPr>
            </w:pPr>
            <w:r>
              <w:rPr>
                <w:rFonts w:ascii="Arial" w:cs="Arial" w:eastAsia="Arial" w:hAnsi="Arial"/>
                <w:sz w:val="17"/>
                <w:szCs w:val="17"/>
                <w:color w:val="0000FF"/>
              </w:rPr>
              <w:t>Chairman of the Board</w:t>
            </w:r>
          </w:p>
        </w:tc>
        <w:tc>
          <w:tcPr>
            <w:tcW w:w="0" w:type="dxa"/>
            <w:vAlign w:val="bottom"/>
          </w:tcPr>
          <w:p>
            <w:pPr>
              <w:spacing w:after="0"/>
              <w:rPr>
                <w:sz w:val="1"/>
                <w:szCs w:val="1"/>
                <w:color w:val="auto"/>
              </w:rPr>
            </w:pPr>
          </w:p>
        </w:tc>
      </w:tr>
      <w:tr>
        <w:trPr>
          <w:trHeight w:val="213"/>
        </w:trPr>
        <w:tc>
          <w:tcPr>
            <w:tcW w:w="3900" w:type="dxa"/>
            <w:vAlign w:val="bottom"/>
            <w:gridSpan w:val="2"/>
          </w:tcPr>
          <w:p>
            <w:pPr>
              <w:ind w:left="60"/>
              <w:spacing w:after="0"/>
              <w:rPr>
                <w:sz w:val="20"/>
                <w:szCs w:val="20"/>
                <w:color w:val="auto"/>
              </w:rPr>
            </w:pPr>
            <w:r>
              <w:rPr>
                <w:rFonts w:ascii="Arial" w:cs="Arial" w:eastAsia="Arial" w:hAnsi="Arial"/>
                <w:sz w:val="17"/>
                <w:szCs w:val="17"/>
                <w:color w:val="0000FF"/>
              </w:rPr>
              <w:t>12/11/2019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2C2C2C"/>
            </w:tcBorders>
          </w:tcPr>
          <w:p>
            <w:pPr>
              <w:spacing w:after="0"/>
              <w:rPr>
                <w:sz w:val="18"/>
                <w:szCs w:val="18"/>
                <w:color w:val="auto"/>
              </w:rPr>
            </w:pPr>
          </w:p>
        </w:tc>
        <w:tc>
          <w:tcPr>
            <w:tcW w:w="3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44" w:lineRule="exact"/>
        <w:rPr>
          <w:sz w:val="20"/>
          <w:szCs w:val="20"/>
          <w:color w:val="auto"/>
        </w:rPr>
      </w:pPr>
    </w:p>
    <w:p>
      <w:pPr>
        <w:sectPr>
          <w:pgSz w:w="11900" w:h="16855" w:orient="portrait"/>
          <w:cols w:equalWidth="0" w:num="2">
            <w:col w:w="3900" w:space="100"/>
            <w:col w:w="7520"/>
          </w:cols>
          <w:pgMar w:left="240" w:top="221"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108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0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12/12/2019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107,655</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21.25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412,140</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12/12/2019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55,813</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377.16</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356,327</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632</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373.26</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355,695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6,873</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374.79</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348,822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21,910</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375.55</w:t>
            </w:r>
            <w:r>
              <w:rPr>
                <w:rFonts w:ascii="Arial" w:cs="Arial" w:eastAsia="Arial" w:hAnsi="Arial"/>
                <w:sz w:val="21"/>
                <w:szCs w:val="21"/>
                <w:color w:val="008000"/>
                <w:w w:val="86"/>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326,912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13,060</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376.36</w:t>
            </w:r>
            <w:r>
              <w:rPr>
                <w:rFonts w:ascii="Arial" w:cs="Arial" w:eastAsia="Arial" w:hAnsi="Arial"/>
                <w:sz w:val="21"/>
                <w:szCs w:val="21"/>
                <w:color w:val="008000"/>
                <w:w w:val="86"/>
                <w:vertAlign w:val="superscript"/>
              </w:rPr>
              <w:t>(5)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313,852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5,732</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377.47</w:t>
            </w:r>
            <w:r>
              <w:rPr>
                <w:rFonts w:ascii="Arial" w:cs="Arial" w:eastAsia="Arial" w:hAnsi="Arial"/>
                <w:sz w:val="21"/>
                <w:szCs w:val="21"/>
                <w:color w:val="008000"/>
                <w:w w:val="86"/>
                <w:vertAlign w:val="superscript"/>
              </w:rPr>
              <w:t>(6)</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308,120</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3,602</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378.38</w:t>
            </w:r>
            <w:r>
              <w:rPr>
                <w:rFonts w:ascii="Arial" w:cs="Arial" w:eastAsia="Arial" w:hAnsi="Arial"/>
                <w:sz w:val="21"/>
                <w:szCs w:val="21"/>
                <w:color w:val="008000"/>
                <w:w w:val="86"/>
                <w:vertAlign w:val="superscript"/>
              </w:rPr>
              <w:t>(7)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304,518</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9"/>
              </w:rPr>
              <w:t>12/13/2019</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33</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379.14</w:t>
            </w:r>
            <w:r>
              <w:rPr>
                <w:rFonts w:ascii="Arial" w:cs="Arial" w:eastAsia="Arial" w:hAnsi="Arial"/>
                <w:sz w:val="21"/>
                <w:szCs w:val="21"/>
                <w:color w:val="008000"/>
                <w:w w:val="86"/>
                <w:vertAlign w:val="superscript"/>
              </w:rPr>
              <w:t>(8)</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304,485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86"/>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2,326</w:t>
            </w:r>
          </w:p>
        </w:tc>
        <w:tc>
          <w:tcPr>
            <w:tcW w:w="320" w:type="dxa"/>
            <w:vAlign w:val="bottom"/>
          </w:tcPr>
          <w:p>
            <w:pPr>
              <w:spacing w:after="0"/>
              <w:rPr>
                <w:sz w:val="17"/>
                <w:szCs w:val="17"/>
                <w:color w:val="auto"/>
              </w:rPr>
            </w:pPr>
          </w:p>
        </w:tc>
        <w:tc>
          <w:tcPr>
            <w:tcW w:w="660" w:type="dxa"/>
            <w:vAlign w:val="bottom"/>
          </w:tcPr>
          <w:p>
            <w:pPr>
              <w:jc w:val="center"/>
              <w:ind w:right="366"/>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144,897</w:t>
            </w:r>
          </w:p>
        </w:tc>
        <w:tc>
          <w:tcPr>
            <w:tcW w:w="320" w:type="dxa"/>
            <w:vAlign w:val="bottom"/>
          </w:tcPr>
          <w:p>
            <w:pPr>
              <w:spacing w:after="0"/>
              <w:rPr>
                <w:sz w:val="22"/>
                <w:szCs w:val="22"/>
                <w:color w:val="auto"/>
              </w:rPr>
            </w:pPr>
          </w:p>
        </w:tc>
        <w:tc>
          <w:tcPr>
            <w:tcW w:w="660" w:type="dxa"/>
            <w:vAlign w:val="bottom"/>
          </w:tcPr>
          <w:p>
            <w:pPr>
              <w:jc w:val="center"/>
              <w:ind w:right="366"/>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CLAT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8"/>
              </w:rPr>
              <w:t>83,652</w:t>
            </w:r>
          </w:p>
        </w:tc>
        <w:tc>
          <w:tcPr>
            <w:tcW w:w="320" w:type="dxa"/>
            <w:vAlign w:val="bottom"/>
          </w:tcPr>
          <w:p>
            <w:pPr>
              <w:spacing w:after="0"/>
              <w:rPr>
                <w:sz w:val="17"/>
                <w:szCs w:val="17"/>
                <w:color w:val="auto"/>
              </w:rPr>
            </w:pPr>
          </w:p>
        </w:tc>
        <w:tc>
          <w:tcPr>
            <w:tcW w:w="660" w:type="dxa"/>
            <w:vAlign w:val="bottom"/>
          </w:tcPr>
          <w:p>
            <w:pPr>
              <w:jc w:val="center"/>
              <w:ind w:right="366"/>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 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1,203</w:t>
            </w:r>
          </w:p>
        </w:tc>
        <w:tc>
          <w:tcPr>
            <w:tcW w:w="320" w:type="dxa"/>
            <w:vAlign w:val="bottom"/>
          </w:tcPr>
          <w:p>
            <w:pPr>
              <w:spacing w:after="0"/>
              <w:rPr>
                <w:sz w:val="17"/>
                <w:szCs w:val="17"/>
                <w:color w:val="auto"/>
              </w:rPr>
            </w:pPr>
          </w:p>
        </w:tc>
        <w:tc>
          <w:tcPr>
            <w:tcW w:w="660" w:type="dxa"/>
            <w:vAlign w:val="bottom"/>
          </w:tcPr>
          <w:p>
            <w:pPr>
              <w:jc w:val="center"/>
              <w:ind w:right="366"/>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grandch</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20" w:type="dxa"/>
            <w:vAlign w:val="bottom"/>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108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50"/>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1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   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50"/>
              <w:spacing w:after="0" w:line="129"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ind w:right="421"/>
              <w:spacing w:after="0" w:line="129" w:lineRule="exact"/>
              <w:rPr>
                <w:sz w:val="20"/>
                <w:szCs w:val="20"/>
                <w:color w:val="auto"/>
              </w:rPr>
            </w:pPr>
            <w:r>
              <w:rPr>
                <w:rFonts w:ascii="Arial" w:cs="Arial" w:eastAsia="Arial" w:hAnsi="Arial"/>
                <w:sz w:val="12"/>
                <w:szCs w:val="12"/>
                <w:b w:val="1"/>
                <w:bCs w:val="1"/>
                <w:color w:val="auto"/>
                <w:w w:val="93"/>
              </w:rPr>
              <w:t>8)</w:t>
            </w:r>
          </w:p>
        </w:tc>
        <w:tc>
          <w:tcPr>
            <w:tcW w:w="10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w w:val="99"/>
              </w:rPr>
              <w:t>Disposed 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w w:val="92"/>
              </w:rPr>
              <w:t>(Instr. 3, 4 and 5)</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21.25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12/12/2019</w:t>
            </w:r>
          </w:p>
        </w:tc>
        <w:tc>
          <w:tcPr>
            <w:tcW w:w="1100" w:type="dxa"/>
            <w:vAlign w:val="bottom"/>
          </w:tcPr>
          <w:p>
            <w:pPr>
              <w:spacing w:after="0"/>
              <w:rPr>
                <w:sz w:val="17"/>
                <w:szCs w:val="17"/>
                <w:color w:val="auto"/>
              </w:rPr>
            </w:pPr>
          </w:p>
        </w:tc>
        <w:tc>
          <w:tcPr>
            <w:tcW w:w="700" w:type="dxa"/>
            <w:vAlign w:val="bottom"/>
          </w:tcPr>
          <w:p>
            <w:pPr>
              <w:jc w:val="center"/>
              <w:ind w:right="241"/>
              <w:spacing w:after="0" w:line="202"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600" w:type="dxa"/>
            <w:vAlign w:val="bottom"/>
          </w:tcPr>
          <w:p>
            <w:pPr>
              <w:spacing w:after="0"/>
              <w:rPr>
                <w:sz w:val="17"/>
                <w:szCs w:val="17"/>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0000FF"/>
                <w:w w:val="85"/>
              </w:rPr>
              <w:t>107,655</w:t>
            </w:r>
          </w:p>
        </w:tc>
        <w:tc>
          <w:tcPr>
            <w:tcW w:w="780" w:type="dxa"/>
            <w:vAlign w:val="bottom"/>
          </w:tcPr>
          <w:p>
            <w:pPr>
              <w:ind w:left="380"/>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ind w:left="8"/>
              <w:spacing w:after="0"/>
              <w:rPr>
                <w:sz w:val="20"/>
                <w:szCs w:val="20"/>
                <w:color w:val="auto"/>
              </w:rPr>
            </w:pPr>
            <w:r>
              <w:rPr>
                <w:rFonts w:ascii="Arial" w:cs="Arial" w:eastAsia="Arial" w:hAnsi="Arial"/>
                <w:sz w:val="13"/>
                <w:szCs w:val="13"/>
                <w:color w:val="0000FF"/>
                <w:w w:val="92"/>
              </w:rPr>
              <w:t>12/18/2019</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107,655</w:t>
            </w:r>
          </w:p>
        </w:tc>
        <w:tc>
          <w:tcPr>
            <w:tcW w:w="40" w:type="dxa"/>
            <w:vAlign w:val="bottom"/>
          </w:tcPr>
          <w:p>
            <w:pPr>
              <w:spacing w:after="0"/>
              <w:rPr>
                <w:sz w:val="17"/>
                <w:szCs w:val="17"/>
                <w:color w:val="auto"/>
              </w:rPr>
            </w:pPr>
          </w:p>
        </w:tc>
        <w:tc>
          <w:tcPr>
            <w:tcW w:w="720" w:type="dxa"/>
            <w:vAlign w:val="bottom"/>
          </w:tcPr>
          <w:p>
            <w:pPr>
              <w:jc w:val="center"/>
              <w:ind w:right="3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520" w:type="dxa"/>
            <w:vAlign w:val="bottom"/>
          </w:tcPr>
          <w:p>
            <w:pPr>
              <w:jc w:val="center"/>
              <w:ind w:left="22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ind w:left="160"/>
              <w:spacing w:after="0" w:line="82" w:lineRule="exact"/>
              <w:rPr>
                <w:sz w:val="20"/>
                <w:szCs w:val="20"/>
                <w:color w:val="auto"/>
              </w:rPr>
            </w:pPr>
            <w:r>
              <w:rPr>
                <w:rFonts w:ascii="Arial" w:cs="Arial" w:eastAsia="Arial" w:hAnsi="Arial"/>
                <w:sz w:val="9"/>
                <w:szCs w:val="9"/>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372.46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12/11/2019</w:t>
            </w:r>
          </w:p>
        </w:tc>
        <w:tc>
          <w:tcPr>
            <w:tcW w:w="1100" w:type="dxa"/>
            <w:vAlign w:val="bottom"/>
          </w:tcPr>
          <w:p>
            <w:pPr>
              <w:spacing w:after="0"/>
              <w:rPr>
                <w:sz w:val="12"/>
                <w:szCs w:val="12"/>
                <w:color w:val="auto"/>
              </w:rPr>
            </w:pPr>
          </w:p>
        </w:tc>
        <w:tc>
          <w:tcPr>
            <w:tcW w:w="700" w:type="dxa"/>
            <w:vAlign w:val="bottom"/>
            <w:vMerge w:val="restart"/>
          </w:tcPr>
          <w:p>
            <w:pPr>
              <w:jc w:val="center"/>
              <w:ind w:right="221"/>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21"/>
              <w:spacing w:after="0"/>
              <w:rPr>
                <w:sz w:val="20"/>
                <w:szCs w:val="20"/>
                <w:color w:val="auto"/>
              </w:rPr>
            </w:pPr>
            <w:r>
              <w:rPr>
                <w:rFonts w:ascii="Arial" w:cs="Arial" w:eastAsia="Arial" w:hAnsi="Arial"/>
                <w:sz w:val="13"/>
                <w:szCs w:val="13"/>
                <w:color w:val="0000FF"/>
              </w:rPr>
              <w:t>29,177</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12/11/2029</w:t>
            </w:r>
          </w:p>
        </w:tc>
        <w:tc>
          <w:tcPr>
            <w:tcW w:w="580" w:type="dxa"/>
            <w:vAlign w:val="bottom"/>
          </w:tcPr>
          <w:p>
            <w:pPr>
              <w:ind w:left="60"/>
              <w:spacing w:after="0" w:line="142" w:lineRule="exact"/>
              <w:rPr>
                <w:sz w:val="20"/>
                <w:szCs w:val="20"/>
                <w:color w:val="auto"/>
              </w:rPr>
            </w:pPr>
            <w:r>
              <w:rPr>
                <w:rFonts w:ascii="Arial" w:cs="Arial" w:eastAsia="Arial" w:hAnsi="Arial"/>
                <w:sz w:val="13"/>
                <w:szCs w:val="13"/>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2"/>
              </w:rPr>
              <w:t>29,177</w:t>
            </w:r>
          </w:p>
        </w:tc>
        <w:tc>
          <w:tcPr>
            <w:tcW w:w="40" w:type="dxa"/>
            <w:vAlign w:val="bottom"/>
          </w:tcPr>
          <w:p>
            <w:pPr>
              <w:spacing w:after="0"/>
              <w:rPr>
                <w:sz w:val="12"/>
                <w:szCs w:val="12"/>
                <w:color w:val="auto"/>
              </w:rPr>
            </w:pPr>
          </w:p>
        </w:tc>
        <w:tc>
          <w:tcPr>
            <w:tcW w:w="720" w:type="dxa"/>
            <w:vAlign w:val="bottom"/>
            <w:vMerge w:val="restart"/>
          </w:tcPr>
          <w:p>
            <w:pPr>
              <w:jc w:val="center"/>
              <w:ind w:right="3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29,177</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12/11/2019</w:t>
            </w:r>
          </w:p>
        </w:tc>
        <w:tc>
          <w:tcPr>
            <w:tcW w:w="1100" w:type="dxa"/>
            <w:vAlign w:val="bottom"/>
          </w:tcPr>
          <w:p>
            <w:pPr>
              <w:spacing w:after="0"/>
              <w:rPr>
                <w:sz w:val="16"/>
                <w:szCs w:val="16"/>
                <w:color w:val="auto"/>
              </w:rPr>
            </w:pPr>
          </w:p>
        </w:tc>
        <w:tc>
          <w:tcPr>
            <w:tcW w:w="700" w:type="dxa"/>
            <w:vAlign w:val="bottom"/>
            <w:vMerge w:val="restart"/>
          </w:tcPr>
          <w:p>
            <w:pPr>
              <w:jc w:val="center"/>
              <w:ind w:right="221"/>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41"/>
              <w:spacing w:after="0"/>
              <w:rPr>
                <w:sz w:val="20"/>
                <w:szCs w:val="20"/>
                <w:color w:val="auto"/>
              </w:rPr>
            </w:pPr>
            <w:r>
              <w:rPr>
                <w:rFonts w:ascii="Arial" w:cs="Arial" w:eastAsia="Arial" w:hAnsi="Arial"/>
                <w:sz w:val="13"/>
                <w:szCs w:val="13"/>
                <w:color w:val="0000FF"/>
              </w:rPr>
              <w:t>9,086</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580" w:type="dxa"/>
            <w:vAlign w:val="bottom"/>
          </w:tcPr>
          <w:p>
            <w:pPr>
              <w:ind w:left="60"/>
              <w:spacing w:after="0"/>
              <w:rPr>
                <w:sz w:val="20"/>
                <w:szCs w:val="20"/>
                <w:color w:val="auto"/>
              </w:rPr>
            </w:pPr>
            <w:r>
              <w:rPr>
                <w:rFonts w:ascii="Arial" w:cs="Arial" w:eastAsia="Arial" w:hAnsi="Arial"/>
                <w:sz w:val="13"/>
                <w:szCs w:val="13"/>
                <w:color w:val="0000FF"/>
                <w:w w:val="94"/>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4"/>
              </w:rPr>
              <w:t>9,086</w:t>
            </w:r>
          </w:p>
        </w:tc>
        <w:tc>
          <w:tcPr>
            <w:tcW w:w="40" w:type="dxa"/>
            <w:vAlign w:val="bottom"/>
          </w:tcPr>
          <w:p>
            <w:pPr>
              <w:spacing w:after="0"/>
              <w:rPr>
                <w:sz w:val="16"/>
                <w:szCs w:val="16"/>
                <w:color w:val="auto"/>
              </w:rPr>
            </w:pPr>
          </w:p>
        </w:tc>
        <w:tc>
          <w:tcPr>
            <w:tcW w:w="720" w:type="dxa"/>
            <w:vAlign w:val="bottom"/>
            <w:vMerge w:val="restart"/>
          </w:tcPr>
          <w:p>
            <w:pPr>
              <w:jc w:val="center"/>
              <w:ind w:right="3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9,086</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3" w:lineRule="exact"/>
        <w:rPr>
          <w:rFonts w:ascii="Arial" w:cs="Arial" w:eastAsia="Arial" w:hAnsi="Arial"/>
          <w:sz w:val="13"/>
          <w:szCs w:val="13"/>
          <w:color w:val="008000"/>
        </w:rPr>
      </w:pPr>
    </w:p>
    <w:p>
      <w:pPr>
        <w:ind w:left="40" w:right="540" w:firstLine="2"/>
        <w:spacing w:after="0" w:line="289"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632 shares of Company stock on December 13, 2019 at prices ranging from $373.21 to $373.51. Upon request by the Commission staff, the Company, or a security holder of the Company, the reporting person will provide full information regarding the number of shares sold by the reporting person on December 13, 2019 at each separate price.</w:t>
      </w:r>
    </w:p>
    <w:p>
      <w:pPr>
        <w:sectPr>
          <w:pgSz w:w="11900" w:h="16855" w:orient="portrait"/>
          <w:cols w:equalWidth="0" w:num="1">
            <w:col w:w="11520"/>
          </w:cols>
          <w:pgMar w:left="240" w:top="221" w:right="139" w:bottom="0" w:gutter="0" w:footer="0" w:header="0"/>
          <w:type w:val="continuous"/>
        </w:sectPr>
      </w:pPr>
    </w:p>
    <w:bookmarkStart w:id="1" w:name="page2"/>
    <w:bookmarkEnd w:id="1"/>
    <w:p>
      <w:pPr>
        <w:ind w:right="280" w:firstLine="2"/>
        <w:spacing w:after="0" w:line="289"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6,873 shares of Company stock on December 13, 2019 at prices ranging from $374.22 to $374.99. Upon request by the Commission staff, the Company, or a security holder of the Company, the reporting person will provide full information regarding the number of shares sold by the reporting person on December 13, 2019 at each separate price.</w:t>
      </w:r>
    </w:p>
    <w:p>
      <w:pPr>
        <w:spacing w:after="0" w:line="2" w:lineRule="exact"/>
        <w:rPr>
          <w:rFonts w:ascii="Arial" w:cs="Arial" w:eastAsia="Arial" w:hAnsi="Arial"/>
          <w:sz w:val="12"/>
          <w:szCs w:val="12"/>
          <w:color w:val="008000"/>
        </w:rPr>
      </w:pPr>
    </w:p>
    <w:p>
      <w:pPr>
        <w:ind w:right="220" w:firstLine="2"/>
        <w:spacing w:after="0" w:line="289"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21,910 shares of Company stock on December 13, 2019 at prices ranging from $375.02 to $375.99. Upon request by the Commission staff, the Company, or a security holder of the Company, the reporting person will provide full information regarding the number of shares sold by the reporting person on December 13, 2019 at each separate price.</w:t>
      </w:r>
    </w:p>
    <w:p>
      <w:pPr>
        <w:spacing w:after="0" w:line="2" w:lineRule="exact"/>
        <w:rPr>
          <w:rFonts w:ascii="Arial" w:cs="Arial" w:eastAsia="Arial" w:hAnsi="Arial"/>
          <w:sz w:val="12"/>
          <w:szCs w:val="12"/>
          <w:color w:val="008000"/>
        </w:rPr>
      </w:pPr>
    </w:p>
    <w:p>
      <w:pPr>
        <w:ind w:right="220" w:firstLine="2"/>
        <w:spacing w:after="0" w:line="289"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13,060 shares of Company stock on December 13, 2019 at prices ranging from $376.00 to $376.99. Upon request by the Commission staff, the Company, or a security holder of the Company, the reporting person will provide full information regarding the number of shares sold by the reporting person on December 13, 2019 at each separate price.</w:t>
      </w:r>
    </w:p>
    <w:p>
      <w:pPr>
        <w:spacing w:after="0" w:line="2" w:lineRule="exact"/>
        <w:rPr>
          <w:rFonts w:ascii="Arial" w:cs="Arial" w:eastAsia="Arial" w:hAnsi="Arial"/>
          <w:sz w:val="12"/>
          <w:szCs w:val="12"/>
          <w:color w:val="008000"/>
        </w:rPr>
      </w:pPr>
    </w:p>
    <w:p>
      <w:pPr>
        <w:ind w:right="280" w:firstLine="2"/>
        <w:spacing w:after="0" w:line="289"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5,732 shares of Company stock on December 13, 2019 at prices ranging from $377.01 to $377.99. Upon request by the Commission staff, the Company, or a security holder of the Company, the reporting person will provide full information regarding the number of shares sold by the reporting person on December 13, 2019 at each separate price.</w:t>
      </w:r>
    </w:p>
    <w:p>
      <w:pPr>
        <w:spacing w:after="0" w:line="2" w:lineRule="exact"/>
        <w:rPr>
          <w:rFonts w:ascii="Arial" w:cs="Arial" w:eastAsia="Arial" w:hAnsi="Arial"/>
          <w:sz w:val="12"/>
          <w:szCs w:val="12"/>
          <w:color w:val="008000"/>
        </w:rPr>
      </w:pPr>
    </w:p>
    <w:p>
      <w:pPr>
        <w:ind w:right="280" w:firstLine="2"/>
        <w:spacing w:after="0" w:line="289"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3,602 shares of Company stock on December 13, 2019 at prices ranging from $378.07 to $378.97. Upon request by the Commission staff, the Company, or a security holder of the Company, the reporting person will provide full information regarding the number of shares sold by the reporting person on December 13, 2019 at each separate price.</w:t>
      </w:r>
    </w:p>
    <w:p>
      <w:pPr>
        <w:spacing w:after="0" w:line="2" w:lineRule="exact"/>
        <w:rPr>
          <w:rFonts w:ascii="Arial" w:cs="Arial" w:eastAsia="Arial" w:hAnsi="Arial"/>
          <w:sz w:val="12"/>
          <w:szCs w:val="12"/>
          <w:color w:val="008000"/>
        </w:rPr>
      </w:pPr>
    </w:p>
    <w:p>
      <w:pPr>
        <w:ind w:firstLine="2"/>
        <w:spacing w:after="0" w:line="289" w:lineRule="auto"/>
        <w:tabs>
          <w:tab w:leader="none" w:pos="12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33 shares of Company stock on December 13, 2019 at prices ranging from $379.06 to $379.19. Upon request by the Commission staff, the Company, or a security holder of the Company, the reporting person will provide full information regarding the number of shares sold by the reporting person on December 13, 2019 at each separate price.</w:t>
      </w:r>
    </w:p>
    <w:p>
      <w:pPr>
        <w:spacing w:after="0" w:line="2" w:lineRule="exact"/>
        <w:rPr>
          <w:rFonts w:ascii="Arial" w:cs="Arial" w:eastAsia="Arial" w:hAnsi="Arial"/>
          <w:sz w:val="12"/>
          <w:szCs w:val="12"/>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a trust for the benefit of certain grandchildren of the reporting person, of which the reporting person and/or the spouse of the reporting person is trustee.</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43" w:lineRule="exact"/>
        <w:rPr>
          <w:rFonts w:ascii="Arial" w:cs="Arial" w:eastAsia="Arial" w:hAnsi="Arial"/>
          <w:sz w:val="13"/>
          <w:szCs w:val="13"/>
          <w:color w:val="008000"/>
        </w:rPr>
      </w:pPr>
    </w:p>
    <w:p>
      <w:pPr>
        <w:ind w:right="220" w:firstLine="2"/>
        <w:spacing w:after="0" w:line="292" w:lineRule="auto"/>
        <w:tabs>
          <w:tab w:leader="none" w:pos="19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performance-based restricted stock unit ("PSU") represents the contingent right to receive one share of the issuer's common stock at vesting. The amount reported reflects the maximum number of PSUs that may vest based upon the achievement of certain performance metrics related to total shareholder return over four-year and/or five-year performance periods ending on December 11, 2023 and December 11, 2024, respectively. Between 50% and 225% of the target number of PSUs (i.e., between 50% and 225% of 4,038 PSUs) may vest upon achievement of predetermined total shareholder return percentages derived from compound annual growth rates of 5% to 15% for the applicable performance period. If none of the performance metrics are achieved at the conclusion of the performance periods, the award expires.</w:t>
      </w:r>
    </w:p>
    <w:p>
      <w:pPr>
        <w:spacing w:after="0" w:line="1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By: Beverly Dubs,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12/13/2019</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88"/>
              </w:rPr>
              <w:t>in-fact For: P. Roy Vagelos</w:t>
            </w:r>
          </w:p>
        </w:tc>
        <w:tc>
          <w:tcPr>
            <w:tcW w:w="2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20" w:type="dxa"/>
            <w:vAlign w:val="bottom"/>
            <w:tcBorders>
              <w:bottom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88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306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2019-12-13T16:45:56Z</dcterms:created>
  <dcterms:modified xsi:type="dcterms:W3CDTF">2019-12-13T16:45:56Z</dcterms:modified>
</cp:coreProperties>
</file>