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May 7, 2019 (May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306070</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780" w:type="dxa"/>
            <w:vAlign w:val="bottom"/>
          </w:tcPr>
          <w:p>
            <w:pPr>
              <w:jc w:val="center"/>
              <w:ind w:right="62"/>
              <w:spacing w:after="0"/>
              <w:rPr>
                <w:sz w:val="20"/>
                <w:szCs w:val="20"/>
                <w:color w:val="auto"/>
              </w:rPr>
            </w:pPr>
            <w:r>
              <w:rPr>
                <w:rFonts w:ascii="Arial" w:cs="Arial" w:eastAsia="Arial" w:hAnsi="Arial"/>
                <w:sz w:val="18"/>
                <w:szCs w:val="18"/>
                <w:b w:val="1"/>
                <w:bCs w:val="1"/>
                <w:color w:val="auto"/>
                <w:w w:val="92"/>
              </w:rPr>
              <w:t>New York</w:t>
            </w:r>
          </w:p>
        </w:tc>
        <w:tc>
          <w:tcPr>
            <w:tcW w:w="5360" w:type="dxa"/>
            <w:vAlign w:val="bottom"/>
          </w:tcPr>
          <w:p>
            <w:pPr>
              <w:jc w:val="right"/>
              <w:ind w:right="2280"/>
              <w:spacing w:after="0"/>
              <w:rPr>
                <w:sz w:val="20"/>
                <w:szCs w:val="20"/>
                <w:color w:val="auto"/>
              </w:rPr>
            </w:pPr>
            <w:r>
              <w:rPr>
                <w:rFonts w:ascii="Arial" w:cs="Arial" w:eastAsia="Arial" w:hAnsi="Arial"/>
                <w:sz w:val="18"/>
                <w:szCs w:val="18"/>
                <w:b w:val="1"/>
                <w:bCs w:val="1"/>
                <w:color w:val="auto"/>
              </w:rPr>
              <w:t>000-19034</w:t>
            </w:r>
          </w:p>
        </w:tc>
        <w:tc>
          <w:tcPr>
            <w:tcW w:w="138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7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(State or other jurisdiction</w:t>
            </w:r>
          </w:p>
        </w:tc>
        <w:tc>
          <w:tcPr>
            <w:tcW w:w="53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(Commission</w:t>
            </w:r>
          </w:p>
        </w:tc>
        <w:tc>
          <w:tcPr>
            <w:tcW w:w="138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78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of Incorporation)</w:t>
            </w:r>
          </w:p>
        </w:tc>
        <w:tc>
          <w:tcPr>
            <w:tcW w:w="536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File No.)</w:t>
            </w:r>
          </w:p>
        </w:tc>
        <w:tc>
          <w:tcPr>
            <w:tcW w:w="1380" w:type="dxa"/>
            <w:vAlign w:val="bottom"/>
          </w:tcPr>
          <w:p>
            <w:pPr>
              <w:jc w:val="center"/>
              <w:ind w:left="1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780" w:type="dxa"/>
            <w:vAlign w:val="bottom"/>
          </w:tcPr>
          <w:p>
            <w:pPr>
              <w:spacing w:after="0"/>
              <w:rPr>
                <w:sz w:val="24"/>
                <w:szCs w:val="24"/>
                <w:color w:val="auto"/>
              </w:rPr>
            </w:pPr>
          </w:p>
        </w:tc>
        <w:tc>
          <w:tcPr>
            <w:tcW w:w="5360" w:type="dxa"/>
            <w:vAlign w:val="bottom"/>
          </w:tcPr>
          <w:p>
            <w:pPr>
              <w:jc w:val="center"/>
              <w:ind w:right="6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380" w:type="dxa"/>
            <w:vAlign w:val="bottom"/>
          </w:tcPr>
          <w:p>
            <w:pPr>
              <w:spacing w:after="0"/>
              <w:rPr>
                <w:sz w:val="24"/>
                <w:szCs w:val="24"/>
                <w:color w:val="auto"/>
              </w:rPr>
            </w:pPr>
          </w:p>
        </w:tc>
      </w:tr>
      <w:tr>
        <w:trPr>
          <w:trHeight w:val="218"/>
        </w:trPr>
        <w:tc>
          <w:tcPr>
            <w:tcW w:w="1780" w:type="dxa"/>
            <w:vAlign w:val="bottom"/>
          </w:tcPr>
          <w:p>
            <w:pPr>
              <w:spacing w:after="0"/>
              <w:rPr>
                <w:sz w:val="18"/>
                <w:szCs w:val="18"/>
                <w:color w:val="auto"/>
              </w:rPr>
            </w:pPr>
          </w:p>
        </w:tc>
        <w:tc>
          <w:tcPr>
            <w:tcW w:w="53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380" w:type="dxa"/>
            <w:vAlign w:val="bottom"/>
          </w:tcPr>
          <w:p>
            <w:pPr>
              <w:spacing w:after="0"/>
              <w:rPr>
                <w:sz w:val="18"/>
                <w:szCs w:val="18"/>
                <w:color w:val="auto"/>
              </w:rPr>
            </w:pPr>
          </w:p>
        </w:tc>
      </w:tr>
      <w:tr>
        <w:trPr>
          <w:trHeight w:val="255"/>
        </w:trPr>
        <w:tc>
          <w:tcPr>
            <w:tcW w:w="1780" w:type="dxa"/>
            <w:vAlign w:val="bottom"/>
          </w:tcPr>
          <w:p>
            <w:pPr>
              <w:spacing w:after="0"/>
              <w:rPr>
                <w:sz w:val="22"/>
                <w:szCs w:val="22"/>
                <w:color w:val="auto"/>
              </w:rPr>
            </w:pPr>
          </w:p>
        </w:tc>
        <w:tc>
          <w:tcPr>
            <w:tcW w:w="5360" w:type="dxa"/>
            <w:vAlign w:val="bottom"/>
          </w:tcPr>
          <w:p>
            <w:pPr>
              <w:jc w:val="right"/>
              <w:ind w:right="2100"/>
              <w:spacing w:after="0"/>
              <w:rPr>
                <w:sz w:val="20"/>
                <w:szCs w:val="20"/>
                <w:color w:val="auto"/>
              </w:rPr>
            </w:pPr>
            <w:r>
              <w:rPr>
                <w:rFonts w:ascii="Arial" w:cs="Arial" w:eastAsia="Arial" w:hAnsi="Arial"/>
                <w:sz w:val="18"/>
                <w:szCs w:val="18"/>
                <w:b w:val="1"/>
                <w:bCs w:val="1"/>
                <w:color w:val="auto"/>
              </w:rPr>
              <w:t>(914) 847-7000</w:t>
            </w:r>
          </w:p>
        </w:tc>
        <w:tc>
          <w:tcPr>
            <w:tcW w:w="1380" w:type="dxa"/>
            <w:vAlign w:val="bottom"/>
          </w:tcPr>
          <w:p>
            <w:pPr>
              <w:spacing w:after="0"/>
              <w:rPr>
                <w:sz w:val="22"/>
                <w:szCs w:val="22"/>
                <w:color w:val="auto"/>
              </w:rPr>
            </w:pPr>
          </w:p>
        </w:tc>
      </w:tr>
      <w:tr>
        <w:trPr>
          <w:trHeight w:val="218"/>
        </w:trPr>
        <w:tc>
          <w:tcPr>
            <w:tcW w:w="1780" w:type="dxa"/>
            <w:vAlign w:val="bottom"/>
          </w:tcPr>
          <w:p>
            <w:pPr>
              <w:spacing w:after="0"/>
              <w:rPr>
                <w:sz w:val="18"/>
                <w:szCs w:val="18"/>
                <w:color w:val="auto"/>
              </w:rPr>
            </w:pPr>
          </w:p>
        </w:tc>
        <w:tc>
          <w:tcPr>
            <w:tcW w:w="53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213360</wp:posOffset>
            </wp:positionV>
            <wp:extent cx="322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left="380"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940" w:type="dxa"/>
            <w:vAlign w:val="bottom"/>
            <w:gridSpan w:val="2"/>
          </w:tcPr>
          <w:p>
            <w:pPr>
              <w:jc w:val="center"/>
              <w:ind w:right="1660"/>
              <w:spacing w:after="0"/>
              <w:rPr>
                <w:sz w:val="20"/>
                <w:szCs w:val="20"/>
                <w:color w:val="auto"/>
              </w:rPr>
            </w:pPr>
            <w:r>
              <w:rPr>
                <w:rFonts w:ascii="Arial" w:cs="Arial" w:eastAsia="Arial" w:hAnsi="Arial"/>
                <w:sz w:val="18"/>
                <w:szCs w:val="18"/>
                <w:i w:val="1"/>
                <w:iCs w:val="1"/>
                <w:color w:val="auto"/>
                <w:w w:val="88"/>
              </w:rPr>
              <w:t>Title of each class</w:t>
            </w:r>
          </w:p>
        </w:tc>
        <w:tc>
          <w:tcPr>
            <w:tcW w:w="250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1"/>
              </w:rPr>
              <w:t>Trading Symbol</w:t>
            </w:r>
          </w:p>
        </w:tc>
        <w:tc>
          <w:tcPr>
            <w:tcW w:w="3860" w:type="dxa"/>
            <w:vAlign w:val="bottom"/>
            <w:gridSpan w:val="2"/>
          </w:tcPr>
          <w:p>
            <w:pPr>
              <w:jc w:val="center"/>
              <w:ind w:left="59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9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660" w:type="dxa"/>
            <w:vAlign w:val="bottom"/>
          </w:tcPr>
          <w:p>
            <w:pPr>
              <w:spacing w:after="0"/>
              <w:rPr>
                <w:sz w:val="24"/>
                <w:szCs w:val="24"/>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9"/>
              </w:rPr>
              <w:t>REGN</w:t>
            </w:r>
          </w:p>
        </w:tc>
        <w:tc>
          <w:tcPr>
            <w:tcW w:w="6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On May 7, 2019, Regeneron Pharmaceuticals, Inc. issued a press release announcing its financial and operating results for the quarter ended March 31, 2019.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7, 2019, Reporting First Quarter 2019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Date: May 7, 2019</w:t>
            </w:r>
          </w:p>
        </w:tc>
        <w:tc>
          <w:tcPr>
            <w:tcW w:w="6800" w:type="dxa"/>
            <w:vAlign w:val="bottom"/>
            <w:gridSpan w:val="2"/>
          </w:tcPr>
          <w:p>
            <w:pPr>
              <w:ind w:left="10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56"/>
        </w:trPr>
        <w:tc>
          <w:tcPr>
            <w:tcW w:w="2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520"/>
          </w:cols>
          <w:pgMar w:left="240" w:top="368"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FF"/>
          </w:rPr>
          <w:t>Press Release, dated May 7, 2019, Reporting First Quarter 2019 Financial and Operating Results.</w:t>
        </w:r>
      </w:hyperlink>
    </w:p>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2019 Financial and Operating Results</w:t>
      </w:r>
    </w:p>
    <w:p>
      <w:pPr>
        <w:spacing w:after="0" w:line="16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2019 revenues increased 13% to $1.71 billion versus first quarter 2018</w:t>
      </w:r>
    </w:p>
    <w:p>
      <w:pPr>
        <w:spacing w:after="0" w:line="25" w:lineRule="exact"/>
        <w:rPr>
          <w:rFonts w:ascii="Arial" w:cs="Arial" w:eastAsia="Arial" w:hAnsi="Arial"/>
          <w:sz w:val="22"/>
          <w:szCs w:val="22"/>
          <w:i w:val="1"/>
          <w:iCs w:val="1"/>
          <w:color w:val="auto"/>
        </w:rPr>
      </w:pPr>
    </w:p>
    <w:p>
      <w:pPr>
        <w:ind w:left="340" w:right="38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2019 EYLEA</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(aflibercept) Injection U.S. net sales increased 9% to $1.07 billion versus first quarter 2018</w:t>
      </w:r>
    </w:p>
    <w:p>
      <w:pPr>
        <w:ind w:left="340" w:right="300" w:hanging="332"/>
        <w:spacing w:after="0" w:line="227"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2019 EYLEA net sales outside the United States, which are recorded by the Company's collaborator Bayer</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increased 7% to $669 million versus first quarter 2018</w:t>
      </w:r>
    </w:p>
    <w:p>
      <w:pPr>
        <w:spacing w:after="0" w:line="2" w:lineRule="exact"/>
        <w:rPr>
          <w:rFonts w:ascii="Arial" w:cs="Arial" w:eastAsia="Arial" w:hAnsi="Arial"/>
          <w:sz w:val="22"/>
          <w:szCs w:val="22"/>
          <w:i w:val="1"/>
          <w:iCs w:val="1"/>
          <w:color w:val="auto"/>
        </w:rPr>
      </w:pPr>
    </w:p>
    <w:p>
      <w:pPr>
        <w:ind w:left="340" w:right="68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2019 Dupixent</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(dupilumab) global net sales, which are recorded by the Company's collaborator Sanofi, were $374 million</w:t>
      </w: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2019 Libtayo</w:t>
      </w:r>
      <w:r>
        <w:rPr>
          <w:rFonts w:ascii="Arial" w:cs="Arial" w:eastAsia="Arial" w:hAnsi="Arial"/>
          <w:sz w:val="28"/>
          <w:szCs w:val="28"/>
          <w:b w:val="1"/>
          <w:bCs w:val="1"/>
          <w:i w:val="1"/>
          <w:iCs w:val="1"/>
          <w:color w:val="auto"/>
          <w:vertAlign w:val="superscript"/>
        </w:rPr>
        <w:t>®</w:t>
      </w:r>
      <w:r>
        <w:rPr>
          <w:rFonts w:ascii="Arial" w:cs="Arial" w:eastAsia="Arial" w:hAnsi="Arial"/>
          <w:sz w:val="22"/>
          <w:szCs w:val="22"/>
          <w:i w:val="1"/>
          <w:iCs w:val="1"/>
          <w:color w:val="auto"/>
        </w:rPr>
        <w:t xml:space="preserve"> (cemiplimab) U.S. net sales were $27 million; Libtayo was launched in October 2018</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2019 GAAP diluted EPS was $3.99 and non-GAAP diluted EPS was $4.45</w:t>
      </w:r>
    </w:p>
    <w:p>
      <w:pPr>
        <w:spacing w:after="0" w:line="3"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Dupixent for moderate-to-severe atopic dermatitis in adolescents</w:t>
      </w:r>
    </w:p>
    <w:p>
      <w:pPr>
        <w:spacing w:after="0" w:line="234" w:lineRule="exact"/>
        <w:rPr>
          <w:sz w:val="20"/>
          <w:szCs w:val="20"/>
          <w:color w:val="auto"/>
        </w:rPr>
      </w:pPr>
    </w:p>
    <w:p>
      <w:pPr>
        <w:ind w:right="860"/>
        <w:spacing w:after="0" w:line="274" w:lineRule="auto"/>
        <w:rPr>
          <w:sz w:val="20"/>
          <w:szCs w:val="20"/>
          <w:color w:val="auto"/>
        </w:rPr>
      </w:pPr>
      <w:r>
        <w:rPr>
          <w:rFonts w:ascii="Arial" w:cs="Arial" w:eastAsia="Arial" w:hAnsi="Arial"/>
          <w:sz w:val="22"/>
          <w:szCs w:val="22"/>
          <w:b w:val="1"/>
          <w:bCs w:val="1"/>
          <w:color w:val="auto"/>
        </w:rPr>
        <w:t xml:space="preserve">Tarrytown, New York (May 7, 2019)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2019 and provided a business update.</w:t>
      </w:r>
    </w:p>
    <w:p>
      <w:pPr>
        <w:spacing w:after="0" w:line="218"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"In the first quarter, aggregate sales of all Regeneron-invented products, recorded by the Company and its collaborators, were $2.27 billion, an increase of 23% over the same period last year. This was driven by an 8% increase in EYLEA net sales, 185% increase in Dupixent net sales, and a strong initial launch for Libtayo in advanced cutaneous squamous cell carcinoma," said Leonard S. Schleifer, M.D., Ph.D., President and Chief Executive Officer of Regeneron. "We continue to unlock the full potential of Dupixent, which is now FDA-approved in atopic dermatitis and asthma in both adults and adolescents and is currently under Priority Review by the FDA for chronic rhinosinusitis with nasal polyps. Regeneron also continues to invest in a broad immuno-oncology portfolio. At the June European Hematology Association meeting, we look forward to presenting updated promising results of the Phase 1 study of REGN1979 in relapsed or refractory B-cell non-hodgkin lymphoma, including in patients who have failed previous CAR-T therapy."</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 in millions, except per share data)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040"/>
        <w:spacing w:after="0"/>
        <w:rPr>
          <w:sz w:val="20"/>
          <w:szCs w:val="20"/>
          <w:color w:val="auto"/>
        </w:rPr>
      </w:pPr>
      <w:r>
        <w:rPr>
          <w:rFonts w:ascii="Arial" w:cs="Arial" w:eastAsia="Arial" w:hAnsi="Arial"/>
          <w:sz w:val="19"/>
          <w:szCs w:val="19"/>
          <w:b w:val="1"/>
          <w:bCs w:val="1"/>
          <w:color w:val="auto"/>
        </w:rPr>
        <w:t>Three Months Ended</w:t>
      </w:r>
    </w:p>
    <w:p>
      <w:pPr>
        <w:spacing w:after="0" w:line="22" w:lineRule="exact"/>
        <w:rPr>
          <w:sz w:val="20"/>
          <w:szCs w:val="20"/>
          <w:color w:val="auto"/>
        </w:rPr>
      </w:pPr>
    </w:p>
    <w:p>
      <w:pPr>
        <w:jc w:val="center"/>
        <w:ind w:right="2980"/>
        <w:spacing w:after="0"/>
        <w:rPr>
          <w:sz w:val="20"/>
          <w:szCs w:val="20"/>
          <w:color w:val="auto"/>
        </w:rPr>
      </w:pPr>
      <w:r>
        <w:rPr>
          <w:rFonts w:ascii="Arial" w:cs="Arial" w:eastAsia="Arial" w:hAnsi="Arial"/>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10795</wp:posOffset>
            </wp:positionV>
            <wp:extent cx="2701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700" w:space="720"/>
            <w:col w:w="5000"/>
          </w:cols>
          <w:pgMar w:left="240" w:top="364" w:right="239" w:bottom="1440" w:gutter="0" w:footer="0" w:header="0"/>
          <w:type w:val="continuous"/>
        </w:sectPr>
      </w:pPr>
    </w:p>
    <w:tbl>
      <w:tblPr>
        <w:tblLayout w:type="fixed"/>
        <w:tblInd w:w="1100" w:type="dxa"/>
        <w:tblCellMar>
          <w:top w:w="0" w:type="dxa"/>
          <w:left w:w="0" w:type="dxa"/>
          <w:bottom w:w="0" w:type="dxa"/>
          <w:right w:w="0" w:type="dxa"/>
        </w:tblCellMar>
      </w:tblPr>
      <w:tr>
        <w:trPr>
          <w:trHeight w:val="266"/>
        </w:trPr>
        <w:tc>
          <w:tcPr>
            <w:tcW w:w="420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 Change</w:t>
            </w:r>
          </w:p>
        </w:tc>
      </w:tr>
      <w:tr>
        <w:trPr>
          <w:trHeight w:val="268"/>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65"/>
        </w:trPr>
        <w:tc>
          <w:tcPr>
            <w:tcW w:w="420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461</w:t>
            </w:r>
          </w:p>
        </w:tc>
        <w:tc>
          <w:tcPr>
            <w:tcW w:w="12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478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75"/>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r>
      <w:tr>
        <w:trPr>
          <w:trHeight w:val="270"/>
        </w:trPr>
        <w:tc>
          <w:tcPr>
            <w:tcW w:w="420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518</w:t>
            </w:r>
          </w:p>
        </w:tc>
        <w:tc>
          <w:tcPr>
            <w:tcW w:w="12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537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4.67</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r>
      <w:tr>
        <w:trPr>
          <w:trHeight w:val="594"/>
        </w:trPr>
        <w:tc>
          <w:tcPr>
            <w:tcW w:w="4200" w:type="dxa"/>
            <w:vAlign w:val="bottom"/>
          </w:tcPr>
          <w:p>
            <w:pPr>
              <w:spacing w:after="0"/>
              <w:rPr>
                <w:sz w:val="24"/>
                <w:szCs w:val="24"/>
                <w:color w:val="auto"/>
              </w:rPr>
            </w:pPr>
          </w:p>
        </w:tc>
        <w:tc>
          <w:tcPr>
            <w:tcW w:w="780" w:type="dxa"/>
            <w:vAlign w:val="bottom"/>
          </w:tcPr>
          <w:p>
            <w:pPr>
              <w:jc w:val="right"/>
              <w:ind w:right="22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Regeneron has twenty product candidates in clinical development, including five of the Company's U.S. Food and Drug Administration (FDA) approved products for which it is investigating additional indications. Updates from the clinical pipeline include: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right="26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April 2019, the Company resubmitted a supplemental Biologics License Application (sBLA) for EYLEA in a pre-filled syringe.</w:t>
      </w: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EYLEA sBLA for the treatment of diabetic retinopathy has a target action date of May 13, 2019.</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w:t>
      </w:r>
    </w:p>
    <w:p>
      <w:pPr>
        <w:ind w:left="340" w:right="2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March 2019, the FDA approved Dupixent for adolescent patients 12 to 17 years of age with moderate-to-severe atopic dermatitis whose disease is not adequately controlled with topical prescription therapies or when those therapies are not advisable.</w:t>
      </w:r>
    </w:p>
    <w:p>
      <w:pPr>
        <w:spacing w:after="0" w:line="1" w:lineRule="exact"/>
        <w:rPr>
          <w:rFonts w:ascii="Arial" w:cs="Arial" w:eastAsia="Arial" w:hAnsi="Arial"/>
          <w:sz w:val="22"/>
          <w:szCs w:val="22"/>
          <w:color w:val="auto"/>
        </w:rPr>
      </w:pPr>
    </w:p>
    <w:p>
      <w:pPr>
        <w:ind w:left="340" w:right="8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priority review the sBLA for Dupixent as an add-on maintenance treatment for adults with inadequately controlled severe chronic rhinosinusitis with nasal polyps (CRSwNP), with a target action date of June 26, 2019. The Company and Sanofi have also submitted a European Marketing Authorization Application (MAA) for CRSwNP.</w:t>
      </w:r>
    </w:p>
    <w:p>
      <w:pPr>
        <w:spacing w:after="0" w:line="1" w:lineRule="exact"/>
        <w:rPr>
          <w:rFonts w:ascii="Arial" w:cs="Arial" w:eastAsia="Arial" w:hAnsi="Arial"/>
          <w:sz w:val="22"/>
          <w:szCs w:val="22"/>
          <w:color w:val="auto"/>
        </w:rPr>
      </w:pPr>
    </w:p>
    <w:p>
      <w:pPr>
        <w:ind w:left="340" w:right="1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European Medicines Agency's Committee for Medicinal Products for Human Use (CHMP) adopted a positive opinion for Dupixent, recommending it be approved for use in adults and adolescents 12 years and older as add-on maintenance treatment for severe asthma.</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Initiated a Phase 3 study in chronic obstructive pulmonary disease (COPD).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(cemiplimab)</w:t>
      </w:r>
    </w:p>
    <w:p>
      <w:pPr>
        <w:ind w:left="340" w:right="160" w:hanging="332"/>
        <w:spacing w:after="0" w:line="246"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European Medicines Agency's CHMP recommended conditional approval for Libtayo for the treatment of adult patients with metastatic or locally advanced cutaneous squamous cell carcinoma (CSCC) who are not candidates for curative surgery or curative radiation.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REGN1979</w:t>
      </w:r>
      <w:r>
        <w:rPr>
          <w:rFonts w:ascii="Arial" w:cs="Arial" w:eastAsia="Arial" w:hAnsi="Arial"/>
          <w:sz w:val="22"/>
          <w:szCs w:val="22"/>
          <w:color w:val="auto"/>
        </w:rPr>
        <w:t>, a bispecific antibody against CD20 and CD3</w:t>
      </w:r>
    </w:p>
    <w:p>
      <w:pPr>
        <w:spacing w:after="0" w:line="4" w:lineRule="exact"/>
        <w:rPr>
          <w:sz w:val="20"/>
          <w:szCs w:val="20"/>
          <w:color w:val="auto"/>
        </w:rPr>
      </w:pPr>
    </w:p>
    <w:p>
      <w:pPr>
        <w:ind w:left="340" w:right="2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expects to begin a potentially pivotal Phase 2 study in advanced follicular lymphoma this quarter, and a potentially pivotal Phase 2 study in diffuse large B-cell lymphoma (DLBCL) later this year.</w:t>
      </w:r>
    </w:p>
    <w:p>
      <w:pPr>
        <w:ind w:left="340" w:right="20" w:hanging="332"/>
        <w:spacing w:after="0" w:line="246"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At the June European Hematology Association meeting, the Company plans to present updated results of the Phase 1 study in relapsed or refractory B-cell non-hodgkin lymphoma, including in patients who have failed previous CAR-T therapy.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w:t>
      </w:r>
    </w:p>
    <w:p>
      <w:pPr>
        <w:ind w:left="340" w:right="26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March 2019, the European Commission approved a new indication for Praluent to reduce cardiovascular risk in adults with established atherosclerotic cardiovascular disease (ASCVD) by lowering low-density lipoprotein cholesterol (LDL-C) levels as an adjunct to correction of other risk factors.</w:t>
      </w:r>
    </w:p>
    <w:p>
      <w:pPr>
        <w:spacing w:after="0" w:line="1" w:lineRule="exact"/>
        <w:rPr>
          <w:rFonts w:ascii="Arial" w:cs="Arial" w:eastAsia="Arial" w:hAnsi="Arial"/>
          <w:sz w:val="22"/>
          <w:szCs w:val="22"/>
          <w:color w:val="auto"/>
        </w:rPr>
      </w:pPr>
    </w:p>
    <w:p>
      <w:pPr>
        <w:ind w:left="34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2019, the FDA approved a new indication for Praluent to reduce the risk of heart attack, stroke, and unstable angina requiring hospitalization in adults with established cardiovascular disease.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0" w:right="239" w:bottom="1440" w:gutter="0" w:footer="0" w:header="0"/>
        </w:sectPr>
      </w:pPr>
    </w:p>
    <w:bookmarkStart w:id="6" w:name="page7"/>
    <w:bookmarkEnd w:id="6"/>
    <w:p>
      <w:pPr>
        <w:ind w:left="340" w:right="160" w:hanging="332"/>
        <w:spacing w:after="0" w:line="249"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Beginning in March 2019, Praluent was made available for both the 75 mg and 150 mg doses at a U.S. list price of $5,850 annually, a 60% reduction from the original price.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160" w:hanging="332"/>
        <w:spacing w:after="0" w:line="258" w:lineRule="auto"/>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April 2019, the Company entered into a collaboration with Alnylam Pharmaceuticals, Inc. to discover, develop, and commercialize new RNA interference (RNAi) therapeutics for diseases of the eye and central nervous system, in addition to a select number of targets expressed in the liver. Under the terms of the agreement, the Company is obligated to make an up-front payment of $400 million and purchase $400 million of Alnylam common stock. In addition, the Company will provide Alnylam with a specified amount of funding at program initiation and at lead candidate designation, and Alnylam is eligible to receive up to $200 million in clinical proof-of-principle milestones.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2019 Financial Results</w:t>
      </w:r>
    </w:p>
    <w:p>
      <w:pPr>
        <w:spacing w:after="0" w:line="260"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$1.104 billion in the first quarter of 2019, compared to $988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2018. EYLEA net product sales in the United States were $1.074 billion in the first quarter of 2019, compared to $984 million in the first quarter of 2018. Overall distributor inventory levels for EYLEA in the United States remained within the Company's one-to-two-week targeted range.</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13% to $1.712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first quarter of 2019, compared to $1.512 billion in the first quarter of 2018. Total revenues include Sanofi and Bayer collaboration revenues</w:t>
      </w:r>
      <w:r>
        <w:rPr>
          <w:rFonts w:ascii="Arial" w:cs="Arial" w:eastAsia="Arial" w:hAnsi="Arial"/>
          <w:sz w:val="25"/>
          <w:szCs w:val="25"/>
          <w:color w:val="auto"/>
          <w:vertAlign w:val="superscript"/>
        </w:rPr>
        <w:t>(6)</w:t>
      </w:r>
      <w:r>
        <w:rPr>
          <w:rFonts w:ascii="Arial" w:cs="Arial" w:eastAsia="Arial" w:hAnsi="Arial"/>
          <w:sz w:val="22"/>
          <w:szCs w:val="22"/>
          <w:color w:val="auto"/>
        </w:rPr>
        <w:t xml:space="preserve"> of $523 million in the first quarter of 2019, compared to $437 million in the first quarter of 2018. The increase in Sanofi collaboration revenue in the first quarter of 2019 was primarily due to the Company's share of lower losses of collaboration antibodies, primarily driven by higher net product sales of Dupixent. This increase was partly offset by a decrease in reimbursement of research and development costs under the Immuno-oncology Discovery and Development Agreement with Sanofi, as the amended agreement narrowed the scope of reimbursable activities to the BCMAxCD3 and MUC16xCD3 programs.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234"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$642 million in the first quarter of 2019,</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$499 million in the first quarter of 2018. The higher R&amp;D expenses in the first quarter of 2019 were principally due to additional costs incurred in connection with our earlier-stage pipeline, an increase in Libtayo development expenses, higher clinical manufacturing costs, and higher headcount and headcount-related costs. In the first quarter of 2019, R&amp;D-related non-cash share-based compensation expense was $59 million, compared to $41 million in the first quarter of 2018.</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90" w:right="259" w:bottom="1440" w:gutter="0" w:footer="0" w:header="0"/>
        </w:sectPr>
      </w:pPr>
    </w:p>
    <w:bookmarkStart w:id="7" w:name="page8"/>
    <w:bookmarkEnd w:id="7"/>
    <w:p>
      <w:pPr>
        <w:spacing w:after="0" w:line="249"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$411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2019, compared to $331 million in the first quarter of 2018. The higher SG&amp;A expenses in the first quarter of 2019 were primarily due to higher headcount and headcount-related costs, higher contributions to independent not-for-profit patient assistance organizations, and an increase in commercialization-related expenses for Dupixent. In the first quarter of 2019, SG&amp;A-related non-cash share-based compensation expense was $44 million, compared to $35 million in the first quarter of 2018.</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GAAP COCM expenses were $108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2019, compared to $46 million in the first quarter of 2018. The increase in COCM was primarily due to higher expenses in connection with process validation at our Limerick manufacturing facility, higher inventory write-offs and reserves, and the recognition of manufacturing costs associated with higher sales of Dupixent.</w:t>
      </w:r>
    </w:p>
    <w:p>
      <w:pPr>
        <w:spacing w:after="0" w:line="216" w:lineRule="exact"/>
        <w:rPr>
          <w:sz w:val="20"/>
          <w:szCs w:val="20"/>
          <w:color w:val="auto"/>
        </w:rPr>
      </w:pPr>
    </w:p>
    <w:p>
      <w:pPr>
        <w:ind w:right="640"/>
        <w:spacing w:after="0" w:line="274"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GAAP other income (expense), net, in the first quarter of 2019 and 2018 includes the</w:t>
      </w:r>
      <w:r>
        <w:rPr>
          <w:rFonts w:ascii="Arial" w:cs="Arial" w:eastAsia="Arial" w:hAnsi="Arial"/>
          <w:sz w:val="22"/>
          <w:szCs w:val="22"/>
          <w:b w:val="1"/>
          <w:bCs w:val="1"/>
          <w:color w:val="auto"/>
        </w:rPr>
        <w:t xml:space="preserve"> </w:t>
      </w:r>
      <w:r>
        <w:rPr>
          <w:rFonts w:ascii="Arial" w:cs="Arial" w:eastAsia="Arial" w:hAnsi="Arial"/>
          <w:sz w:val="22"/>
          <w:szCs w:val="22"/>
          <w:color w:val="auto"/>
        </w:rPr>
        <w:t>recognition of $43 million and $9 million, respectively, of net gains on equity securities.</w:t>
      </w:r>
    </w:p>
    <w:p>
      <w:pPr>
        <w:spacing w:after="0" w:line="19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In the first quarter of 2019, GAAP income tax expense was $85 million and the effective tax rate was</w:t>
      </w:r>
      <w:r>
        <w:rPr>
          <w:rFonts w:ascii="Arial" w:cs="Arial" w:eastAsia="Arial" w:hAnsi="Arial"/>
          <w:sz w:val="22"/>
          <w:szCs w:val="22"/>
          <w:b w:val="1"/>
          <w:bCs w:val="1"/>
          <w:color w:val="auto"/>
        </w:rPr>
        <w:t xml:space="preserve"> </w:t>
      </w:r>
      <w:r>
        <w:rPr>
          <w:rFonts w:ascii="Arial" w:cs="Arial" w:eastAsia="Arial" w:hAnsi="Arial"/>
          <w:sz w:val="22"/>
          <w:szCs w:val="22"/>
          <w:color w:val="auto"/>
        </w:rPr>
        <w:t>15.6%, compared to $107 million and 18.3% in the first quarter of 2018. The effective tax rate for the first quarter of 2019 was positively impacted, compared to the U.S. federal statutory rate, primarily by the federal tax credit for research activities, stock-based compensation, the foreign-derived intangible income deduction, and income earned in foreign jurisdictions with tax rates lower than the U.S. federal statutory rate.</w:t>
      </w:r>
    </w:p>
    <w:p>
      <w:pPr>
        <w:spacing w:after="0" w:line="217" w:lineRule="exact"/>
        <w:rPr>
          <w:sz w:val="20"/>
          <w:szCs w:val="20"/>
          <w:color w:val="auto"/>
        </w:rPr>
      </w:pPr>
    </w:p>
    <w:p>
      <w:pPr>
        <w:ind w:right="12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$461 million, or $4.23 per basic share and $3.99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first quarter of 2019, compared to GAAP net income of $478 million, or $4.44 per basic share and $4.16 per diluted share, in the first quarter of 2018.</w:t>
      </w:r>
    </w:p>
    <w:p>
      <w:pPr>
        <w:spacing w:after="0" w:line="252"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Non-GAAP net income was $518 million, or $4.75 per basic share and $4.45 per diluted share, in the first quarter of 2019, compared to non-GAAP net income of $537 million, or $4.99 per basic share and $4.67 per diluted share, in the first quarter of 2018.</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4"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2019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2019 financial guidance consists of the following components: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88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GAAP Sanofi collaboration revenue: Sanofi</w:t>
            </w:r>
          </w:p>
        </w:tc>
        <w:tc>
          <w:tcPr>
            <w:tcW w:w="486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$500 million–$535 million</w:t>
            </w:r>
          </w:p>
        </w:tc>
      </w:tr>
      <w:tr>
        <w:trPr>
          <w:trHeight w:val="236"/>
        </w:trPr>
        <w:tc>
          <w:tcPr>
            <w:tcW w:w="4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reimbursement of Regeneron commercialization-</w:t>
            </w:r>
          </w:p>
        </w:tc>
        <w:tc>
          <w:tcPr>
            <w:tcW w:w="48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$510 million–$560 million)</w:t>
            </w:r>
          </w:p>
        </w:tc>
      </w:tr>
      <w:tr>
        <w:trPr>
          <w:trHeight w:val="242"/>
        </w:trPr>
        <w:tc>
          <w:tcPr>
            <w:tcW w:w="4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related expenses</w:t>
            </w:r>
          </w:p>
        </w:tc>
        <w:tc>
          <w:tcPr>
            <w:tcW w:w="48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18"/>
        </w:trPr>
        <w:tc>
          <w:tcPr>
            <w:tcW w:w="4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0"/>
                <w:szCs w:val="20"/>
                <w:color w:val="auto"/>
              </w:rPr>
              <w:t>GAAP Unreimbursed R&amp;D</w:t>
            </w:r>
            <w:r>
              <w:rPr>
                <w:rFonts w:ascii="Arial" w:cs="Arial" w:eastAsia="Arial" w:hAnsi="Arial"/>
                <w:sz w:val="25"/>
                <w:szCs w:val="25"/>
                <w:color w:val="auto"/>
                <w:vertAlign w:val="superscript"/>
              </w:rPr>
              <w:t>(5)</w:t>
            </w:r>
          </w:p>
        </w:tc>
        <w:tc>
          <w:tcPr>
            <w:tcW w:w="4860" w:type="dxa"/>
            <w:vAlign w:val="bottom"/>
            <w:tcBorders>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$1.880 billion</w:t>
            </w:r>
            <w:r>
              <w:rPr>
                <w:rFonts w:ascii="Arial" w:cs="Arial" w:eastAsia="Arial" w:hAnsi="Arial"/>
                <w:sz w:val="20"/>
                <w:szCs w:val="20"/>
                <w:i w:val="1"/>
                <w:iCs w:val="1"/>
                <w:color w:val="auto"/>
              </w:rPr>
              <w:t>–</w:t>
            </w:r>
            <w:r>
              <w:rPr>
                <w:rFonts w:ascii="Arial" w:cs="Arial" w:eastAsia="Arial" w:hAnsi="Arial"/>
                <w:sz w:val="20"/>
                <w:szCs w:val="20"/>
                <w:color w:val="auto"/>
              </w:rPr>
              <w:t>$2.000 billion</w:t>
            </w:r>
          </w:p>
        </w:tc>
      </w:tr>
      <w:tr>
        <w:trPr>
          <w:trHeight w:val="262"/>
        </w:trPr>
        <w:tc>
          <w:tcPr>
            <w:tcW w:w="4880" w:type="dxa"/>
            <w:vAlign w:val="bottom"/>
            <w:tcBorders>
              <w:left w:val="single" w:sz="8" w:color="auto"/>
              <w:bottom w:val="single" w:sz="8" w:color="auto"/>
              <w:right w:val="single" w:sz="8" w:color="auto"/>
            </w:tcBorders>
          </w:tcPr>
          <w:p>
            <w:pPr>
              <w:spacing w:after="0"/>
              <w:rPr>
                <w:sz w:val="22"/>
                <w:szCs w:val="22"/>
                <w:color w:val="auto"/>
              </w:rPr>
            </w:pP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rPr>
              <w:t>(previously $1.855 billion–$2.000 billion)</w:t>
            </w:r>
          </w:p>
        </w:tc>
      </w:tr>
      <w:tr>
        <w:trPr>
          <w:trHeight w:val="218"/>
        </w:trPr>
        <w:tc>
          <w:tcPr>
            <w:tcW w:w="4880" w:type="dxa"/>
            <w:vAlign w:val="bottom"/>
            <w:tcBorders>
              <w:left w:val="single" w:sz="8" w:color="auto"/>
              <w:righ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4860" w:type="dxa"/>
            <w:vAlign w:val="bottom"/>
            <w:tcBorders>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$1.610 billion</w:t>
            </w:r>
            <w:r>
              <w:rPr>
                <w:rFonts w:ascii="Arial" w:cs="Arial" w:eastAsia="Arial" w:hAnsi="Arial"/>
                <w:sz w:val="20"/>
                <w:szCs w:val="20"/>
                <w:i w:val="1"/>
                <w:iCs w:val="1"/>
                <w:color w:val="auto"/>
              </w:rPr>
              <w:t>–</w:t>
            </w:r>
            <w:r>
              <w:rPr>
                <w:rFonts w:ascii="Arial" w:cs="Arial" w:eastAsia="Arial" w:hAnsi="Arial"/>
                <w:sz w:val="20"/>
                <w:szCs w:val="20"/>
                <w:color w:val="auto"/>
              </w:rPr>
              <w:t>$1.710 billion</w:t>
            </w:r>
          </w:p>
        </w:tc>
      </w:tr>
      <w:tr>
        <w:trPr>
          <w:trHeight w:val="262"/>
        </w:trPr>
        <w:tc>
          <w:tcPr>
            <w:tcW w:w="4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$1.590 billion–$1.710 billion)</w:t>
            </w:r>
          </w:p>
        </w:tc>
      </w:tr>
      <w:tr>
        <w:trPr>
          <w:trHeight w:val="218"/>
        </w:trPr>
        <w:tc>
          <w:tcPr>
            <w:tcW w:w="488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GAAP SG&amp;A</w:t>
            </w:r>
          </w:p>
        </w:tc>
        <w:tc>
          <w:tcPr>
            <w:tcW w:w="4860" w:type="dxa"/>
            <w:vAlign w:val="bottom"/>
            <w:tcBorders>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$1.690 billion</w:t>
            </w:r>
            <w:r>
              <w:rPr>
                <w:rFonts w:ascii="Arial" w:cs="Arial" w:eastAsia="Arial" w:hAnsi="Arial"/>
                <w:sz w:val="20"/>
                <w:szCs w:val="20"/>
                <w:i w:val="1"/>
                <w:iCs w:val="1"/>
                <w:color w:val="auto"/>
              </w:rPr>
              <w:t>–</w:t>
            </w:r>
            <w:r>
              <w:rPr>
                <w:rFonts w:ascii="Arial" w:cs="Arial" w:eastAsia="Arial" w:hAnsi="Arial"/>
                <w:sz w:val="20"/>
                <w:szCs w:val="20"/>
                <w:color w:val="auto"/>
              </w:rPr>
              <w:t>$1.795 billion</w:t>
            </w:r>
          </w:p>
        </w:tc>
      </w:tr>
      <w:tr>
        <w:trPr>
          <w:trHeight w:val="262"/>
        </w:trPr>
        <w:tc>
          <w:tcPr>
            <w:tcW w:w="4880" w:type="dxa"/>
            <w:vAlign w:val="bottom"/>
            <w:tcBorders>
              <w:left w:val="single" w:sz="8" w:color="auto"/>
              <w:bottom w:val="single" w:sz="8" w:color="auto"/>
              <w:right w:val="single" w:sz="8" w:color="auto"/>
            </w:tcBorders>
          </w:tcPr>
          <w:p>
            <w:pPr>
              <w:spacing w:after="0"/>
              <w:rPr>
                <w:sz w:val="22"/>
                <w:szCs w:val="22"/>
                <w:color w:val="auto"/>
              </w:rPr>
            </w:pP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rPr>
              <w:t>(previously $1.700 billion–$1.830 billion)</w:t>
            </w:r>
          </w:p>
        </w:tc>
      </w:tr>
      <w:tr>
        <w:trPr>
          <w:trHeight w:val="218"/>
        </w:trPr>
        <w:tc>
          <w:tcPr>
            <w:tcW w:w="4880" w:type="dxa"/>
            <w:vAlign w:val="bottom"/>
            <w:tcBorders>
              <w:left w:val="single" w:sz="8" w:color="auto"/>
              <w:righ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4860" w:type="dxa"/>
            <w:vAlign w:val="bottom"/>
            <w:tcBorders>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$1.500 billion–$1.580 billion</w:t>
            </w:r>
          </w:p>
        </w:tc>
      </w:tr>
      <w:tr>
        <w:trPr>
          <w:trHeight w:val="262"/>
        </w:trPr>
        <w:tc>
          <w:tcPr>
            <w:tcW w:w="4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$1.500 billion–$1.600 billion)</w:t>
            </w:r>
          </w:p>
        </w:tc>
      </w:tr>
      <w:tr>
        <w:trPr>
          <w:trHeight w:val="218"/>
        </w:trPr>
        <w:tc>
          <w:tcPr>
            <w:tcW w:w="488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GAAP effective tax rate</w:t>
            </w:r>
          </w:p>
        </w:tc>
        <w:tc>
          <w:tcPr>
            <w:tcW w:w="4860" w:type="dxa"/>
            <w:vAlign w:val="bottom"/>
            <w:tcBorders>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11%–13%</w:t>
            </w:r>
          </w:p>
        </w:tc>
      </w:tr>
      <w:tr>
        <w:trPr>
          <w:trHeight w:val="262"/>
        </w:trPr>
        <w:tc>
          <w:tcPr>
            <w:tcW w:w="4880" w:type="dxa"/>
            <w:vAlign w:val="bottom"/>
            <w:tcBorders>
              <w:left w:val="single" w:sz="8" w:color="auto"/>
              <w:bottom w:val="single" w:sz="8" w:color="auto"/>
              <w:right w:val="single" w:sz="8" w:color="auto"/>
            </w:tcBorders>
          </w:tcPr>
          <w:p>
            <w:pPr>
              <w:spacing w:after="0"/>
              <w:rPr>
                <w:sz w:val="22"/>
                <w:szCs w:val="22"/>
                <w:color w:val="auto"/>
              </w:rPr>
            </w:pPr>
          </w:p>
        </w:tc>
        <w:tc>
          <w:tcPr>
            <w:tcW w:w="48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rPr>
              <w:t>(previously 14%–16%)</w:t>
            </w:r>
          </w:p>
        </w:tc>
      </w:tr>
      <w:tr>
        <w:trPr>
          <w:trHeight w:val="218"/>
        </w:trPr>
        <w:tc>
          <w:tcPr>
            <w:tcW w:w="4880" w:type="dxa"/>
            <w:vAlign w:val="bottom"/>
            <w:tcBorders>
              <w:left w:val="single" w:sz="8" w:color="auto"/>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Capital expenditures</w:t>
            </w:r>
          </w:p>
        </w:tc>
        <w:tc>
          <w:tcPr>
            <w:tcW w:w="4860" w:type="dxa"/>
            <w:vAlign w:val="bottom"/>
            <w:tcBorders>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i w:val="1"/>
                <w:iCs w:val="1"/>
                <w:color w:val="auto"/>
              </w:rPr>
              <w:t>$410 million–$475 million</w:t>
            </w:r>
          </w:p>
        </w:tc>
      </w:tr>
      <w:tr>
        <w:trPr>
          <w:trHeight w:val="262"/>
        </w:trPr>
        <w:tc>
          <w:tcPr>
            <w:tcW w:w="4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i w:val="1"/>
                <w:iCs w:val="1"/>
                <w:color w:val="auto"/>
              </w:rPr>
              <w:t>(previously $410 million–$490 million)</w:t>
            </w:r>
          </w:p>
        </w:tc>
      </w:tr>
      <w:tr>
        <w:trPr>
          <w:trHeight w:val="998"/>
        </w:trPr>
        <w:tc>
          <w:tcPr>
            <w:tcW w:w="4880" w:type="dxa"/>
            <w:vAlign w:val="bottom"/>
          </w:tcPr>
          <w:p>
            <w:pPr>
              <w:spacing w:after="0"/>
              <w:rPr>
                <w:sz w:val="24"/>
                <w:szCs w:val="24"/>
                <w:color w:val="auto"/>
              </w:rPr>
            </w:pPr>
          </w:p>
        </w:tc>
        <w:tc>
          <w:tcPr>
            <w:tcW w:w="4860" w:type="dxa"/>
            <w:vAlign w:val="bottom"/>
          </w:tcPr>
          <w:p>
            <w:pPr>
              <w:ind w:left="7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219"/>
          </w:cols>
          <w:pgMar w:left="240" w:top="363" w:right="1440" w:bottom="1440" w:gutter="0" w:footer="0" w:header="0"/>
        </w:sectPr>
      </w:pPr>
    </w:p>
    <w:bookmarkStart w:id="9" w:name="page10"/>
    <w:bookmarkEnd w:id="9"/>
    <w:p>
      <w:pPr>
        <w:ind w:left="345" w:right="26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56"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45" w:right="2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2019 financial guidance does not assume the completion of any significant business development transactions not completed as of the date of this press release (other than the collaboration with Alnylam Pharmaceuticals, Inc. discussed above).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2019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8" w:lineRule="exact"/>
        <w:rPr>
          <w:rFonts w:ascii="Arial" w:cs="Arial" w:eastAsia="Arial" w:hAnsi="Arial"/>
          <w:sz w:val="22"/>
          <w:szCs w:val="22"/>
          <w:color w:val="auto"/>
          <w:vertAlign w:val="superscript"/>
        </w:rPr>
      </w:pPr>
    </w:p>
    <w:p>
      <w:pPr>
        <w:ind w:left="365" w:right="14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5"/>
          </w:cols>
          <w:pgMar w:left="275" w:top="555" w:right="2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first quarter 2019 financial and operating results on Tuesday, May 7, 2019, at 8:30 AM. To access this call, dial (800) 708-4539 (U.S.) or (847) 619-6396 (International). A link to the webcast may be accessed from the "Investors and Media" page of Regeneron's website at www.regeneron.com.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32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musculoskeletal diseases, infectious diseases, and rare diseases.</w:t>
      </w:r>
    </w:p>
    <w:p>
      <w:pPr>
        <w:spacing w:after="0" w:line="231" w:lineRule="exact"/>
        <w:rPr>
          <w:sz w:val="20"/>
          <w:szCs w:val="20"/>
          <w:color w:val="auto"/>
        </w:rPr>
      </w:pPr>
    </w:p>
    <w:p>
      <w:pPr>
        <w:ind w:right="60"/>
        <w:spacing w:after="0" w:line="219"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press release and the impact of the recent and any potential future U.S. government shutdowns on the anticipated timing of any FDA regulatory action described in this press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Injection,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Injection,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Injection,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Injection, fasinumab, and evinacumab; the extent to which the results from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4" w:right="279" w:bottom="1440" w:gutter="0" w:footer="0" w:header="0"/>
        </w:sectPr>
      </w:pPr>
    </w:p>
    <w:bookmarkStart w:id="11" w:name="page12"/>
    <w:bookmarkEnd w:id="11"/>
    <w:p>
      <w:pPr>
        <w:spacing w:after="0" w:line="243" w:lineRule="auto"/>
        <w:rPr>
          <w:sz w:val="20"/>
          <w:szCs w:val="20"/>
          <w:color w:val="auto"/>
        </w:rPr>
      </w:pPr>
      <w:r>
        <w:rPr>
          <w:rFonts w:ascii="Arial" w:cs="Arial" w:eastAsia="Arial" w:hAnsi="Arial"/>
          <w:sz w:val="22"/>
          <w:szCs w:val="22"/>
          <w:color w:val="auto"/>
        </w:rPr>
        <w:t>research and development programs conducted by Regeneron or its collaborators may be replicated in other studies and lead to therapeutic applications; ongoing regulatory obligations and oversight impacting Regeneron's marketed products (such as EYLEA, Dupixent, Praluent, Kevzara, and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GAAP and non-GAAP unreimbursed R&amp;D, GAAP and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the ultimate outcome of any such proceedings,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2018 and its Form 10-Q for the quarterly period ended March 31, 2019.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70"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0" w:right="239" w:bottom="1440" w:gutter="0" w:footer="0" w:header="0"/>
        </w:sectPr>
      </w:pPr>
    </w:p>
    <w:bookmarkStart w:id="12" w:name="page13"/>
    <w:bookmarkEnd w:id="12"/>
    <w:p>
      <w:pPr>
        <w:ind w:left="5540"/>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0179"/>
          </w:cols>
          <w:pgMar w:left="280" w:top="520" w:right="1440"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Mark Hudson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52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52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914-847-3482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52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mark.hudson@regeneron.com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79"/>
          </w:cols>
          <w:pgMar w:left="280" w:top="520"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TABLE 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 w:type="dxa"/>
            <w:vAlign w:val="bottom"/>
          </w:tcPr>
          <w:p>
            <w:pPr>
              <w:spacing w:after="0"/>
              <w:rPr>
                <w:sz w:val="24"/>
                <w:szCs w:val="24"/>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rPr>
              <w:t>REGENERON PHARMACEUTICALS,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Cash and marketable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5,572.2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4,564.9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12,854.8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11,734.5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10</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8" w:right="2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30"/>
        </w:trPr>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8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820" w:type="dxa"/>
            <w:vAlign w:val="bottom"/>
            <w:gridSpan w:val="5"/>
          </w:tcPr>
          <w:p>
            <w:pPr>
              <w:jc w:val="center"/>
              <w:ind w:left="13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800" w:type="dxa"/>
            <w:vAlign w:val="bottom"/>
            <w:gridSpan w:val="2"/>
          </w:tcPr>
          <w:p>
            <w:pPr>
              <w:jc w:val="center"/>
              <w:ind w:right="108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6"/>
        </w:trPr>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4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1,104.4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987.9</w:t>
            </w: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4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r>
      <w:tr>
        <w:trPr>
          <w:trHeight w:val="243"/>
        </w:trPr>
        <w:tc>
          <w:tcPr>
            <w:tcW w:w="80" w:type="dxa"/>
            <w:vAlign w:val="bottom"/>
          </w:tcPr>
          <w:p>
            <w:pPr>
              <w:spacing w:after="0"/>
              <w:rPr>
                <w:sz w:val="21"/>
                <w:szCs w:val="21"/>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Bayer collaboration revenue</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247.9</w:t>
            </w: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4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r>
      <w:tr>
        <w:trPr>
          <w:trHeight w:val="237"/>
        </w:trPr>
        <w:tc>
          <w:tcPr>
            <w:tcW w:w="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1,511.5</w:t>
            </w:r>
          </w:p>
        </w:tc>
      </w:tr>
      <w:tr>
        <w:trPr>
          <w:trHeight w:val="27"/>
        </w:trPr>
        <w:tc>
          <w:tcPr>
            <w:tcW w:w="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498.6</w:t>
            </w: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r>
      <w:tr>
        <w:trPr>
          <w:trHeight w:val="243"/>
        </w:trPr>
        <w:tc>
          <w:tcPr>
            <w:tcW w:w="80" w:type="dxa"/>
            <w:vAlign w:val="bottom"/>
          </w:tcPr>
          <w:p>
            <w:pPr>
              <w:spacing w:after="0"/>
              <w:rPr>
                <w:sz w:val="21"/>
                <w:szCs w:val="21"/>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Cost of collaboration and contract manufacturing</w:t>
            </w:r>
          </w:p>
        </w:tc>
        <w:tc>
          <w:tcPr>
            <w:tcW w:w="4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37"/>
        </w:trPr>
        <w:tc>
          <w:tcPr>
            <w:tcW w:w="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944.3</w:t>
            </w:r>
          </w:p>
        </w:tc>
      </w:tr>
      <w:tr>
        <w:trPr>
          <w:trHeight w:val="27"/>
        </w:trPr>
        <w:tc>
          <w:tcPr>
            <w:tcW w:w="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80" w:type="dxa"/>
            <w:vAlign w:val="bottom"/>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567.2</w:t>
            </w:r>
          </w:p>
        </w:tc>
      </w:tr>
      <w:tr>
        <w:trPr>
          <w:trHeight w:val="27"/>
        </w:trPr>
        <w:tc>
          <w:tcPr>
            <w:tcW w:w="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80" w:type="dxa"/>
            <w:vAlign w:val="bottom"/>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80" w:type="dxa"/>
            <w:vAlign w:val="bottom"/>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585.4</w:t>
            </w: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0" w:type="dxa"/>
            <w:vAlign w:val="bottom"/>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7"/>
        </w:trPr>
        <w:tc>
          <w:tcPr>
            <w:tcW w:w="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80" w:type="dxa"/>
            <w:vAlign w:val="bottom"/>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478.0</w:t>
            </w:r>
          </w:p>
        </w:tc>
      </w:tr>
      <w:tr>
        <w:trPr>
          <w:trHeight w:val="311"/>
        </w:trPr>
        <w:tc>
          <w:tcPr>
            <w:tcW w:w="80" w:type="dxa"/>
            <w:vAlign w:val="bottom"/>
          </w:tcPr>
          <w:p>
            <w:pPr>
              <w:spacing w:after="0"/>
              <w:rPr>
                <w:sz w:val="24"/>
                <w:szCs w:val="24"/>
                <w:color w:val="auto"/>
              </w:rPr>
            </w:pPr>
          </w:p>
        </w:tc>
        <w:tc>
          <w:tcPr>
            <w:tcW w:w="3780" w:type="dxa"/>
            <w:vAlign w:val="bottom"/>
            <w:tcBorders>
              <w:top w:val="single" w:sz="8" w:color="CCEEFF"/>
            </w:tcBorders>
            <w:shd w:val="clear" w:color="auto" w:fill="CCEEFF"/>
          </w:tcPr>
          <w:p>
            <w:pPr>
              <w:spacing w:after="0"/>
              <w:rPr>
                <w:sz w:val="24"/>
                <w:szCs w:val="24"/>
                <w:color w:val="auto"/>
              </w:rPr>
            </w:pPr>
          </w:p>
        </w:tc>
        <w:tc>
          <w:tcPr>
            <w:tcW w:w="44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4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4.44</w:t>
            </w:r>
          </w:p>
        </w:tc>
      </w:tr>
      <w:tr>
        <w:trPr>
          <w:trHeight w:val="27"/>
        </w:trPr>
        <w:tc>
          <w:tcPr>
            <w:tcW w:w="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4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324"/>
        </w:trPr>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4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8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891"/>
        </w:trPr>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60" w:type="dxa"/>
            <w:vAlign w:val="bottom"/>
          </w:tcPr>
          <w:p>
            <w:pPr>
              <w:jc w:val="center"/>
              <w:ind w:right="670"/>
              <w:spacing w:after="0"/>
              <w:rPr>
                <w:sz w:val="20"/>
                <w:szCs w:val="20"/>
                <w:color w:val="auto"/>
              </w:rPr>
            </w:pPr>
            <w:r>
              <w:rPr>
                <w:rFonts w:ascii="Arial" w:cs="Arial" w:eastAsia="Arial" w:hAnsi="Arial"/>
                <w:sz w:val="18"/>
                <w:szCs w:val="18"/>
                <w:color w:val="auto"/>
                <w:w w:val="89"/>
              </w:rPr>
              <w:t>11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40" w:top="368" w:right="2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30"/>
        </w:trPr>
        <w:tc>
          <w:tcPr>
            <w:tcW w:w="80" w:type="dxa"/>
            <w:vAlign w:val="bottom"/>
          </w:tcPr>
          <w:p>
            <w:pPr>
              <w:spacing w:after="0"/>
              <w:rPr>
                <w:sz w:val="24"/>
                <w:szCs w:val="24"/>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82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240" w:type="dxa"/>
            <w:vAlign w:val="bottom"/>
          </w:tcPr>
          <w:p>
            <w:pPr>
              <w:jc w:val="center"/>
              <w:ind w:left="295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6"/>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w:t>
            </w:r>
          </w:p>
        </w:tc>
      </w:tr>
      <w:tr>
        <w:trPr>
          <w:trHeight w:val="243"/>
        </w:trPr>
        <w:tc>
          <w:tcPr>
            <w:tcW w:w="8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SG&amp;A: Litigation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COGS and COCM: Non-cash share-based compensation expense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income/expense: Gains and losses on investments in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Income tax effect of reconciling items above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536.7</w:t>
            </w:r>
          </w:p>
        </w:tc>
      </w:tr>
      <w:tr>
        <w:trPr>
          <w:trHeight w:val="20"/>
        </w:trPr>
        <w:tc>
          <w:tcPr>
            <w:tcW w:w="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8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8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959"/>
        </w:trPr>
        <w:tc>
          <w:tcPr>
            <w:tcW w:w="832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12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40" w:top="368" w:right="2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80" w:type="dxa"/>
            <w:vAlign w:val="bottom"/>
          </w:tcPr>
          <w:p>
            <w:pPr>
              <w:spacing w:after="0"/>
              <w:rPr>
                <w:sz w:val="24"/>
                <w:szCs w:val="24"/>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24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COLLABORATION AND OTHER REVENUE (Unaudited)</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i w:val="1"/>
                <w:iCs w:val="1"/>
                <w:color w:val="auto"/>
                <w:w w:val="93"/>
              </w:rPr>
              <w:t>(In millions)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5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Reimbursement of Regeneron research and development expenses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120.9</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134.2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commercialization-related expenses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Regeneron's share of losses in connection with commercialization of antibodies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(27.8)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Sanofi collaboration revenue</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246.4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189.5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8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Regeneron's net profit in connection with commercialization of EYLEA outside the United States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232.1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Reimbursement of Regeneron development expenses</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Bayer collaboration revenue</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276.2</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247.9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8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and Bayer collaboration revenue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522.6</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437.4</w:t>
            </w: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Other revenue:</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 development expenses - Teva</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Reimbursement of Regeneron research and development expenses - other</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other revenue</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13</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3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8" w:right="2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0" w:type="dxa"/>
            <w:vAlign w:val="bottom"/>
            <w:gridSpan w:val="10"/>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160" w:type="dxa"/>
            <w:vAlign w:val="bottom"/>
            <w:gridSpan w:val="15"/>
          </w:tcPr>
          <w:p>
            <w:pPr>
              <w:jc w:val="center"/>
              <w:ind w:left="2010"/>
              <w:spacing w:after="0"/>
              <w:rPr>
                <w:sz w:val="20"/>
                <w:szCs w:val="20"/>
                <w:color w:val="auto"/>
              </w:rPr>
            </w:pPr>
            <w:r>
              <w:rPr>
                <w:rFonts w:ascii="Arial" w:cs="Arial" w:eastAsia="Arial" w:hAnsi="Arial"/>
                <w:sz w:val="18"/>
                <w:szCs w:val="18"/>
                <w:b w:val="1"/>
                <w:bCs w:val="1"/>
                <w:color w:val="auto"/>
                <w:w w:val="98"/>
              </w:rPr>
              <w:t>NET PRODUCT SALES OF REGENERON-DISCOVERED PRODUCTS (Unaudited)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ROW</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6"/>
              </w:rPr>
              <w:t>U.S.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ROW</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64"/>
        </w:trPr>
        <w:tc>
          <w:tcPr>
            <w:tcW w:w="80" w:type="dxa"/>
            <w:vAlign w:val="bottom"/>
          </w:tcPr>
          <w:p>
            <w:pPr>
              <w:spacing w:after="0"/>
              <w:rPr>
                <w:sz w:val="22"/>
                <w:szCs w:val="22"/>
                <w:color w:val="auto"/>
              </w:rPr>
            </w:pPr>
          </w:p>
        </w:tc>
        <w:tc>
          <w:tcPr>
            <w:tcW w:w="3500" w:type="dxa"/>
            <w:vAlign w:val="bottom"/>
          </w:tcPr>
          <w:p>
            <w:pPr>
              <w:ind w:left="2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46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1,074.1</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1,743.5</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1,608.0</w:t>
            </w: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ARCALYST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Net product sales recorded by Regeneron</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3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p>
        </w:tc>
        <w:tc>
          <w:tcPr>
            <w:tcW w:w="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8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Dupixent</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303.0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131.4</w:t>
            </w:r>
          </w:p>
        </w:tc>
      </w:tr>
      <w:tr>
        <w:trPr>
          <w:trHeight w:val="27"/>
        </w:trPr>
        <w:tc>
          <w:tcPr>
            <w:tcW w:w="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Praluent</w:t>
            </w:r>
          </w:p>
        </w:tc>
        <w:tc>
          <w:tcPr>
            <w:tcW w:w="7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43"/>
        </w:trPr>
        <w:tc>
          <w:tcPr>
            <w:tcW w:w="8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Kevzara</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8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40" w:right="100" w:hanging="1"/>
        <w:spacing w:after="0" w:line="286" w:lineRule="auto"/>
        <w:tabs>
          <w:tab w:leader="none" w:pos="461" w:val="left"/>
        </w:tabs>
        <w:numPr>
          <w:ilvl w:val="0"/>
          <w:numId w:val="12"/>
        </w:numPr>
        <w:rPr>
          <w:rFonts w:ascii="Arial" w:cs="Arial" w:eastAsia="Arial" w:hAnsi="Arial"/>
          <w:sz w:val="15"/>
          <w:szCs w:val="15"/>
          <w:color w:val="auto"/>
        </w:rPr>
      </w:pPr>
      <w:r>
        <w:rPr>
          <w:rFonts w:ascii="Arial" w:cs="Arial" w:eastAsia="Arial" w:hAnsi="Arial"/>
          <w:sz w:val="17"/>
          <w:szCs w:val="17"/>
          <w:color w:val="auto"/>
        </w:rPr>
        <w:t>Bayer records net product sales of EYLEA outside the United States and Sanofi records global net product sales of Dupixent, Praluent, Kevzara, and ZALTRAP. Refer to Table 4 for the Company's share of profits/losses recorded in connection with sales of EYLEA outside the United States and global sales of Dupixent, Praluent, and Kevzara. Sanofi pays the Company a percentage of aggregate net sales of ZALTRAP.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sectPr>
      <w:pgSz w:w="11900" w:h="16838" w:orient="portrait"/>
      <w:cols w:equalWidth="0" w:num="1">
        <w:col w:w="11360"/>
      </w:cols>
      <w:pgMar w:left="240" w:top="3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2019-12-28T12:36:40Z</dcterms:created>
  <dcterms:modified xsi:type="dcterms:W3CDTF">2019-12-28T12:36:40Z</dcterms:modified>
</cp:coreProperties>
</file>