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75886F107</w:t>
      </w:r>
    </w:p>
    <w:p>
      <w:pPr>
        <w:ind w:left="1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December 31, 2014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Rule 13d-1(b)</w:t>
            </w: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Rule 13d-1(c)</w:t>
            </w: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Rule 13d-1(d)</w:t>
            </w: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08"/>
        </w:trPr>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rPr>
              <w:t>CUSIP No.</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75886F107</w:t>
            </w: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1.Names of Reporting Persons.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Sands Capital Management, LLC</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I.R.S. Identification Nos. of above persons (entities only).</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w w:val="96"/>
              </w:rPr>
              <w:t>20-2830751</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2.Check the Appropriate Box if a Member of a Group</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(a) [</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 [</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3.SEC Use Only</w:t>
            </w: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4.Citizenship or Place of Organization</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20" w:type="dxa"/>
            <w:vAlign w:val="bottom"/>
            <w:gridSpan w:val="3"/>
          </w:tcPr>
          <w:p>
            <w:pPr>
              <w:jc w:val="right"/>
              <w:ind w:right="3612"/>
              <w:spacing w:after="0"/>
              <w:rPr>
                <w:sz w:val="20"/>
                <w:szCs w:val="20"/>
                <w:color w:val="auto"/>
              </w:rPr>
            </w:pPr>
            <w:r>
              <w:rPr>
                <w:rFonts w:ascii="Courier New" w:cs="Courier New" w:eastAsia="Courier New" w:hAnsi="Courier New"/>
                <w:sz w:val="18"/>
                <w:szCs w:val="18"/>
                <w:color w:val="auto"/>
                <w:w w:val="96"/>
              </w:rPr>
              <w:t>Delaware, United States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Each</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5.Sole Voting Power</w:t>
            </w:r>
          </w:p>
        </w:tc>
        <w:tc>
          <w:tcPr>
            <w:tcW w:w="420" w:type="dxa"/>
            <w:vAlign w:val="bottom"/>
          </w:tcPr>
          <w:p>
            <w:pPr>
              <w:spacing w:after="0"/>
              <w:rPr>
                <w:sz w:val="24"/>
                <w:szCs w:val="24"/>
                <w:color w:val="auto"/>
              </w:rPr>
            </w:pPr>
          </w:p>
        </w:tc>
        <w:tc>
          <w:tcPr>
            <w:tcW w:w="4220" w:type="dxa"/>
            <w:vAlign w:val="bottom"/>
          </w:tcPr>
          <w:p>
            <w:pPr>
              <w:jc w:val="right"/>
              <w:ind w:right="3192"/>
              <w:spacing w:after="0"/>
              <w:rPr>
                <w:sz w:val="20"/>
                <w:szCs w:val="20"/>
                <w:color w:val="auto"/>
              </w:rPr>
            </w:pPr>
            <w:r>
              <w:rPr>
                <w:rFonts w:ascii="Courier New" w:cs="Courier New" w:eastAsia="Courier New" w:hAnsi="Courier New"/>
                <w:sz w:val="18"/>
                <w:szCs w:val="18"/>
                <w:color w:val="auto"/>
                <w:w w:val="94"/>
              </w:rPr>
              <w:t>3,638,241</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6.Shared Voting Power</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None</w:t>
            </w: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w w:val="97"/>
              </w:rPr>
              <w:t>7.Sole Dispositive Power</w:t>
            </w:r>
          </w:p>
        </w:tc>
        <w:tc>
          <w:tcPr>
            <w:tcW w:w="420" w:type="dxa"/>
            <w:vAlign w:val="bottom"/>
          </w:tcPr>
          <w:p>
            <w:pPr>
              <w:spacing w:after="0"/>
              <w:rPr>
                <w:sz w:val="24"/>
                <w:szCs w:val="24"/>
                <w:color w:val="auto"/>
              </w:rPr>
            </w:pPr>
          </w:p>
        </w:tc>
        <w:tc>
          <w:tcPr>
            <w:tcW w:w="422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4,986,177</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960" w:type="dxa"/>
            <w:vAlign w:val="bottom"/>
            <w:gridSpan w:val="5"/>
          </w:tcPr>
          <w:p>
            <w:pPr>
              <w:spacing w:after="0"/>
              <w:rPr>
                <w:sz w:val="20"/>
                <w:szCs w:val="20"/>
                <w:color w:val="auto"/>
              </w:rPr>
            </w:pPr>
            <w:r>
              <w:rPr>
                <w:rFonts w:ascii="Courier New" w:cs="Courier New" w:eastAsia="Courier New" w:hAnsi="Courier New"/>
                <w:sz w:val="18"/>
                <w:szCs w:val="18"/>
                <w:color w:val="auto"/>
              </w:rPr>
              <w:t>8.Shared Dispositive Power</w:t>
            </w:r>
          </w:p>
        </w:tc>
        <w:tc>
          <w:tcPr>
            <w:tcW w:w="4220" w:type="dxa"/>
            <w:vAlign w:val="bottom"/>
          </w:tcPr>
          <w:p>
            <w:pPr>
              <w:jc w:val="right"/>
              <w:ind w:right="3292"/>
              <w:spacing w:after="0"/>
              <w:rPr>
                <w:sz w:val="20"/>
                <w:szCs w:val="20"/>
                <w:color w:val="auto"/>
              </w:rPr>
            </w:pPr>
            <w:r>
              <w:rPr>
                <w:rFonts w:ascii="Courier New" w:cs="Courier New" w:eastAsia="Courier New" w:hAnsi="Courier New"/>
                <w:sz w:val="18"/>
                <w:szCs w:val="18"/>
                <w:color w:val="auto"/>
              </w:rPr>
              <w:t>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tc>
        <w:tc>
          <w:tcPr>
            <w:tcW w:w="10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4"/>
              </w:rPr>
              <w:t>4,986,177</w:t>
            </w: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w w:val="98"/>
              </w:rPr>
              <w:t>10.Check if the Aggregate Amount in Row (9) Excludes Certain Shares</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11.Percent of Class Represented by Amount in Row (9) 5.0%</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7180" w:type="dxa"/>
            <w:vAlign w:val="bottom"/>
            <w:gridSpan w:val="6"/>
          </w:tcPr>
          <w:p>
            <w:pPr>
              <w:spacing w:after="0"/>
              <w:rPr>
                <w:sz w:val="20"/>
                <w:szCs w:val="20"/>
                <w:color w:val="auto"/>
              </w:rPr>
            </w:pPr>
            <w:r>
              <w:rPr>
                <w:rFonts w:ascii="Courier New" w:cs="Courier New" w:eastAsia="Courier New" w:hAnsi="Courier New"/>
                <w:sz w:val="18"/>
                <w:szCs w:val="18"/>
                <w:color w:val="auto"/>
              </w:rPr>
              <w:t>12.Type of Reporting Person:  IA</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0"/>
        </w:trPr>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w w:val="96"/>
              </w:rPr>
              <w:t>Item 1(a).</w:t>
            </w:r>
          </w:p>
        </w:tc>
        <w:tc>
          <w:tcPr>
            <w:tcW w:w="6120" w:type="dxa"/>
            <w:vAlign w:val="bottom"/>
            <w:gridSpan w:val="3"/>
          </w:tcPr>
          <w:p>
            <w:pPr>
              <w:jc w:val="right"/>
              <w:ind w:right="3812"/>
              <w:spacing w:after="0"/>
              <w:rPr>
                <w:sz w:val="20"/>
                <w:szCs w:val="20"/>
                <w:color w:val="auto"/>
              </w:rPr>
            </w:pPr>
            <w:r>
              <w:rPr>
                <w:rFonts w:ascii="Courier New" w:cs="Courier New" w:eastAsia="Courier New" w:hAnsi="Courier New"/>
                <w:sz w:val="18"/>
                <w:szCs w:val="18"/>
                <w:color w:val="auto"/>
              </w:rPr>
              <w:t>Name of Issuer:</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447" w:right="1440" w:bottom="0" w:gutter="0" w:footer="0" w:header="0"/>
        </w:sectPr>
      </w:pPr>
    </w:p>
    <w:bookmarkStart w:id="1" w:name="page2"/>
    <w:bookmarkEnd w:id="1"/>
    <w:p>
      <w:pPr>
        <w:jc w:val="center"/>
        <w:ind w:right="355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Sands Capital Management, LLC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1101 Wilson Blvd.</w:t>
      </w:r>
    </w:p>
    <w:p>
      <w:pPr>
        <w:ind w:left="1700"/>
        <w:spacing w:after="0" w:line="238" w:lineRule="auto"/>
        <w:rPr>
          <w:sz w:val="20"/>
          <w:szCs w:val="20"/>
          <w:color w:val="auto"/>
        </w:rPr>
      </w:pPr>
      <w:r>
        <w:rPr>
          <w:rFonts w:ascii="Courier New" w:cs="Courier New" w:eastAsia="Courier New" w:hAnsi="Courier New"/>
          <w:sz w:val="18"/>
          <w:szCs w:val="18"/>
          <w:color w:val="auto"/>
        </w:rPr>
        <w:t>Suite 2300</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Arlington, VA</w:t>
      </w:r>
      <w:r>
        <w:rPr>
          <w:sz w:val="20"/>
          <w:szCs w:val="20"/>
          <w:color w:val="auto"/>
        </w:rPr>
        <w:tab/>
      </w:r>
      <w:r>
        <w:rPr>
          <w:rFonts w:ascii="Courier New" w:cs="Courier New" w:eastAsia="Courier New" w:hAnsi="Courier New"/>
          <w:sz w:val="16"/>
          <w:szCs w:val="16"/>
          <w:color w:val="auto"/>
        </w:rPr>
        <w:t>22209</w:t>
      </w:r>
    </w:p>
    <w:p>
      <w:pPr>
        <w:spacing w:after="0" w:line="2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Delaware, United States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240.13d-1(b)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2" w:lineRule="exact"/>
        <w:rPr>
          <w:sz w:val="20"/>
          <w:szCs w:val="20"/>
          <w:color w:val="auto"/>
        </w:rPr>
      </w:pPr>
    </w:p>
    <w:p>
      <w:pPr>
        <w:ind w:left="1280" w:hanging="42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1280" w:hanging="42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1280" w:hanging="42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left="1700" w:right="1259" w:hanging="849"/>
        <w:spacing w:after="0" w:line="235" w:lineRule="auto"/>
        <w:tabs>
          <w:tab w:leader="none" w:pos="127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240.13d-1(b)(1)(ii)(E);</w:t>
      </w:r>
    </w:p>
    <w:p>
      <w:pPr>
        <w:ind w:left="1280" w:hanging="42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ind w:left="1700"/>
        <w:spacing w:after="0"/>
        <w:rPr>
          <w:sz w:val="20"/>
          <w:szCs w:val="20"/>
          <w:color w:val="auto"/>
        </w:rPr>
      </w:pPr>
      <w:r>
        <w:rPr>
          <w:rFonts w:ascii="Courier New" w:cs="Courier New" w:eastAsia="Courier New" w:hAnsi="Courier New"/>
          <w:sz w:val="18"/>
          <w:szCs w:val="18"/>
          <w:color w:val="auto"/>
        </w:rPr>
        <w:t>240.13d-1(b)(1)(ii)(F);</w:t>
      </w:r>
    </w:p>
    <w:p>
      <w:pPr>
        <w:spacing w:after="0" w:line="3" w:lineRule="exact"/>
        <w:rPr>
          <w:sz w:val="20"/>
          <w:szCs w:val="20"/>
          <w:color w:val="auto"/>
        </w:rPr>
      </w:pPr>
    </w:p>
    <w:p>
      <w:pPr>
        <w:ind w:left="1700" w:right="1359" w:hanging="849"/>
        <w:spacing w:after="0" w:line="235" w:lineRule="auto"/>
        <w:tabs>
          <w:tab w:leader="none" w:pos="127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left="1800" w:right="1259" w:hanging="949"/>
        <w:spacing w:after="0" w:line="235" w:lineRule="auto"/>
        <w:tabs>
          <w:tab w:leader="none" w:pos="12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800" w:right="1159" w:hanging="949"/>
        <w:spacing w:after="0" w:line="268" w:lineRule="auto"/>
        <w:tabs>
          <w:tab w:leader="none" w:pos="127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ind w:left="1280" w:hanging="429"/>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860"/>
        <w:spacing w:after="0"/>
        <w:tabs>
          <w:tab w:leader="none" w:pos="4420" w:val="left"/>
        </w:tabs>
        <w:rPr>
          <w:sz w:val="20"/>
          <w:szCs w:val="20"/>
          <w:color w:val="auto"/>
        </w:rPr>
      </w:pPr>
      <w:r>
        <w:rPr>
          <w:rFonts w:ascii="Courier New" w:cs="Courier New" w:eastAsia="Courier New" w:hAnsi="Courier New"/>
          <w:sz w:val="18"/>
          <w:szCs w:val="18"/>
          <w:color w:val="auto"/>
        </w:rPr>
        <w:t>a. Amount beneficially owned:</w:t>
      </w:r>
      <w:r>
        <w:rPr>
          <w:sz w:val="20"/>
          <w:szCs w:val="20"/>
          <w:color w:val="auto"/>
        </w:rPr>
        <w:tab/>
      </w:r>
      <w:r>
        <w:rPr>
          <w:rFonts w:ascii="Courier New" w:cs="Courier New" w:eastAsia="Courier New" w:hAnsi="Courier New"/>
          <w:sz w:val="16"/>
          <w:szCs w:val="16"/>
          <w:color w:val="auto"/>
        </w:rPr>
        <w:t>4,986,177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Percent of Class: 5.0%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 Number of shares as to which the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1700"/>
              <w:spacing w:after="0"/>
              <w:rPr>
                <w:sz w:val="20"/>
                <w:szCs w:val="20"/>
                <w:color w:val="auto"/>
              </w:rPr>
            </w:pPr>
            <w:r>
              <w:rPr>
                <w:rFonts w:ascii="Courier New" w:cs="Courier New" w:eastAsia="Courier New" w:hAnsi="Courier New"/>
                <w:sz w:val="18"/>
                <w:szCs w:val="18"/>
                <w:color w:val="auto"/>
                <w:w w:val="99"/>
              </w:rPr>
              <w:t>(i) Sole power to</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3,638,241</w:t>
            </w:r>
          </w:p>
        </w:tc>
        <w:tc>
          <w:tcPr>
            <w:tcW w:w="1280" w:type="dxa"/>
            <w:vAlign w:val="bottom"/>
          </w:tcPr>
          <w:p>
            <w:pPr>
              <w:spacing w:after="0"/>
              <w:rPr>
                <w:sz w:val="17"/>
                <w:szCs w:val="17"/>
                <w:color w:val="auto"/>
              </w:rPr>
            </w:pPr>
          </w:p>
        </w:tc>
      </w:tr>
      <w:tr>
        <w:trPr>
          <w:trHeight w:val="405"/>
        </w:trPr>
        <w:tc>
          <w:tcPr>
            <w:tcW w:w="3540" w:type="dxa"/>
            <w:vAlign w:val="bottom"/>
          </w:tcPr>
          <w:p>
            <w:pPr>
              <w:ind w:left="1700"/>
              <w:spacing w:after="0"/>
              <w:rPr>
                <w:sz w:val="20"/>
                <w:szCs w:val="20"/>
                <w:color w:val="auto"/>
              </w:rPr>
            </w:pPr>
            <w:r>
              <w:rPr>
                <w:rFonts w:ascii="Courier New" w:cs="Courier New" w:eastAsia="Courier New" w:hAnsi="Courier New"/>
                <w:sz w:val="18"/>
                <w:szCs w:val="18"/>
                <w:color w:val="auto"/>
                <w:w w:val="99"/>
              </w:rPr>
              <w:t>(ii) Shared power</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to vote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None</w:t>
            </w:r>
          </w:p>
        </w:tc>
        <w:tc>
          <w:tcPr>
            <w:tcW w:w="1280" w:type="dxa"/>
            <w:vAlign w:val="bottom"/>
          </w:tcPr>
          <w:p>
            <w:pPr>
              <w:spacing w:after="0"/>
              <w:rPr>
                <w:sz w:val="24"/>
                <w:szCs w:val="24"/>
                <w:color w:val="auto"/>
              </w:rPr>
            </w:pPr>
          </w:p>
        </w:tc>
      </w:tr>
      <w:tr>
        <w:trPr>
          <w:trHeight w:val="405"/>
        </w:trPr>
        <w:tc>
          <w:tcPr>
            <w:tcW w:w="7900" w:type="dxa"/>
            <w:vAlign w:val="bottom"/>
            <w:gridSpan w:val="5"/>
          </w:tcPr>
          <w:p>
            <w:pPr>
              <w:ind w:left="1700"/>
              <w:spacing w:after="0"/>
              <w:rPr>
                <w:sz w:val="20"/>
                <w:szCs w:val="20"/>
                <w:color w:val="auto"/>
              </w:rPr>
            </w:pPr>
            <w:r>
              <w:rPr>
                <w:rFonts w:ascii="Courier New" w:cs="Courier New" w:eastAsia="Courier New" w:hAnsi="Courier New"/>
                <w:sz w:val="18"/>
                <w:szCs w:val="18"/>
                <w:color w:val="auto"/>
                <w:w w:val="98"/>
              </w:rPr>
              <w:t>(iii)Sole power to dispose or to direct the disposition of</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4,986,177</w:t>
            </w:r>
          </w:p>
        </w:tc>
      </w:tr>
      <w:tr>
        <w:trPr>
          <w:trHeight w:val="405"/>
        </w:trPr>
        <w:tc>
          <w:tcPr>
            <w:tcW w:w="3540" w:type="dxa"/>
            <w:vAlign w:val="bottom"/>
          </w:tcPr>
          <w:p>
            <w:pPr>
              <w:ind w:left="1700"/>
              <w:spacing w:after="0"/>
              <w:rPr>
                <w:sz w:val="20"/>
                <w:szCs w:val="20"/>
                <w:color w:val="auto"/>
              </w:rPr>
            </w:pPr>
            <w:r>
              <w:rPr>
                <w:rFonts w:ascii="Courier New" w:cs="Courier New" w:eastAsia="Courier New" w:hAnsi="Courier New"/>
                <w:sz w:val="18"/>
                <w:szCs w:val="18"/>
                <w:color w:val="auto"/>
                <w:w w:val="99"/>
              </w:rPr>
              <w:t>(iv) Shared power</w:t>
            </w:r>
          </w:p>
        </w:tc>
        <w:tc>
          <w:tcPr>
            <w:tcW w:w="43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to dispose or to direct the disposition</w:t>
            </w:r>
          </w:p>
        </w:tc>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None</w:t>
            </w:r>
          </w:p>
        </w:tc>
      </w:tr>
      <w:tr>
        <w:trPr>
          <w:trHeight w:val="810"/>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Item 5. Ownership of Five Percent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or Less</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a Class: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3540" w:type="dxa"/>
            <w:vAlign w:val="bottom"/>
          </w:tcPr>
          <w:p>
            <w:pPr>
              <w:ind w:left="8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X ]</w:t>
      </w:r>
    </w:p>
    <w:p>
      <w:pPr>
        <w:spacing w:after="0" w:line="207" w:lineRule="exact"/>
        <w:rPr>
          <w:sz w:val="20"/>
          <w:szCs w:val="20"/>
          <w:color w:val="auto"/>
        </w:rPr>
      </w:pPr>
    </w:p>
    <w:p>
      <w:pPr>
        <w:jc w:val="both"/>
        <w:ind w:left="860" w:right="1459"/>
        <w:spacing w:after="0" w:line="279" w:lineRule="auto"/>
        <w:rPr>
          <w:sz w:val="20"/>
          <w:szCs w:val="20"/>
          <w:color w:val="auto"/>
        </w:rPr>
      </w:pPr>
      <w:r>
        <w:rPr>
          <w:rFonts w:ascii="Courier New" w:cs="Courier New" w:eastAsia="Courier New" w:hAnsi="Courier New"/>
          <w:sz w:val="16"/>
          <w:szCs w:val="16"/>
          <w:color w:val="auto"/>
        </w:rPr>
        <w:t>Securities reported on this Schedule 13G are beneficially owned by clients of Sands Capital Management, LLC. Sands Capital Management, LLC clients may include investment companies registered under the Investment Company Act</w:t>
      </w:r>
    </w:p>
    <w:p>
      <w:pPr>
        <w:sectPr>
          <w:pgSz w:w="11900" w:h="16838" w:orient="portrait"/>
          <w:cols w:equalWidth="0" w:num="1">
            <w:col w:w="10219"/>
          </w:cols>
          <w:pgMar w:left="240" w:top="136" w:right="1440" w:bottom="0" w:gutter="0" w:footer="0" w:header="0"/>
        </w:sectPr>
      </w:pPr>
    </w:p>
    <w:bookmarkStart w:id="2" w:name="page3"/>
    <w:bookmarkEnd w:id="2"/>
    <w:p>
      <w:pPr>
        <w:ind w:left="860" w:right="2619"/>
        <w:spacing w:after="0" w:line="235" w:lineRule="auto"/>
        <w:rPr>
          <w:sz w:val="20"/>
          <w:szCs w:val="20"/>
          <w:color w:val="auto"/>
        </w:rPr>
      </w:pPr>
      <w:r>
        <w:rPr>
          <w:rFonts w:ascii="Courier New" w:cs="Courier New" w:eastAsia="Courier New" w:hAnsi="Courier New"/>
          <w:sz w:val="18"/>
          <w:szCs w:val="18"/>
          <w:color w:val="auto"/>
        </w:rPr>
        <w:t>and/or employee benefit plans, pension funds, endowment funds or other institutional clients.</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of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2015</w:t>
      </w:r>
    </w:p>
    <w:p>
      <w:pPr>
        <w:spacing w:after="0" w:line="200" w:lineRule="exact"/>
        <w:rPr>
          <w:sz w:val="20"/>
          <w:szCs w:val="20"/>
          <w:color w:val="auto"/>
        </w:rPr>
      </w:pPr>
    </w:p>
    <w:p>
      <w:pPr>
        <w:sectPr>
          <w:pgSz w:w="11900" w:h="16838" w:orient="portrait"/>
          <w:cols w:equalWidth="0" w:num="2">
            <w:col w:w="420" w:space="440"/>
            <w:col w:w="9359"/>
          </w:cols>
          <w:pgMar w:left="240" w:top="142" w:right="1440" w:bottom="1440" w:gutter="0" w:footer="0" w:header="0"/>
          <w:type w:val="continuous"/>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By:/s/ Lisa M. Grozio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Lisa M. Grozio</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Chief Compliance Officer</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2019-12-16T16:46:38Z</dcterms:created>
  <dcterms:modified xsi:type="dcterms:W3CDTF">2019-12-16T16:46:38Z</dcterms:modified>
</cp:coreProperties>
</file>