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-234315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9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5303520</wp:posOffset>
            </wp:positionH>
            <wp:positionV relativeFrom="paragraph">
              <wp:posOffset>-605155</wp:posOffset>
            </wp:positionV>
            <wp:extent cx="8255" cy="6057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5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3993515</wp:posOffset>
            </wp:positionH>
            <wp:positionV relativeFrom="paragraph">
              <wp:posOffset>-613410</wp:posOffset>
            </wp:positionV>
            <wp:extent cx="8255" cy="6140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4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4018280</wp:posOffset>
            </wp:positionH>
            <wp:positionV relativeFrom="paragraph">
              <wp:posOffset>-588645</wp:posOffset>
            </wp:positionV>
            <wp:extent cx="1269365" cy="5651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9365" cy="565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-1623060</wp:posOffset>
            </wp:positionH>
            <wp:positionV relativeFrom="paragraph">
              <wp:posOffset>36195</wp:posOffset>
            </wp:positionV>
            <wp:extent cx="6968490" cy="161290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8490" cy="1612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17" w:right="359" w:bottom="116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1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u w:val="single" w:color="auto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u w:val="single" w:color="auto"/>
                  <w:color w:val="0000EE"/>
                </w:rPr>
                <w:t>Fenimore Christopher R.</w:t>
              </w:r>
            </w:hyperlink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20" w:type="dxa"/>
            <w:vAlign w:val="bottom"/>
            <w:gridSpan w:val="11"/>
          </w:tcPr>
          <w:p>
            <w:pPr>
              <w:spacing w:after="0" w:line="103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>REGENERON PHARMACEUTICALS,</w:t>
              </w:r>
            </w:hyperlink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  <w:vMerge w:val="restart"/>
          </w:tcPr>
          <w:p>
            <w:pPr>
              <w:spacing w:after="0" w:line="212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INC.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FF"/>
                </w:rPr>
                <w:t>REGN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  <w:bottom w:val="single" w:sz="8" w:color="EEEEEE"/>
            </w:tcBorders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860" w:type="dxa"/>
            <w:vAlign w:val="bottom"/>
            <w:tcBorders>
              <w:top w:val="single" w:sz="8" w:color="EEEEEE"/>
              <w:bottom w:val="single" w:sz="8" w:color="EEEEEE"/>
            </w:tcBorders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00" w:type="dxa"/>
            <w:vAlign w:val="bottom"/>
            <w:tcBorders>
              <w:top w:val="single" w:sz="8" w:color="EEEEEE"/>
              <w:bottom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0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VP Controller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300" w:type="dxa"/>
            <w:vAlign w:val="bottom"/>
            <w:gridSpan w:val="6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12/09/2020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20" w:type="dxa"/>
            <w:vAlign w:val="bottom"/>
            <w:gridSpan w:val="11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11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52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TARRYTOWN  NY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0" w:type="dxa"/>
            <w:vAlign w:val="bottom"/>
            <w:gridSpan w:val="11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80" w:type="dxa"/>
            <w:vAlign w:val="bottom"/>
            <w:gridSpan w:val="6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59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6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12/09/2020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88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969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0.0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19,352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6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12/09/2020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88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1,750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0.0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21,102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  <w:vMerge w:val="restart"/>
          </w:tcPr>
          <w:p>
            <w:pPr>
              <w:jc w:val="center"/>
              <w:ind w:left="6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09/24/2020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4"/>
              </w:rPr>
              <w:t>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lef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0.0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4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2017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0.0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jc w:val="center"/>
              <w:ind w:left="6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09/24/2020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</w:t>
            </w:r>
          </w:p>
        </w:tc>
        <w:tc>
          <w:tcPr>
            <w:tcW w:w="2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4"/>
              </w:rPr>
              <w:t>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lef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Daugh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  <w:vMerge w:val="restart"/>
          </w:tcPr>
          <w:p>
            <w:pPr>
              <w:jc w:val="center"/>
              <w:ind w:left="6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09/24/2020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4"/>
              </w:rPr>
              <w:t>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lef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0.0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for 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1,432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1,897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(3)</w:t>
            </w:r>
          </w:p>
        </w:tc>
        <w:tc>
          <w:tcPr>
            <w:tcW w:w="1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1,861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2018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8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492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12/09/2020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ind w:left="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12/09/2030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10,000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10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-5674360</wp:posOffset>
            </wp:positionV>
            <wp:extent cx="7033895" cy="59035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895" cy="59035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0"/>
        <w:spacing w:after="0" w:line="22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(right to</w:t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8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Award of Restricted Stock under the Second Amended and Restated 2014 Long-Term Incentive Plan that vests 50% on December 9, 2022 and 50% on December 9, 2024.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Award of Restricted Stock under the Second Amended and Restated 2014 Long-Term Incentive Plan that vests in its entirety on December 9, 2024.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shares are held in a trust for the benefit of the reporting person's spouse. The reporting person and the reporting person's spouse are trustees of the trust.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stock option award vests in four equal annual installments, commencing one year after the date of grant.</w:t>
      </w:r>
    </w:p>
    <w:p>
      <w:pPr>
        <w:spacing w:after="0" w:line="55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/s/**Christopher R. Fenimore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12/10/2020</w:t>
            </w: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16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697422" TargetMode="External"/><Relationship Id="rId14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2020-12-11T15:08:50Z</dcterms:created>
  <dcterms:modified xsi:type="dcterms:W3CDTF">2020-12-11T15:08:50Z</dcterms:modified>
</cp:coreProperties>
</file>