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May 4, 2017 (May 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20" w:firstLine="243"/>
        <w:spacing w:after="0" w:line="264" w:lineRule="auto"/>
        <w:rPr>
          <w:sz w:val="20"/>
          <w:szCs w:val="20"/>
          <w:color w:val="auto"/>
        </w:rPr>
      </w:pPr>
      <w:r>
        <w:rPr>
          <w:rFonts w:ascii="Arial" w:cs="Arial" w:eastAsia="Arial" w:hAnsi="Arial"/>
          <w:sz w:val="18"/>
          <w:szCs w:val="18"/>
          <w:color w:val="auto"/>
        </w:rPr>
        <w:t>On May 4, 2017, Regeneron Pharmaceuticals, Inc. issued a press release announcing its financial and operating results for the quarter ended March 31, 2017.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May 4, 2017, Reporting First Quarter 2017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Date: May 4, 2017</w:t>
            </w:r>
          </w:p>
        </w:tc>
        <w:tc>
          <w:tcPr>
            <w:tcW w:w="6800" w:type="dxa"/>
            <w:vAlign w:val="bottom"/>
            <w:gridSpan w:val="2"/>
          </w:tcPr>
          <w:p>
            <w:pPr>
              <w:ind w:left="10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380" w:type="dxa"/>
            <w:vAlign w:val="bottom"/>
          </w:tcPr>
          <w:p>
            <w:pPr>
              <w:spacing w:after="0"/>
              <w:rPr>
                <w:sz w:val="24"/>
                <w:szCs w:val="24"/>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380" w:type="dxa"/>
            <w:vAlign w:val="bottom"/>
          </w:tcPr>
          <w:p>
            <w:pPr>
              <w:spacing w:after="0"/>
              <w:rPr>
                <w:sz w:val="23"/>
                <w:szCs w:val="23"/>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4, 2017, Reporting First Quarter 2017 Financial and Operating Results.</w:t>
      </w:r>
    </w:p>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2017 Financial and Operating Results</w:t>
      </w:r>
    </w:p>
    <w:p>
      <w:pPr>
        <w:spacing w:after="0" w:line="164" w:lineRule="exact"/>
        <w:rPr>
          <w:sz w:val="20"/>
          <w:szCs w:val="20"/>
          <w:color w:val="auto"/>
        </w:rPr>
      </w:pPr>
    </w:p>
    <w:p>
      <w:pPr>
        <w:ind w:left="340" w:right="380" w:hanging="332"/>
        <w:spacing w:after="0" w:line="22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First quarter 2017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U.S. net sales increased 9% to $854 million versus first quarter 2016</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2017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12% to $1.34 billion versus first quarter 2016</w:t>
      </w:r>
    </w:p>
    <w:p>
      <w:pPr>
        <w:spacing w:after="0" w:line="3" w:lineRule="exact"/>
        <w:rPr>
          <w:rFonts w:ascii="Arial" w:cs="Arial" w:eastAsia="Arial" w:hAnsi="Arial"/>
          <w:sz w:val="22"/>
          <w:szCs w:val="22"/>
          <w:i w:val="1"/>
          <w:iCs w:val="1"/>
          <w:color w:val="auto"/>
        </w:rPr>
      </w:pPr>
    </w:p>
    <w:p>
      <w:pPr>
        <w:ind w:left="340" w:hanging="332"/>
        <w:spacing w:after="0" w:line="191"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(dupilumab) Injection for adults with moderate-to-severe atopic dermatitis</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Phase 2 results in dupilumab eosinophilic esophagitis study</w:t>
      </w:r>
    </w:p>
    <w:p>
      <w:pPr>
        <w:spacing w:after="0" w:line="3" w:lineRule="exact"/>
        <w:rPr>
          <w:rFonts w:ascii="Arial" w:cs="Arial" w:eastAsia="Arial" w:hAnsi="Arial"/>
          <w:sz w:val="22"/>
          <w:szCs w:val="22"/>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Biologics License Application for Kevzara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(sarilumab) accepted with a target action date of May 22, 2017</w:t>
      </w:r>
    </w:p>
    <w:p>
      <w:pPr>
        <w:spacing w:after="0" w:line="165" w:lineRule="exact"/>
        <w:rPr>
          <w:sz w:val="20"/>
          <w:szCs w:val="20"/>
          <w:color w:val="auto"/>
        </w:rPr>
      </w:pPr>
    </w:p>
    <w:p>
      <w:pPr>
        <w:ind w:right="860"/>
        <w:spacing w:after="0" w:line="274" w:lineRule="auto"/>
        <w:rPr>
          <w:sz w:val="20"/>
          <w:szCs w:val="20"/>
          <w:color w:val="auto"/>
        </w:rPr>
      </w:pPr>
      <w:r>
        <w:rPr>
          <w:rFonts w:ascii="Arial" w:cs="Arial" w:eastAsia="Arial" w:hAnsi="Arial"/>
          <w:sz w:val="22"/>
          <w:szCs w:val="22"/>
          <w:b w:val="1"/>
          <w:bCs w:val="1"/>
          <w:color w:val="auto"/>
        </w:rPr>
        <w:t xml:space="preserve">Tarrytown, New York (May 4, 2017)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2017 and provided a business update.</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291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Three Months Ended</w:t>
      </w:r>
    </w:p>
    <w:p>
      <w:pPr>
        <w:spacing w:after="0" w:line="45" w:lineRule="exact"/>
        <w:rPr>
          <w:sz w:val="20"/>
          <w:szCs w:val="20"/>
          <w:color w:val="auto"/>
        </w:rPr>
      </w:pPr>
    </w:p>
    <w:p>
      <w:pPr>
        <w:jc w:val="center"/>
        <w:ind w:right="2600"/>
        <w:spacing w:after="0"/>
        <w:rPr>
          <w:sz w:val="20"/>
          <w:szCs w:val="20"/>
          <w:color w:val="auto"/>
        </w:rPr>
      </w:pPr>
      <w:r>
        <w:rPr>
          <w:rFonts w:ascii="Arial" w:cs="Arial" w:eastAsia="Arial" w:hAnsi="Arial"/>
          <w:sz w:val="20"/>
          <w:szCs w:val="2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17145</wp:posOffset>
            </wp:positionV>
            <wp:extent cx="250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300" w:space="720"/>
            <w:col w:w="4400"/>
          </w:cols>
          <w:pgMar w:left="240" w:top="121" w:right="239" w:bottom="1440" w:gutter="0" w:footer="0" w:header="0"/>
          <w:type w:val="continuous"/>
        </w:sectPr>
      </w:pPr>
    </w:p>
    <w:tbl>
      <w:tblPr>
        <w:tblLayout w:type="fixed"/>
        <w:tblInd w:w="1540" w:type="dxa"/>
        <w:tblCellMar>
          <w:top w:w="0" w:type="dxa"/>
          <w:left w:w="0" w:type="dxa"/>
          <w:bottom w:w="0" w:type="dxa"/>
          <w:right w:w="0" w:type="dxa"/>
        </w:tblCellMar>
      </w:tblPr>
      <w:tr>
        <w:trPr>
          <w:trHeight w:val="287"/>
        </w:trPr>
        <w:tc>
          <w:tcPr>
            <w:tcW w:w="4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2016</w:t>
            </w:r>
            <w:r>
              <w:rPr>
                <w:rFonts w:ascii="Arial" w:cs="Arial" w:eastAsia="Arial" w:hAnsi="Arial"/>
                <w:sz w:val="25"/>
                <w:szCs w:val="25"/>
                <w:b w:val="1"/>
                <w:bCs w:val="1"/>
                <w:color w:val="auto"/>
                <w:vertAlign w:val="superscript"/>
              </w:rPr>
              <w:t>*</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781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Total revenues</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1,319</w:t>
            </w:r>
          </w:p>
        </w:tc>
        <w:tc>
          <w:tcPr>
            <w:tcW w:w="1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1,201</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GAAP net income</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38%</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GAAP net income per share - diluted</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2.16</w:t>
            </w:r>
          </w:p>
        </w:tc>
        <w:tc>
          <w:tcPr>
            <w:tcW w:w="1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1.59</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4"/>
        </w:trPr>
        <w:tc>
          <w:tcPr>
            <w:tcW w:w="4400" w:type="dxa"/>
            <w:vAlign w:val="bottom"/>
            <w:shd w:val="clear" w:color="auto" w:fill="CCEEFF"/>
          </w:tcPr>
          <w:p>
            <w:pPr>
              <w:ind w:left="40"/>
              <w:spacing w:after="0" w:line="283"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w:t>
            </w:r>
          </w:p>
        </w:tc>
      </w:tr>
      <w:tr>
        <w:trPr>
          <w:trHeight w:val="341"/>
        </w:trPr>
        <w:tc>
          <w:tcPr>
            <w:tcW w:w="4400" w:type="dxa"/>
            <w:vAlign w:val="bottom"/>
          </w:tcPr>
          <w:p>
            <w:pPr>
              <w:ind w:left="40"/>
              <w:spacing w:after="0"/>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(2)</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2.92</w:t>
            </w:r>
          </w:p>
        </w:tc>
        <w:tc>
          <w:tcPr>
            <w:tcW w:w="120" w:type="dxa"/>
            <w:vAlign w:val="bottom"/>
          </w:tcPr>
          <w:p>
            <w:pPr>
              <w:spacing w:after="0"/>
              <w:rPr>
                <w:sz w:val="24"/>
                <w:szCs w:val="24"/>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22%</w:t>
            </w:r>
          </w:p>
        </w:tc>
      </w:tr>
    </w:tbl>
    <w:p>
      <w:pPr>
        <w:spacing w:after="0" w:line="76" w:lineRule="exact"/>
        <w:rPr>
          <w:sz w:val="20"/>
          <w:szCs w:val="20"/>
          <w:color w:val="auto"/>
        </w:rPr>
      </w:pPr>
    </w:p>
    <w:p>
      <w:pPr>
        <w:ind w:left="1740" w:right="1800" w:hanging="3"/>
        <w:spacing w:after="0" w:line="277" w:lineRule="auto"/>
        <w:tabs>
          <w:tab w:leader="none" w:pos="18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See note (6) below and Table 3 for an explanation of revisions made to certain amounts previously reported for the three months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134620</wp:posOffset>
            </wp:positionV>
            <wp:extent cx="5291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"In the first quarter, we were thrilled to receive U.S. FDA approval for Dupixent, our breakthrough therapy for moderate-to-severe atopic dermatitis, and are working to support access for appropriate patients who suffer from this serious disease," said Leonard S. Schleifer, M.D., Ph.D., President and Chief Executive Officer of Regeneron. "We are also pleased to have positive Phase 2 results with dupilumab in moderate-to-severe eosinophilic esophagitis, which marks the fourth allergic disease in which dupilumab has shown proof of concept. These data further validate the hypothesis that the IL-4/IL-13 pathway is a major driver in multiple allergic diseases. Additionally, we have received a new FDA action date for Kevzara, our therapy for rheumatoid arthritis, and are looking forward to a potential U.S. approval and launch in late May 2017."</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Marketed Product Update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 for Intravitreal Injection</w:t>
      </w:r>
    </w:p>
    <w:p>
      <w:pPr>
        <w:ind w:left="340" w:right="16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first quarter of 2017, net sales of EYLEA in the United States increased 9% to $854 million from $781 million in the first quarter of 2016.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right="160" w:hanging="332"/>
        <w:spacing w:after="0" w:line="236"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Bayer commercializes EYLEA outside the United States. In the first quarter of 2017,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$484 million, compared to $419 million in the first quarter of 2016. In the first quarter of 2017, Regeneron recognized $175 million from its share of net profit from EYLEA sales outside the United States, compared to $146 million in the first quarter of 2016.</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 Injection</w:t>
      </w:r>
    </w:p>
    <w:p>
      <w:pPr>
        <w:ind w:left="340" w:right="3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Dupilumab, an antibody that blocks signaling of IL-4 and IL-13, is currently being studied in asthma, children with atopic dermatitis, nasal polyps, and eosinophilic esophagitis.</w:t>
      </w:r>
    </w:p>
    <w:p>
      <w:pPr>
        <w:ind w:left="340" w:right="760" w:hanging="332"/>
        <w:spacing w:after="0" w:line="255" w:lineRule="auto"/>
        <w:tabs>
          <w:tab w:leader="none" w:pos="34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launch of Dupixent commenced following the March 28, 2017 U.S. Food and Drug Administration (FDA) approval for the treatment of adult patients with moderate-to-severe atopic dermatitis whose disease is not adequately controlled with topical prescription therapies or when those therapies are not advisable.</w:t>
      </w:r>
    </w:p>
    <w:p>
      <w:pPr>
        <w:ind w:left="340" w:right="1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first quarter of 2017, a Phase 3 study of Dupixent in adolescent patients (12-17 years of age) with moderate-to-severe atopic dermatitis was initiated.</w:t>
      </w:r>
    </w:p>
    <w:p>
      <w:pPr>
        <w:ind w:left="340" w:right="1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March 2017, the Company and Sanofi presented additional detailed results from the Phase 3 LIBERTY AD CHRONOS study. The study met its primary and secondary endpoints, with patients receiving Dupixent with topical corticosteroids (TCS) achieving significantly improved measures of overall disease severity at 16 and 52 weeks, compared to TCS alone in adults with uncontrolled moderate-to-severe atopic dermatitis.</w:t>
      </w:r>
    </w:p>
    <w:p>
      <w:pPr>
        <w:spacing w:after="0" w:line="1" w:lineRule="exact"/>
        <w:rPr>
          <w:rFonts w:ascii="Arial" w:cs="Arial" w:eastAsia="Arial" w:hAnsi="Arial"/>
          <w:sz w:val="22"/>
          <w:szCs w:val="22"/>
          <w:color w:val="auto"/>
        </w:rPr>
      </w:pPr>
    </w:p>
    <w:p>
      <w:pPr>
        <w:ind w:left="340" w:right="10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second quarter of 2017, a Phase 3 study of dupilumab in pediatric patients (6-11 years of age) with uncontrolled persistent asthma was initiated.</w:t>
      </w:r>
    </w:p>
    <w:p>
      <w:pPr>
        <w:ind w:left="340" w:hanging="332"/>
        <w:spacing w:after="0" w:line="261" w:lineRule="auto"/>
        <w:tabs>
          <w:tab w:leader="none" w:pos="34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Company recently completed a positive primary analysis from a Phase 2 proof-of-concept study of dupilumab in patients with active, moderate-to-severe eosinophilic esophagitis, which can be a manifestation of food allergy. Detailed data from this study will be presented at an upcoming medical conference. The Company and Sanofi plan to meet with the FDA and other regulators to determine next steps for development of dupilumab in this indication.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 for the Treatment of Elevated Low-Density Lipoprotein (LDL) Cholesterol</w:t>
      </w:r>
    </w:p>
    <w:p>
      <w:pPr>
        <w:ind w:left="340" w:right="10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first quarter of 2017, global net sales of Praluent were $36 million, compared to $13 million in the first quarter of 2016. Product sales for Praluent are recorded by Sanofi, and the Company shares in any profits or losses from the commercialization of Praluent.</w:t>
      </w:r>
    </w:p>
    <w:p>
      <w:pPr>
        <w:spacing w:after="0" w:line="1" w:lineRule="exact"/>
        <w:rPr>
          <w:rFonts w:ascii="Arial" w:cs="Arial" w:eastAsia="Arial" w:hAnsi="Arial"/>
          <w:sz w:val="22"/>
          <w:szCs w:val="22"/>
          <w:color w:val="auto"/>
        </w:rPr>
      </w:pPr>
    </w:p>
    <w:p>
      <w:pPr>
        <w:ind w:left="340" w:right="120" w:hanging="332"/>
        <w:spacing w:after="0" w:line="244"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On January 5, 2017, the United States District Court for the District of Delaware issued a permanent injunction prohibiting the Company and Sanofi from marketing, selling, or commercially manufacturing Praluent in the United States. On February 8, 2017, the United States Court of Appeals for the Federal Circuit stayed (suspended) the injunction pending appeal. This ruling means that Regeneron and Sanofi will continue to market, sell, and commercially manufacture Praluent in the United States during the appeal process. Oral argument on the appeal is currently scheduled for June 6, 2017.</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6" w:name="page7"/>
    <w:bookmarkEnd w:id="6"/>
    <w:p>
      <w:pPr>
        <w:ind w:left="340" w:right="140" w:hanging="332"/>
        <w:spacing w:after="0" w:line="243"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April 2017, the FDA approved the supplemental Biologics License Application (sBLA) for a once-monthly (every four weeks), 300 mg dose of Praluent.</w:t>
      </w:r>
    </w:p>
    <w:p>
      <w:pPr>
        <w:ind w:left="340" w:right="600" w:hanging="332"/>
        <w:spacing w:after="0" w:line="249"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ODYSSEY OUTCOMES trial remains ongoing, and is assessing the potential of Praluent to demonstrate cardiovascular benefit.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Kevzara</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(sarilumab) Injection</w:t>
      </w:r>
    </w:p>
    <w:p>
      <w:pPr>
        <w:ind w:left="340" w:right="180" w:hanging="332"/>
        <w:spacing w:after="0" w:line="255" w:lineRule="auto"/>
        <w:tabs>
          <w:tab w:leader="none" w:pos="34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 January 2017, Health Canada approved Kevzara for the treatment of adult patients with moderately to severely active rheumatoid arthritis who have an inadequate response to or intolerance to one or more biologic or non-biologic Disease-Modifying Anti-Rheumatic Drugs (DMARDs). This was the first approval of Kevzara worldwide.</w:t>
      </w:r>
    </w:p>
    <w:p>
      <w:pPr>
        <w:ind w:left="340" w:right="80" w:hanging="332"/>
        <w:spacing w:after="0" w:line="243"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March 2017, the Company and Sanofi resubmitted the BLA for Kevzara, which the FDA has accepted for review with a target action date of May 22, 2017.</w:t>
      </w:r>
    </w:p>
    <w:p>
      <w:pPr>
        <w:ind w:left="340" w:right="20" w:hanging="332"/>
        <w:spacing w:after="0" w:line="246"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April 2017, the European Medicine Agency's Committee for Medicinal Products for Human Use (CHMP) adopted a positive opinion for the marketing authorization of Kevzara, recommending its approval for use in adult patients with moderately to severely active rheumatoid arthritis.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286" w:lineRule="exact"/>
        <w:rPr>
          <w:sz w:val="20"/>
          <w:szCs w:val="20"/>
          <w:color w:val="auto"/>
        </w:rPr>
      </w:pPr>
    </w:p>
    <w:p>
      <w:pPr>
        <w:ind w:right="120"/>
        <w:spacing w:after="0" w:line="233" w:lineRule="auto"/>
        <w:rPr>
          <w:sz w:val="20"/>
          <w:szCs w:val="20"/>
          <w:color w:val="auto"/>
        </w:rPr>
      </w:pPr>
      <w:r>
        <w:rPr>
          <w:rFonts w:ascii="Arial" w:cs="Arial" w:eastAsia="Arial" w:hAnsi="Arial"/>
          <w:sz w:val="21"/>
          <w:szCs w:val="21"/>
          <w:color w:val="auto"/>
        </w:rPr>
        <w:t xml:space="preserve">Regeneron has sixteen product candidates in clinical development. These consist of EYLEA and fifteen fully human monoclonal antibodies generated using the Company's </w:t>
      </w:r>
      <w:r>
        <w:rPr>
          <w:rFonts w:ascii="Arial" w:cs="Arial" w:eastAsia="Arial" w:hAnsi="Arial"/>
          <w:sz w:val="21"/>
          <w:szCs w:val="21"/>
          <w:i w:val="1"/>
          <w:iCs w:val="1"/>
          <w:color w:val="auto"/>
        </w:rPr>
        <w:t>VelocImmune</w:t>
      </w:r>
      <w:r>
        <w:rPr>
          <w:rFonts w:ascii="Arial" w:cs="Arial" w:eastAsia="Arial" w:hAnsi="Arial"/>
          <w:sz w:val="27"/>
          <w:szCs w:val="27"/>
          <w:i w:val="1"/>
          <w:iCs w:val="1"/>
          <w:color w:val="auto"/>
          <w:vertAlign w:val="superscript"/>
        </w:rPr>
        <w:t>®</w:t>
      </w:r>
      <w:r>
        <w:rPr>
          <w:rFonts w:ascii="Arial" w:cs="Arial" w:eastAsia="Arial" w:hAnsi="Arial"/>
          <w:sz w:val="21"/>
          <w:szCs w:val="21"/>
          <w:color w:val="auto"/>
        </w:rPr>
        <w:t xml:space="preserve"> technology, including six in collaboration with Sanofi. In addition to EYLEA, Dupixent (dupilumab), Praluent, and Kevzara, updates from the clinical pipeline include:</w:t>
      </w:r>
    </w:p>
    <w:p>
      <w:pPr>
        <w:spacing w:after="0" w:line="135" w:lineRule="exact"/>
        <w:rPr>
          <w:sz w:val="20"/>
          <w:szCs w:val="20"/>
          <w:color w:val="auto"/>
        </w:rPr>
      </w:pPr>
    </w:p>
    <w:p>
      <w:pPr>
        <w:ind w:left="340" w:right="180"/>
        <w:spacing w:after="0" w:line="245" w:lineRule="auto"/>
        <w:rPr>
          <w:sz w:val="20"/>
          <w:szCs w:val="20"/>
          <w:color w:val="auto"/>
        </w:rPr>
      </w:pPr>
      <w:r>
        <w:rPr>
          <w:rFonts w:ascii="Arial" w:cs="Arial" w:eastAsia="Arial" w:hAnsi="Arial"/>
          <w:sz w:val="22"/>
          <w:szCs w:val="22"/>
          <w:u w:val="single" w:color="auto"/>
          <w:color w:val="auto"/>
        </w:rPr>
        <w:t>REGN2810</w:t>
      </w:r>
      <w:r>
        <w:rPr>
          <w:rFonts w:ascii="Arial" w:cs="Arial" w:eastAsia="Arial" w:hAnsi="Arial"/>
          <w:sz w:val="22"/>
          <w:szCs w:val="22"/>
          <w:color w:val="auto"/>
        </w:rPr>
        <w:t>, an antibody to programmed cell death protein 1 (PD-1), is being studied in patients with cancer. A Phase 2 potentially pivotal study for the treatment of advanced cutaneous squamous cell carcinoma (CSCC), as well as various Phase 1 studies (both alone and in combination with other antibodies and treatments), continue to enroll patients. Data from a cohort of patients with CSCC from our Phase 1 trial will be presented at the upcoming American Society of Clinical Oncology (ASCO) conference in June 2017.</w:t>
      </w:r>
    </w:p>
    <w:p>
      <w:pPr>
        <w:spacing w:after="0" w:line="248" w:lineRule="exact"/>
        <w:rPr>
          <w:sz w:val="20"/>
          <w:szCs w:val="20"/>
          <w:color w:val="auto"/>
        </w:rPr>
      </w:pPr>
    </w:p>
    <w:p>
      <w:pPr>
        <w:jc w:val="both"/>
        <w:ind w:left="340" w:right="460"/>
        <w:spacing w:after="0" w:line="246" w:lineRule="auto"/>
        <w:rPr>
          <w:sz w:val="20"/>
          <w:szCs w:val="20"/>
          <w:color w:val="auto"/>
        </w:rPr>
      </w:pPr>
      <w:r>
        <w:rPr>
          <w:rFonts w:ascii="Arial" w:cs="Arial" w:eastAsia="Arial" w:hAnsi="Arial"/>
          <w:sz w:val="22"/>
          <w:szCs w:val="22"/>
          <w:u w:val="single" w:color="auto"/>
          <w:color w:val="auto"/>
        </w:rPr>
        <w:t>Suptavumab</w:t>
      </w:r>
      <w:r>
        <w:rPr>
          <w:rFonts w:ascii="Arial" w:cs="Arial" w:eastAsia="Arial" w:hAnsi="Arial"/>
          <w:sz w:val="22"/>
          <w:szCs w:val="22"/>
          <w:color w:val="auto"/>
        </w:rPr>
        <w:t>, an antibody to the Respiratory Syncytial Virus-F (RSV-F), finished enrolling patients in a Phase 3 study in the first quarter of 2017 subsequent to the completion of the Northern Hemisphere RSV season. Final enrollment in this study was approximately 1,200 patients.</w:t>
      </w:r>
    </w:p>
    <w:p>
      <w:pPr>
        <w:spacing w:after="0" w:line="249" w:lineRule="exact"/>
        <w:rPr>
          <w:sz w:val="20"/>
          <w:szCs w:val="20"/>
          <w:color w:val="auto"/>
        </w:rPr>
      </w:pPr>
    </w:p>
    <w:p>
      <w:pPr>
        <w:ind w:left="340"/>
        <w:spacing w:after="0" w:line="245" w:lineRule="auto"/>
        <w:rPr>
          <w:sz w:val="20"/>
          <w:szCs w:val="20"/>
          <w:color w:val="auto"/>
        </w:rPr>
      </w:pPr>
      <w:r>
        <w:rPr>
          <w:rFonts w:ascii="Arial" w:cs="Arial" w:eastAsia="Arial" w:hAnsi="Arial"/>
          <w:sz w:val="22"/>
          <w:szCs w:val="22"/>
          <w:u w:val="single" w:color="auto"/>
          <w:color w:val="auto"/>
        </w:rPr>
        <w:t>Nesvacumab</w:t>
      </w:r>
      <w:r>
        <w:rPr>
          <w:rFonts w:ascii="Arial" w:cs="Arial" w:eastAsia="Arial" w:hAnsi="Arial"/>
          <w:sz w:val="22"/>
          <w:szCs w:val="22"/>
          <w:color w:val="auto"/>
        </w:rPr>
        <w:t>, an antibody to Ang2 co-formulated with aflibercept for intravitreal injection, is currently being studied in patients with neovascular age-related macular degeneration (wet AMD) and diabetic macular edema (DME). The Phase 2 ONYX study of nesvacumab/aflibercept for the treatment of wet AMD completed enrollment during the first quarter of 2017, and the Phase 2 RUBY study of nesvacumab/aflibercept for the treatment of DME completed enrollment during 2016.</w:t>
      </w:r>
    </w:p>
    <w:p>
      <w:pPr>
        <w:spacing w:after="0" w:line="208" w:lineRule="exact"/>
        <w:rPr>
          <w:sz w:val="20"/>
          <w:szCs w:val="20"/>
          <w:color w:val="auto"/>
        </w:rPr>
      </w:pPr>
    </w:p>
    <w:p>
      <w:pPr>
        <w:ind w:left="340" w:right="960"/>
        <w:spacing w:after="0" w:line="249" w:lineRule="auto"/>
        <w:rPr>
          <w:sz w:val="20"/>
          <w:szCs w:val="20"/>
          <w:color w:val="auto"/>
        </w:rPr>
      </w:pPr>
      <w:r>
        <w:rPr>
          <w:rFonts w:ascii="Arial" w:cs="Arial" w:eastAsia="Arial" w:hAnsi="Arial"/>
          <w:sz w:val="22"/>
          <w:szCs w:val="22"/>
          <w:u w:val="single" w:color="auto"/>
          <w:color w:val="auto"/>
        </w:rPr>
        <w:t>REGN2477</w:t>
      </w:r>
      <w:r>
        <w:rPr>
          <w:rFonts w:ascii="Arial" w:cs="Arial" w:eastAsia="Arial" w:hAnsi="Arial"/>
          <w:sz w:val="22"/>
          <w:szCs w:val="22"/>
          <w:color w:val="auto"/>
        </w:rPr>
        <w:t>, an antibody to Activin A, received orphan drug designation from the FDA for the treatment of Fibrodysplasia Ossificans Progressiva (FOP) in the first quarter of 2017.</w:t>
      </w:r>
    </w:p>
    <w:p>
      <w:pPr>
        <w:spacing w:after="0" w:line="245" w:lineRule="exact"/>
        <w:rPr>
          <w:sz w:val="20"/>
          <w:szCs w:val="20"/>
          <w:color w:val="auto"/>
        </w:rPr>
      </w:pPr>
    </w:p>
    <w:p>
      <w:pPr>
        <w:ind w:left="340" w:right="80"/>
        <w:spacing w:after="0" w:line="246" w:lineRule="auto"/>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an antibody to Angptl-3, received Breakthrough Therapy designation from the FDA in the first quarter of 2017 for the treatment of hypercholesterolemia in patients with homozygous familial hypercholesterolemia (HoFH).</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390" w:right="319" w:bottom="1440" w:gutter="0" w:footer="0" w:header="0"/>
        </w:sectPr>
      </w:pPr>
    </w:p>
    <w:bookmarkStart w:id="7" w:name="page8"/>
    <w:bookmarkEnd w:id="7"/>
    <w:p>
      <w:pPr>
        <w:ind w:left="340"/>
        <w:spacing w:after="0" w:line="249" w:lineRule="auto"/>
        <w:rPr>
          <w:sz w:val="20"/>
          <w:szCs w:val="20"/>
          <w:color w:val="auto"/>
        </w:rPr>
      </w:pPr>
      <w:r>
        <w:rPr>
          <w:rFonts w:ascii="Arial" w:cs="Arial" w:eastAsia="Arial" w:hAnsi="Arial"/>
          <w:sz w:val="22"/>
          <w:szCs w:val="22"/>
          <w:u w:val="single" w:color="auto"/>
          <w:color w:val="auto"/>
        </w:rPr>
        <w:t>REGN3500</w:t>
      </w:r>
      <w:r>
        <w:rPr>
          <w:rFonts w:ascii="Arial" w:cs="Arial" w:eastAsia="Arial" w:hAnsi="Arial"/>
          <w:sz w:val="22"/>
          <w:szCs w:val="22"/>
          <w:color w:val="auto"/>
        </w:rPr>
        <w:t>, an antibody to interleukin-33 receptor (IL-33), entered Phase 1 clinical development for the treatment of asthma in the first quarter of 2017.</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Upcoming 2017 Milestones</w:t>
      </w:r>
    </w:p>
    <w:p>
      <w:pPr>
        <w:spacing w:after="0" w:line="157" w:lineRule="exact"/>
        <w:rPr>
          <w:sz w:val="20"/>
          <w:szCs w:val="20"/>
          <w:color w:val="auto"/>
        </w:rPr>
      </w:pPr>
    </w:p>
    <w:tbl>
      <w:tblPr>
        <w:tblLayout w:type="fixed"/>
        <w:tblInd w:w="840" w:type="dxa"/>
        <w:tblCellMar>
          <w:top w:w="0" w:type="dxa"/>
          <w:left w:w="0" w:type="dxa"/>
          <w:bottom w:w="0" w:type="dxa"/>
          <w:right w:w="0" w:type="dxa"/>
        </w:tblCellMar>
      </w:tblPr>
      <w:tr>
        <w:trPr>
          <w:trHeight w:val="266"/>
        </w:trPr>
        <w:tc>
          <w:tcPr>
            <w:tcW w:w="3460" w:type="dxa"/>
            <w:vAlign w:val="bottom"/>
            <w:tcBorders>
              <w:bottom w:val="single" w:sz="8" w:color="auto"/>
            </w:tcBorders>
          </w:tcPr>
          <w:p>
            <w:pPr>
              <w:ind w:left="1260"/>
              <w:spacing w:after="0"/>
              <w:rPr>
                <w:sz w:val="20"/>
                <w:szCs w:val="20"/>
                <w:color w:val="auto"/>
              </w:rPr>
            </w:pPr>
            <w:r>
              <w:rPr>
                <w:rFonts w:ascii="Arial" w:cs="Arial" w:eastAsia="Arial" w:hAnsi="Arial"/>
                <w:sz w:val="20"/>
                <w:szCs w:val="20"/>
                <w:b w:val="1"/>
                <w:bCs w:val="1"/>
                <w:color w:val="auto"/>
              </w:rPr>
              <w:t>Programs</w:t>
            </w:r>
          </w:p>
        </w:tc>
        <w:tc>
          <w:tcPr>
            <w:tcW w:w="200" w:type="dxa"/>
            <w:vAlign w:val="bottom"/>
            <w:tcBorders>
              <w:bottom w:val="single" w:sz="8" w:color="auto"/>
            </w:tcBorders>
          </w:tcPr>
          <w:p>
            <w:pPr>
              <w:spacing w:after="0"/>
              <w:rPr>
                <w:sz w:val="23"/>
                <w:szCs w:val="23"/>
                <w:color w:val="auto"/>
              </w:rPr>
            </w:pPr>
          </w:p>
        </w:tc>
        <w:tc>
          <w:tcPr>
            <w:tcW w:w="6260" w:type="dxa"/>
            <w:vAlign w:val="bottom"/>
            <w:tcBorders>
              <w:bottom w:val="single" w:sz="8" w:color="auto"/>
            </w:tcBorders>
          </w:tcPr>
          <w:p>
            <w:pPr>
              <w:ind w:left="2620"/>
              <w:spacing w:after="0"/>
              <w:rPr>
                <w:sz w:val="20"/>
                <w:szCs w:val="20"/>
                <w:color w:val="auto"/>
              </w:rPr>
            </w:pPr>
            <w:r>
              <w:rPr>
                <w:rFonts w:ascii="Arial" w:cs="Arial" w:eastAsia="Arial" w:hAnsi="Arial"/>
                <w:sz w:val="20"/>
                <w:szCs w:val="20"/>
                <w:b w:val="1"/>
                <w:bCs w:val="1"/>
                <w:color w:val="auto"/>
              </w:rPr>
              <w:t>Milestones</w:t>
            </w: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Dupixent (dupilumab)</w:t>
            </w:r>
          </w:p>
        </w:tc>
        <w:tc>
          <w:tcPr>
            <w:tcW w:w="2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260" w:type="dxa"/>
            <w:vAlign w:val="bottom"/>
            <w:shd w:val="clear" w:color="auto" w:fill="CCEEFF"/>
          </w:tcPr>
          <w:p>
            <w:pPr>
              <w:ind w:left="40"/>
              <w:spacing w:after="0"/>
              <w:rPr>
                <w:sz w:val="20"/>
                <w:szCs w:val="20"/>
                <w:color w:val="auto"/>
              </w:rPr>
            </w:pPr>
            <w:r>
              <w:rPr>
                <w:rFonts w:ascii="Arial" w:cs="Arial" w:eastAsia="Arial" w:hAnsi="Arial"/>
                <w:sz w:val="20"/>
                <w:szCs w:val="20"/>
                <w:color w:val="auto"/>
              </w:rPr>
              <w:t>Submission for additional regulatory approvals and regulatory agency</w:t>
            </w:r>
          </w:p>
        </w:tc>
      </w:tr>
      <w:tr>
        <w:trPr>
          <w:trHeight w:val="237"/>
        </w:trPr>
        <w:tc>
          <w:tcPr>
            <w:tcW w:w="3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60" w:type="dxa"/>
            <w:vAlign w:val="bottom"/>
            <w:shd w:val="clear" w:color="auto" w:fill="CCEEFF"/>
          </w:tcPr>
          <w:p>
            <w:pPr>
              <w:ind w:left="40"/>
              <w:spacing w:after="0"/>
              <w:rPr>
                <w:sz w:val="20"/>
                <w:szCs w:val="20"/>
                <w:color w:val="auto"/>
              </w:rPr>
            </w:pPr>
            <w:r>
              <w:rPr>
                <w:rFonts w:ascii="Arial" w:cs="Arial" w:eastAsia="Arial" w:hAnsi="Arial"/>
                <w:sz w:val="20"/>
                <w:szCs w:val="20"/>
                <w:color w:val="auto"/>
              </w:rPr>
              <w:t>decisions on applications outside of the United States</w:t>
            </w:r>
          </w:p>
        </w:tc>
      </w:tr>
      <w:tr>
        <w:trPr>
          <w:trHeight w:val="270"/>
        </w:trPr>
        <w:tc>
          <w:tcPr>
            <w:tcW w:w="346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26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Report results from Phase 3 asthma study</w:t>
            </w:r>
          </w:p>
        </w:tc>
      </w:tr>
      <w:tr>
        <w:trPr>
          <w:trHeight w:val="284"/>
        </w:trPr>
        <w:tc>
          <w:tcPr>
            <w:tcW w:w="3460" w:type="dxa"/>
            <w:vAlign w:val="bottom"/>
            <w:shd w:val="clear" w:color="auto" w:fill="CCEEFF"/>
          </w:tcPr>
          <w:p>
            <w:pPr>
              <w:spacing w:after="0"/>
              <w:rPr>
                <w:sz w:val="24"/>
                <w:szCs w:val="24"/>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260" w:type="dxa"/>
            <w:vAlign w:val="bottom"/>
            <w:shd w:val="clear" w:color="auto" w:fill="CCEEFF"/>
          </w:tcPr>
          <w:p>
            <w:pPr>
              <w:ind w:left="40"/>
              <w:spacing w:after="0"/>
              <w:rPr>
                <w:sz w:val="20"/>
                <w:szCs w:val="20"/>
                <w:color w:val="auto"/>
              </w:rPr>
            </w:pPr>
            <w:r>
              <w:rPr>
                <w:rFonts w:ascii="Arial" w:cs="Arial" w:eastAsia="Arial" w:hAnsi="Arial"/>
                <w:sz w:val="20"/>
                <w:szCs w:val="20"/>
                <w:color w:val="auto"/>
              </w:rPr>
              <w:t>Submit sBLA for asthma in adults</w:t>
            </w:r>
          </w:p>
        </w:tc>
      </w:tr>
      <w:tr>
        <w:trPr>
          <w:trHeight w:val="284"/>
        </w:trPr>
        <w:tc>
          <w:tcPr>
            <w:tcW w:w="3460" w:type="dxa"/>
            <w:vAlign w:val="bottom"/>
            <w:shd w:val="clear" w:color="auto" w:fill="CCEEFF"/>
          </w:tcPr>
          <w:p>
            <w:pPr>
              <w:spacing w:after="0"/>
              <w:rPr>
                <w:sz w:val="24"/>
                <w:szCs w:val="24"/>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260" w:type="dxa"/>
            <w:vAlign w:val="bottom"/>
            <w:shd w:val="clear" w:color="auto" w:fill="CCEEFF"/>
          </w:tcPr>
          <w:p>
            <w:pPr>
              <w:ind w:left="40"/>
              <w:spacing w:after="0"/>
              <w:rPr>
                <w:sz w:val="20"/>
                <w:szCs w:val="20"/>
                <w:color w:val="auto"/>
              </w:rPr>
            </w:pPr>
            <w:r>
              <w:rPr>
                <w:rFonts w:ascii="Arial" w:cs="Arial" w:eastAsia="Arial" w:hAnsi="Arial"/>
                <w:sz w:val="20"/>
                <w:szCs w:val="20"/>
                <w:color w:val="auto"/>
              </w:rPr>
              <w:t>Initiate Phase 3 study in pediatric patients in atopic dermatitis</w:t>
            </w:r>
          </w:p>
        </w:tc>
      </w:tr>
      <w:tr>
        <w:trPr>
          <w:trHeight w:val="287"/>
        </w:trPr>
        <w:tc>
          <w:tcPr>
            <w:tcW w:w="3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Initiate Phase 2 study in food allergies</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Kevzara</w:t>
            </w:r>
          </w:p>
        </w:tc>
        <w:tc>
          <w:tcPr>
            <w:tcW w:w="6460" w:type="dxa"/>
            <w:vAlign w:val="bottom"/>
            <w:gridSpan w:val="2"/>
          </w:tcPr>
          <w:p>
            <w:pPr>
              <w:ind w:left="40"/>
              <w:spacing w:after="0"/>
              <w:rPr>
                <w:sz w:val="20"/>
                <w:szCs w:val="20"/>
                <w:color w:val="auto"/>
              </w:rPr>
            </w:pPr>
            <w:r>
              <w:rPr>
                <w:rFonts w:ascii="Arial" w:cs="Arial" w:eastAsia="Arial" w:hAnsi="Arial"/>
                <w:sz w:val="20"/>
                <w:szCs w:val="20"/>
                <w:color w:val="auto"/>
              </w:rPr>
              <w:t>Ÿ FDA target action date of May 22, 2017</w:t>
            </w:r>
          </w:p>
        </w:tc>
      </w:tr>
      <w:tr>
        <w:trPr>
          <w:trHeight w:val="263"/>
        </w:trPr>
        <w:tc>
          <w:tcPr>
            <w:tcW w:w="3460" w:type="dxa"/>
            <w:vAlign w:val="bottom"/>
          </w:tcPr>
          <w:p>
            <w:pPr>
              <w:spacing w:after="0"/>
              <w:rPr>
                <w:sz w:val="22"/>
                <w:szCs w:val="22"/>
                <w:color w:val="auto"/>
              </w:rPr>
            </w:pPr>
          </w:p>
        </w:tc>
        <w:tc>
          <w:tcPr>
            <w:tcW w:w="6460" w:type="dxa"/>
            <w:vAlign w:val="bottom"/>
            <w:gridSpan w:val="2"/>
          </w:tcPr>
          <w:p>
            <w:pPr>
              <w:ind w:left="40"/>
              <w:spacing w:after="0"/>
              <w:rPr>
                <w:sz w:val="20"/>
                <w:szCs w:val="20"/>
                <w:color w:val="auto"/>
              </w:rPr>
            </w:pPr>
            <w:r>
              <w:rPr>
                <w:rFonts w:ascii="Arial" w:cs="Arial" w:eastAsia="Arial" w:hAnsi="Arial"/>
                <w:sz w:val="20"/>
                <w:szCs w:val="20"/>
                <w:color w:val="auto"/>
              </w:rPr>
              <w:t>Ÿ Submission for additional regulatory approvals and regulatory agency</w:t>
            </w:r>
          </w:p>
        </w:tc>
      </w:tr>
      <w:tr>
        <w:trPr>
          <w:trHeight w:val="242"/>
        </w:trPr>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60" w:type="dxa"/>
            <w:vAlign w:val="bottom"/>
          </w:tcPr>
          <w:p>
            <w:pPr>
              <w:ind w:left="40"/>
              <w:spacing w:after="0"/>
              <w:rPr>
                <w:sz w:val="20"/>
                <w:szCs w:val="20"/>
                <w:color w:val="auto"/>
              </w:rPr>
            </w:pPr>
            <w:r>
              <w:rPr>
                <w:rFonts w:ascii="Arial" w:cs="Arial" w:eastAsia="Arial" w:hAnsi="Arial"/>
                <w:sz w:val="20"/>
                <w:szCs w:val="20"/>
                <w:color w:val="auto"/>
              </w:rPr>
              <w:t>decisions on applications outside of the United States</w:t>
            </w:r>
          </w:p>
        </w:tc>
      </w:tr>
      <w:tr>
        <w:trPr>
          <w:trHeight w:val="26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Praluent</w:t>
            </w:r>
          </w:p>
        </w:tc>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Ÿ Complete ODYSSEY OUTCOMES study</w:t>
            </w:r>
          </w:p>
        </w:tc>
      </w:tr>
      <w:tr>
        <w:trPr>
          <w:trHeight w:val="239"/>
        </w:trPr>
        <w:tc>
          <w:tcPr>
            <w:tcW w:w="3460" w:type="dxa"/>
            <w:vAlign w:val="bottom"/>
          </w:tcPr>
          <w:p>
            <w:pPr>
              <w:ind w:left="20"/>
              <w:spacing w:after="0"/>
              <w:rPr>
                <w:sz w:val="20"/>
                <w:szCs w:val="20"/>
                <w:color w:val="auto"/>
              </w:rPr>
            </w:pPr>
            <w:r>
              <w:rPr>
                <w:rFonts w:ascii="Arial" w:cs="Arial" w:eastAsia="Arial" w:hAnsi="Arial"/>
                <w:sz w:val="20"/>
                <w:szCs w:val="20"/>
                <w:color w:val="auto"/>
              </w:rPr>
              <w:t>Suptavumab (REGN2222; RSV-F</w:t>
            </w:r>
          </w:p>
        </w:tc>
        <w:tc>
          <w:tcPr>
            <w:tcW w:w="6460" w:type="dxa"/>
            <w:vAlign w:val="bottom"/>
            <w:gridSpan w:val="2"/>
          </w:tcPr>
          <w:p>
            <w:pPr>
              <w:ind w:left="40"/>
              <w:spacing w:after="0"/>
              <w:rPr>
                <w:sz w:val="20"/>
                <w:szCs w:val="20"/>
                <w:color w:val="auto"/>
              </w:rPr>
            </w:pPr>
            <w:r>
              <w:rPr>
                <w:rFonts w:ascii="Arial" w:cs="Arial" w:eastAsia="Arial" w:hAnsi="Arial"/>
                <w:sz w:val="20"/>
                <w:szCs w:val="20"/>
                <w:color w:val="auto"/>
              </w:rPr>
              <w:t>Ÿ Report results from Phase 3 study</w:t>
            </w:r>
          </w:p>
        </w:tc>
      </w:tr>
      <w:tr>
        <w:trPr>
          <w:trHeight w:val="242"/>
        </w:trPr>
        <w:tc>
          <w:tcPr>
            <w:tcW w:w="3460" w:type="dxa"/>
            <w:vAlign w:val="bottom"/>
          </w:tcPr>
          <w:p>
            <w:pPr>
              <w:ind w:left="20"/>
              <w:spacing w:after="0"/>
              <w:rPr>
                <w:sz w:val="20"/>
                <w:szCs w:val="20"/>
                <w:color w:val="auto"/>
              </w:rPr>
            </w:pPr>
            <w:r>
              <w:rPr>
                <w:rFonts w:ascii="Arial" w:cs="Arial" w:eastAsia="Arial" w:hAnsi="Arial"/>
                <w:sz w:val="20"/>
                <w:szCs w:val="20"/>
                <w:color w:val="auto"/>
              </w:rPr>
              <w:t>Antibody)</w:t>
            </w:r>
          </w:p>
        </w:tc>
        <w:tc>
          <w:tcPr>
            <w:tcW w:w="200" w:type="dxa"/>
            <w:vAlign w:val="bottom"/>
          </w:tcPr>
          <w:p>
            <w:pPr>
              <w:spacing w:after="0"/>
              <w:rPr>
                <w:sz w:val="21"/>
                <w:szCs w:val="21"/>
                <w:color w:val="auto"/>
              </w:rPr>
            </w:pPr>
          </w:p>
        </w:tc>
        <w:tc>
          <w:tcPr>
            <w:tcW w:w="6260" w:type="dxa"/>
            <w:vAlign w:val="bottom"/>
          </w:tcPr>
          <w:p>
            <w:pPr>
              <w:spacing w:after="0"/>
              <w:rPr>
                <w:sz w:val="21"/>
                <w:szCs w:val="21"/>
                <w:color w:val="auto"/>
              </w:rPr>
            </w:pPr>
          </w:p>
        </w:tc>
      </w:tr>
      <w:tr>
        <w:trPr>
          <w:trHeight w:val="265"/>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Fasinumab (NGF Antibody)</w:t>
            </w:r>
          </w:p>
        </w:tc>
        <w:tc>
          <w:tcPr>
            <w:tcW w:w="646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Ÿ Initiate additional Phase 3 study in osteoarthritis pain</w:t>
            </w:r>
          </w:p>
        </w:tc>
      </w:tr>
      <w:tr>
        <w:trPr>
          <w:trHeight w:val="287"/>
        </w:trPr>
        <w:tc>
          <w:tcPr>
            <w:tcW w:w="3460" w:type="dxa"/>
            <w:vAlign w:val="bottom"/>
            <w:tcBorders>
              <w:bottom w:val="single" w:sz="8" w:color="CCEEFF"/>
            </w:tcBorders>
            <w:shd w:val="clear" w:color="auto" w:fill="CCEEFF"/>
          </w:tcPr>
          <w:p>
            <w:pPr>
              <w:spacing w:after="0"/>
              <w:rPr>
                <w:sz w:val="24"/>
                <w:szCs w:val="24"/>
                <w:color w:val="auto"/>
              </w:rPr>
            </w:pPr>
          </w:p>
        </w:tc>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Ÿ Initiate Phase 3 study in chronic low back pain</w:t>
            </w:r>
          </w:p>
        </w:tc>
      </w:tr>
      <w:tr>
        <w:trPr>
          <w:trHeight w:val="261"/>
        </w:trPr>
        <w:tc>
          <w:tcPr>
            <w:tcW w:w="3460" w:type="dxa"/>
            <w:vAlign w:val="bottom"/>
          </w:tcPr>
          <w:p>
            <w:pPr>
              <w:ind w:left="20"/>
              <w:spacing w:after="0"/>
              <w:rPr>
                <w:sz w:val="20"/>
                <w:szCs w:val="20"/>
                <w:color w:val="auto"/>
              </w:rPr>
            </w:pPr>
            <w:r>
              <w:rPr>
                <w:rFonts w:ascii="Arial" w:cs="Arial" w:eastAsia="Arial" w:hAnsi="Arial"/>
                <w:sz w:val="20"/>
                <w:szCs w:val="20"/>
                <w:color w:val="auto"/>
              </w:rPr>
              <w:t>REGN2810 (PD-1 Antibody)</w:t>
            </w:r>
          </w:p>
        </w:tc>
        <w:tc>
          <w:tcPr>
            <w:tcW w:w="6460" w:type="dxa"/>
            <w:vAlign w:val="bottom"/>
            <w:gridSpan w:val="2"/>
          </w:tcPr>
          <w:p>
            <w:pPr>
              <w:ind w:left="40"/>
              <w:spacing w:after="0"/>
              <w:rPr>
                <w:sz w:val="20"/>
                <w:szCs w:val="20"/>
                <w:color w:val="auto"/>
              </w:rPr>
            </w:pPr>
            <w:r>
              <w:rPr>
                <w:rFonts w:ascii="Arial" w:cs="Arial" w:eastAsia="Arial" w:hAnsi="Arial"/>
                <w:sz w:val="20"/>
                <w:szCs w:val="20"/>
                <w:color w:val="auto"/>
              </w:rPr>
              <w:t>Ÿ Initiate Phase 3 study in first-line non-small cell lung cancer</w:t>
            </w:r>
          </w:p>
        </w:tc>
      </w:tr>
      <w:tr>
        <w:trPr>
          <w:trHeight w:val="284"/>
        </w:trPr>
        <w:tc>
          <w:tcPr>
            <w:tcW w:w="3460" w:type="dxa"/>
            <w:vAlign w:val="bottom"/>
          </w:tcPr>
          <w:p>
            <w:pPr>
              <w:spacing w:after="0"/>
              <w:rPr>
                <w:sz w:val="24"/>
                <w:szCs w:val="24"/>
                <w:color w:val="auto"/>
              </w:rPr>
            </w:pPr>
          </w:p>
        </w:tc>
        <w:tc>
          <w:tcPr>
            <w:tcW w:w="6460" w:type="dxa"/>
            <w:vAlign w:val="bottom"/>
            <w:gridSpan w:val="2"/>
          </w:tcPr>
          <w:p>
            <w:pPr>
              <w:ind w:left="40"/>
              <w:spacing w:after="0"/>
              <w:rPr>
                <w:sz w:val="20"/>
                <w:szCs w:val="20"/>
                <w:color w:val="auto"/>
              </w:rPr>
            </w:pPr>
            <w:r>
              <w:rPr>
                <w:rFonts w:ascii="Arial" w:cs="Arial" w:eastAsia="Arial" w:hAnsi="Arial"/>
                <w:sz w:val="20"/>
                <w:szCs w:val="20"/>
                <w:color w:val="auto"/>
              </w:rPr>
              <w:t>Ÿ Initiate Phase 2 study in basal cell carcinoma</w:t>
            </w:r>
          </w:p>
        </w:tc>
      </w:tr>
      <w:tr>
        <w:trPr>
          <w:trHeight w:val="23"/>
        </w:trPr>
        <w:tc>
          <w:tcPr>
            <w:tcW w:w="3460" w:type="dxa"/>
            <w:vAlign w:val="bottom"/>
          </w:tcPr>
          <w:p>
            <w:pPr>
              <w:spacing w:after="0"/>
              <w:rPr>
                <w:sz w:val="2"/>
                <w:szCs w:val="2"/>
                <w:color w:val="auto"/>
              </w:rPr>
            </w:pPr>
          </w:p>
        </w:tc>
        <w:tc>
          <w:tcPr>
            <w:tcW w:w="6460" w:type="dxa"/>
            <w:vAlign w:val="bottom"/>
            <w:gridSpan w:val="2"/>
          </w:tcPr>
          <w:p>
            <w:pPr>
              <w:spacing w:after="0"/>
              <w:rPr>
                <w:sz w:val="2"/>
                <w:szCs w:val="2"/>
                <w:color w:val="auto"/>
              </w:rPr>
            </w:pPr>
          </w:p>
        </w:tc>
      </w:tr>
      <w:tr>
        <w:trPr>
          <w:trHeight w:val="239"/>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Nesvacumab/aflibercept (Ang2</w:t>
            </w:r>
          </w:p>
        </w:tc>
        <w:tc>
          <w:tcPr>
            <w:tcW w:w="646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Ÿ Report data from Phase 2 studies in DME (RUBY) and wet AMD</w:t>
            </w:r>
          </w:p>
        </w:tc>
      </w:tr>
      <w:tr>
        <w:trPr>
          <w:trHeight w:val="216"/>
        </w:trPr>
        <w:tc>
          <w:tcPr>
            <w:tcW w:w="34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Antibody co-formulated with</w:t>
            </w:r>
          </w:p>
        </w:tc>
        <w:tc>
          <w:tcPr>
            <w:tcW w:w="200" w:type="dxa"/>
            <w:vAlign w:val="bottom"/>
            <w:shd w:val="clear" w:color="auto" w:fill="CCEEFF"/>
          </w:tcPr>
          <w:p>
            <w:pPr>
              <w:spacing w:after="0"/>
              <w:rPr>
                <w:sz w:val="18"/>
                <w:szCs w:val="18"/>
                <w:color w:val="auto"/>
              </w:rPr>
            </w:pPr>
          </w:p>
        </w:tc>
        <w:tc>
          <w:tcPr>
            <w:tcW w:w="6260" w:type="dxa"/>
            <w:vAlign w:val="bottom"/>
            <w:shd w:val="clear" w:color="auto" w:fill="CCEEFF"/>
          </w:tcPr>
          <w:p>
            <w:pPr>
              <w:ind w:left="40"/>
              <w:spacing w:after="0" w:line="216" w:lineRule="exact"/>
              <w:rPr>
                <w:sz w:val="20"/>
                <w:szCs w:val="20"/>
                <w:color w:val="auto"/>
              </w:rPr>
            </w:pPr>
            <w:r>
              <w:rPr>
                <w:rFonts w:ascii="Arial" w:cs="Arial" w:eastAsia="Arial" w:hAnsi="Arial"/>
                <w:sz w:val="20"/>
                <w:szCs w:val="20"/>
                <w:color w:val="auto"/>
              </w:rPr>
              <w:t>(ONYX)</w:t>
            </w:r>
          </w:p>
        </w:tc>
      </w:tr>
      <w:tr>
        <w:trPr>
          <w:trHeight w:val="247"/>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aflibercept)</w:t>
            </w:r>
          </w:p>
        </w:tc>
        <w:tc>
          <w:tcPr>
            <w:tcW w:w="200" w:type="dxa"/>
            <w:vAlign w:val="bottom"/>
            <w:shd w:val="clear" w:color="auto" w:fill="CCEEFF"/>
          </w:tcPr>
          <w:p>
            <w:pPr>
              <w:spacing w:after="0"/>
              <w:rPr>
                <w:sz w:val="21"/>
                <w:szCs w:val="21"/>
                <w:color w:val="auto"/>
              </w:rPr>
            </w:pPr>
          </w:p>
        </w:tc>
        <w:tc>
          <w:tcPr>
            <w:tcW w:w="6260" w:type="dxa"/>
            <w:vAlign w:val="bottom"/>
            <w:shd w:val="clear" w:color="auto" w:fill="CCEEFF"/>
          </w:tcPr>
          <w:p>
            <w:pPr>
              <w:spacing w:after="0"/>
              <w:rPr>
                <w:sz w:val="21"/>
                <w:szCs w:val="2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First Quarter 2017 Financial Results</w:t>
      </w:r>
    </w:p>
    <w:p>
      <w:pPr>
        <w:spacing w:after="0" w:line="260" w:lineRule="exact"/>
        <w:rPr>
          <w:sz w:val="20"/>
          <w:szCs w:val="20"/>
          <w:color w:val="auto"/>
        </w:rPr>
      </w:pPr>
    </w:p>
    <w:p>
      <w:pPr>
        <w:ind w:right="320"/>
        <w:spacing w:after="0" w:line="258"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$858 million in the first quarter of 2017, compared to $784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2016. EYLEA net product sales in the United States were $854 million in the first quarter of 2017, compared to $781 million in the first quarter of 2016.</w:t>
      </w:r>
    </w:p>
    <w:p>
      <w:pPr>
        <w:spacing w:after="0" w:line="211"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10% to $1.319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first quarter of 2017, compared to $1.201 billion in the first quarter of 2016. Total revenues also include Sanofi and Bayer collaboration revenues of $404 million in the first quarter of 2017, compared to $399 million in the first quarter of 2016.</w:t>
      </w:r>
    </w:p>
    <w:p>
      <w:pPr>
        <w:spacing w:after="0" w:line="176" w:lineRule="exact"/>
        <w:rPr>
          <w:sz w:val="20"/>
          <w:szCs w:val="20"/>
          <w:color w:val="auto"/>
        </w:rPr>
      </w:pPr>
    </w:p>
    <w:p>
      <w:pPr>
        <w:ind w:right="160"/>
        <w:spacing w:after="0" w:line="249"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$507 million in the first quarter of 2017,</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$470 million in the first quarter of 2016. The higher R&amp;D expenses in the first quarter of 2017 were principally due to higher development costs, including an increase in fasinumab and REGN2810 clinical trial costs (partly offset by a decrease in clinical trial costs for dupilumab), manufacturing drug supplies, and higher headcount to support the Company's increased R&amp;D activities. In addition, in the first quarter of 2017, R&amp;D-related non-cash share-based compensation expense was $74 million, compared to $78 million in the first quarter of 2016.</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46" w:right="239" w:bottom="1440" w:gutter="0" w:footer="0" w:header="0"/>
        </w:sectPr>
      </w:pPr>
    </w:p>
    <w:bookmarkStart w:id="8" w:name="page9"/>
    <w:bookmarkEnd w:id="8"/>
    <w:p>
      <w:pPr>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$297 million in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2017, compared to $290 million in the first quarter of 2016. The increase in SG&amp;A expenses was primarily due to higher headcount and commercialization-related expenses in connection with preparing to launch Kevzara and Dupixent. In addition, in the first quarter of 2017, SG&amp;A-related non-cash share-based compensation expense was $54 million, compared to $60 million in the first quarter of 2016.</w:t>
      </w:r>
    </w:p>
    <w:p>
      <w:pPr>
        <w:spacing w:after="0" w:line="217"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$61 million in the first quarter of 2017, compared to $79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2016. COGS decreased principally due to a decrease in royalties since the Company's obligation to pay Genentech based on U.S. sales of EYLEA ended in May 2016, partly offset by an increase in various start-up costs in connection with the Company's Limerick, Ireland commercial manufacturing facility.</w:t>
      </w:r>
    </w:p>
    <w:p>
      <w:pPr>
        <w:spacing w:after="0" w:line="216" w:lineRule="exact"/>
        <w:rPr>
          <w:sz w:val="20"/>
          <w:szCs w:val="20"/>
          <w:color w:val="auto"/>
        </w:rPr>
      </w:pPr>
    </w:p>
    <w:p>
      <w:pPr>
        <w:ind w:right="140"/>
        <w:spacing w:after="0" w:line="276" w:lineRule="auto"/>
        <w:rPr>
          <w:sz w:val="20"/>
          <w:szCs w:val="20"/>
          <w:color w:val="auto"/>
        </w:rPr>
      </w:pPr>
      <w:r>
        <w:rPr>
          <w:rFonts w:ascii="Arial" w:cs="Arial" w:eastAsia="Arial" w:hAnsi="Arial"/>
          <w:sz w:val="21"/>
          <w:szCs w:val="21"/>
          <w:b w:val="1"/>
          <w:bCs w:val="1"/>
          <w:color w:val="auto"/>
        </w:rPr>
        <w:t xml:space="preserve">Cost of Collaboration and Contract Manufacturing (COCM): </w:t>
      </w:r>
      <w:r>
        <w:rPr>
          <w:rFonts w:ascii="Arial" w:cs="Arial" w:eastAsia="Arial" w:hAnsi="Arial"/>
          <w:sz w:val="21"/>
          <w:szCs w:val="21"/>
          <w:color w:val="auto"/>
        </w:rPr>
        <w:t>GAAP COCM was $23 million in the first quarter of</w:t>
      </w:r>
      <w:r>
        <w:rPr>
          <w:rFonts w:ascii="Arial" w:cs="Arial" w:eastAsia="Arial" w:hAnsi="Arial"/>
          <w:sz w:val="21"/>
          <w:szCs w:val="21"/>
          <w:b w:val="1"/>
          <w:bCs w:val="1"/>
          <w:color w:val="auto"/>
        </w:rPr>
        <w:t xml:space="preserve"> </w:t>
      </w:r>
      <w:r>
        <w:rPr>
          <w:rFonts w:ascii="Arial" w:cs="Arial" w:eastAsia="Arial" w:hAnsi="Arial"/>
          <w:sz w:val="21"/>
          <w:szCs w:val="21"/>
          <w:color w:val="auto"/>
        </w:rPr>
        <w:t>2017, compared to $33 million in the first quarter of 2016. COCM decreased primarily due to lower royalties since the Company's obligation to pay Genentech based on sales of EYLEA outside the United States also ended in May 2016.</w:t>
      </w:r>
    </w:p>
    <w:p>
      <w:pPr>
        <w:spacing w:after="0" w:line="193"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In the first quarter of 2017, GAAP income tax expense was $183 million and the effective tax</w:t>
      </w:r>
      <w:r>
        <w:rPr>
          <w:rFonts w:ascii="Arial" w:cs="Arial" w:eastAsia="Arial" w:hAnsi="Arial"/>
          <w:sz w:val="22"/>
          <w:szCs w:val="22"/>
          <w:b w:val="1"/>
          <w:bCs w:val="1"/>
          <w:color w:val="auto"/>
        </w:rPr>
        <w:t xml:space="preserve"> </w:t>
      </w:r>
      <w:r>
        <w:rPr>
          <w:rFonts w:ascii="Arial" w:cs="Arial" w:eastAsia="Arial" w:hAnsi="Arial"/>
          <w:sz w:val="22"/>
          <w:szCs w:val="22"/>
          <w:color w:val="auto"/>
        </w:rPr>
        <w:t>rate was 42.4%, compared to $149 million and 45.1% in the first quarter of 2016. The effective tax rate for the first quarter of 2017 was negatively impacted, compared to the U.S. federal statutory rate, by losses incurred in foreign jurisdictions with rates lower than the federal statutory rate and the non-tax deductible Branded Prescription Drug Fee, partly offset by the tax benefit associated with stock-based compensation, the domestic manufacturing deduction, and the federal tax credit for research activities.</w:t>
      </w:r>
    </w:p>
    <w:p>
      <w:pPr>
        <w:spacing w:after="0" w:line="221" w:lineRule="exact"/>
        <w:rPr>
          <w:sz w:val="20"/>
          <w:szCs w:val="20"/>
          <w:color w:val="auto"/>
        </w:rPr>
      </w:pPr>
    </w:p>
    <w:p>
      <w:pPr>
        <w:ind w:right="100"/>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reported GAAP net income of $249 million, or $2.36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$2.16 per diluted share, in the first quarter of 2017, compared to GAAP net income of $181 million, or $1.74 per basic share and $1.59 per diluted share, in the first quarter of 2016.</w:t>
      </w:r>
    </w:p>
    <w:p>
      <w:pPr>
        <w:spacing w:after="0" w:line="252"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The Company reported non-GAAP net income of $337 million, or $3.19 per basic share and $2.92 per diluted share, in the first quarter of 2017, compared to non-GAAP net income of $273 million, or $2.62 per basic share and $2.40 per diluted share, in the first quarter of 2016.</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34"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b w:val="1"/>
          <w:bCs w:val="1"/>
          <w:color w:val="auto"/>
        </w:rPr>
        <w:t xml:space="preserve">Tarrytown, New York Facilities Update: </w:t>
      </w:r>
      <w:r>
        <w:rPr>
          <w:rFonts w:ascii="Arial" w:cs="Arial" w:eastAsia="Arial" w:hAnsi="Arial"/>
          <w:sz w:val="22"/>
          <w:szCs w:val="22"/>
          <w:color w:val="auto"/>
        </w:rPr>
        <w:t>On March 3, 2017, the Company completed a new lease financing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Tarrytown, New York facilities (the Facility). As a result of this transaction, the Company leased the Facility from Banc of America Leasing &amp; Capital, LLC (BAL) for a term of five years. At the end of the lease term, the Company has an option to extend the term of the lease, purchase the Facility at a predetermined amount, or sell the Facility to a third party on behalf of BAL. The rent payments under this lease are expected to be lower than those under the Company’s previous leases for its corporate headquarters.</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20"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2017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2017 financial guidance consists of the following components:</w:t>
      </w:r>
    </w:p>
    <w:p>
      <w:pPr>
        <w:spacing w:after="0" w:line="112" w:lineRule="exact"/>
        <w:rPr>
          <w:sz w:val="20"/>
          <w:szCs w:val="20"/>
          <w:color w:val="auto"/>
        </w:rPr>
      </w:pPr>
    </w:p>
    <w:tbl>
      <w:tblPr>
        <w:tblLayout w:type="fixed"/>
        <w:tblInd w:w="550" w:type="dxa"/>
        <w:tblCellMar>
          <w:top w:w="0" w:type="dxa"/>
          <w:left w:w="0" w:type="dxa"/>
          <w:bottom w:w="0" w:type="dxa"/>
          <w:right w:w="0" w:type="dxa"/>
        </w:tblCellMar>
      </w:tblPr>
      <w:tr>
        <w:trPr>
          <w:trHeight w:val="302"/>
        </w:trPr>
        <w:tc>
          <w:tcPr>
            <w:tcW w:w="490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548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 xml:space="preserve">Single digit percentage growth over 2016 </w:t>
            </w:r>
            <w:r>
              <w:rPr>
                <w:rFonts w:ascii="Arial" w:cs="Arial" w:eastAsia="Arial" w:hAnsi="Arial"/>
                <w:sz w:val="20"/>
                <w:szCs w:val="20"/>
                <w:i w:val="1"/>
                <w:iCs w:val="1"/>
                <w:color w:val="auto"/>
              </w:rPr>
              <w:t>(reaffirmed)</w:t>
            </w:r>
          </w:p>
        </w:tc>
      </w:tr>
      <w:tr>
        <w:trPr>
          <w:trHeight w:val="233"/>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Sanofi reimbursement of Regeneron commercialization-</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$385 million - $425 million</w:t>
            </w:r>
          </w:p>
        </w:tc>
      </w:tr>
      <w:tr>
        <w:trPr>
          <w:trHeight w:val="250"/>
        </w:trPr>
        <w:tc>
          <w:tcPr>
            <w:tcW w:w="49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related expenses</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$400 million - $450 million)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77"/>
        </w:trPr>
        <w:tc>
          <w:tcPr>
            <w:tcW w:w="4900" w:type="dxa"/>
            <w:vAlign w:val="bottom"/>
            <w:tcBorders>
              <w:left w:val="single" w:sz="8" w:color="auto"/>
              <w:bottom w:val="single" w:sz="8" w:color="auto"/>
              <w:right w:val="single" w:sz="8" w:color="auto"/>
            </w:tcBorders>
            <w:shd w:val="clear" w:color="auto" w:fill="CCEEFF"/>
          </w:tcPr>
          <w:p>
            <w:pPr>
              <w:ind w:left="40"/>
              <w:spacing w:after="0" w:line="27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(2)(4)</w:t>
            </w:r>
          </w:p>
        </w:tc>
        <w:tc>
          <w:tcPr>
            <w:tcW w:w="5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 xml:space="preserve">$950 million - $1.025 billion </w:t>
            </w:r>
            <w:r>
              <w:rPr>
                <w:rFonts w:ascii="Arial" w:cs="Arial" w:eastAsia="Arial" w:hAnsi="Arial"/>
                <w:sz w:val="20"/>
                <w:szCs w:val="20"/>
                <w:i w:val="1"/>
                <w:iCs w:val="1"/>
                <w:color w:val="auto"/>
              </w:rPr>
              <w:t>(reaffirmed)</w:t>
            </w:r>
          </w:p>
        </w:tc>
      </w:tr>
      <w:tr>
        <w:trPr>
          <w:trHeight w:val="233"/>
        </w:trPr>
        <w:tc>
          <w:tcPr>
            <w:tcW w:w="4900" w:type="dxa"/>
            <w:vAlign w:val="bottom"/>
            <w:tcBorders>
              <w:left w:val="single" w:sz="8" w:color="auto"/>
              <w:right w:val="single" w:sz="8" w:color="auto"/>
            </w:tcBorders>
          </w:tcPr>
          <w:p>
            <w:pPr>
              <w:ind w:left="40"/>
              <w:spacing w:after="0" w:line="233"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(2)(4)</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$1.140 billion - $1.200 billion</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$1.175 billion - $1.250 billion)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82"/>
        </w:trPr>
        <w:tc>
          <w:tcPr>
            <w:tcW w:w="4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Effective tax rate</w:t>
            </w: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 xml:space="preserve">32% - 38% </w:t>
            </w:r>
            <w:r>
              <w:rPr>
                <w:rFonts w:ascii="Arial" w:cs="Arial" w:eastAsia="Arial" w:hAnsi="Arial"/>
                <w:sz w:val="20"/>
                <w:szCs w:val="20"/>
                <w:i w:val="1"/>
                <w:iCs w:val="1"/>
                <w:color w:val="auto"/>
              </w:rPr>
              <w:t>(reaffirmed)</w:t>
            </w:r>
          </w:p>
        </w:tc>
      </w:tr>
      <w:tr>
        <w:trPr>
          <w:trHeight w:val="233"/>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Capital expenditures</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 million - $350 million</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$375 million - $450 million)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777"/>
        </w:trPr>
        <w:tc>
          <w:tcPr>
            <w:tcW w:w="4900" w:type="dxa"/>
            <w:vAlign w:val="bottom"/>
          </w:tcPr>
          <w:p>
            <w:pPr>
              <w:spacing w:after="0"/>
              <w:rPr>
                <w:sz w:val="24"/>
                <w:szCs w:val="24"/>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900"/>
          </w:cols>
          <w:pgMar w:left="240" w:top="363" w:right="759" w:bottom="1440" w:gutter="0" w:footer="0" w:header="0"/>
        </w:sectPr>
      </w:pPr>
    </w:p>
    <w:bookmarkStart w:id="10" w:name="page11"/>
    <w:bookmarkEnd w:id="10"/>
    <w:p>
      <w:pPr>
        <w:ind w:left="345" w:right="260" w:hanging="345"/>
        <w:spacing w:after="0" w:line="225"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83" w:lineRule="exact"/>
        <w:rPr>
          <w:rFonts w:ascii="Arial" w:cs="Arial" w:eastAsia="Arial" w:hAnsi="Arial"/>
          <w:sz w:val="22"/>
          <w:szCs w:val="22"/>
          <w:color w:val="auto"/>
          <w:vertAlign w:val="superscript"/>
        </w:rPr>
      </w:pPr>
    </w:p>
    <w:p>
      <w:pPr>
        <w:ind w:left="345" w:right="80" w:hanging="345"/>
        <w:spacing w:after="0" w:line="225"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8" w:lineRule="exact"/>
        <w:rPr>
          <w:rFonts w:ascii="Arial" w:cs="Arial" w:eastAsia="Arial" w:hAnsi="Arial"/>
          <w:sz w:val="22"/>
          <w:szCs w:val="22"/>
          <w:color w:val="auto"/>
          <w:vertAlign w:val="superscript"/>
        </w:rPr>
      </w:pPr>
    </w:p>
    <w:p>
      <w:pPr>
        <w:ind w:left="345" w:right="880" w:hanging="345"/>
        <w:spacing w:after="0" w:line="225"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t>The Company's 2017 financial guidance does not assume the completion of any significant business development transactions not completed as of the date of this press release and assumes that Praluent will remain on the market throughout 2017.</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2017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5"/>
          </w:cols>
          <w:pgMar w:left="275" w:top="55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81" w:lineRule="exact"/>
        <w:rPr>
          <w:sz w:val="20"/>
          <w:szCs w:val="20"/>
          <w:color w:val="auto"/>
        </w:rPr>
      </w:pPr>
    </w:p>
    <w:p>
      <w:pPr>
        <w:ind w:left="5"/>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680" w:type="dxa"/>
        <w:tblCellMar>
          <w:top w:w="0" w:type="dxa"/>
          <w:left w:w="0" w:type="dxa"/>
          <w:bottom w:w="0" w:type="dxa"/>
          <w:right w:w="0" w:type="dxa"/>
        </w:tblCellMar>
      </w:tblPr>
      <w:tr>
        <w:trPr>
          <w:trHeight w:val="27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8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0"/>
        </w:trPr>
        <w:tc>
          <w:tcPr>
            <w:tcW w:w="5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155"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 xml:space="preserve">Applicable GAAP amounts previously reported for the three months ended March 31, 2016 have been revised due to the adoption of Accounting Standards Update 2016-09 ("ASU 2016-09"), </w:t>
      </w:r>
      <w:r>
        <w:rPr>
          <w:rFonts w:ascii="Arial" w:cs="Arial" w:eastAsia="Arial" w:hAnsi="Arial"/>
          <w:sz w:val="20"/>
          <w:szCs w:val="20"/>
          <w:i w:val="1"/>
          <w:iCs w:val="1"/>
          <w:color w:val="auto"/>
        </w:rPr>
        <w:t>Compensation - Stock Compensation, Improvements to</w:t>
      </w:r>
      <w:r>
        <w:rPr>
          <w:rFonts w:ascii="Arial" w:cs="Arial" w:eastAsia="Arial" w:hAnsi="Arial"/>
          <w:sz w:val="20"/>
          <w:szCs w:val="20"/>
          <w:color w:val="auto"/>
        </w:rPr>
        <w:t xml:space="preserve"> </w:t>
      </w:r>
      <w:r>
        <w:rPr>
          <w:rFonts w:ascii="Arial" w:cs="Arial" w:eastAsia="Arial" w:hAnsi="Arial"/>
          <w:sz w:val="20"/>
          <w:szCs w:val="20"/>
          <w:i w:val="1"/>
          <w:iCs w:val="1"/>
          <w:color w:val="auto"/>
        </w:rPr>
        <w:t>Employee Share-Based Payment Accounting</w:t>
      </w:r>
      <w:r>
        <w:rPr>
          <w:rFonts w:ascii="Arial" w:cs="Arial" w:eastAsia="Arial" w:hAnsi="Arial"/>
          <w:sz w:val="20"/>
          <w:szCs w:val="20"/>
          <w:color w:val="auto"/>
        </w:rPr>
        <w:t>, during the second quarter of 2016. The Company revised its GAAP net income</w:t>
      </w:r>
      <w:r>
        <w:rPr>
          <w:rFonts w:ascii="Arial" w:cs="Arial" w:eastAsia="Arial" w:hAnsi="Arial"/>
          <w:sz w:val="20"/>
          <w:szCs w:val="20"/>
          <w:i w:val="1"/>
          <w:iCs w:val="1"/>
          <w:color w:val="auto"/>
        </w:rPr>
        <w:t xml:space="preserve"> </w:t>
      </w:r>
      <w:r>
        <w:rPr>
          <w:rFonts w:ascii="Arial" w:cs="Arial" w:eastAsia="Arial" w:hAnsi="Arial"/>
          <w:sz w:val="20"/>
          <w:szCs w:val="20"/>
          <w:color w:val="auto"/>
        </w:rPr>
        <w:t>from the amounts originally reported for the quarterly period ended March 31, 2016 to include a $ 15.6 million income tax benefit, which was originally recorded as additional paid-in capital. In addition, refer to Table 3 for a description of revisions to non-GAAP measures previously reported for the three months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83820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5" w:space="220"/>
            <w:col w:w="10980"/>
          </w:cols>
          <w:pgMar w:left="275" w:top="555" w:right="27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45"/>
          </w:cols>
          <w:pgMar w:left="275" w:top="555" w:right="2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first quarter 2017 financial and operating results on Thursday, May 4, 2017, at 8:30 AM. To access this call, dial (888) 771-4371 (U.S.) or (847) 585-4405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that discovers, invents, develops, manufactures, and commercializes medicines for the treatment of serious medical conditions. Regeneron commercializes medicines for eye diseases, high LDL cholesterol, atopic dermatitis, and a rare inflammatory condition and has product candidates in development in other areas of high unmet medical need, including rheumatoid arthritis, asthma, pain, cancer, and infectious diseases.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 xml:space="preserve"> or follow @Regeneron on Twitter.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risks associated with intellectual property of other parties and pending or future litigation relating thereto, including without limitation the patent litigation relating to 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(alirocumab) Injection, the permanent injunction granted by the United States District Court for the District of Delaware that, if upheld on appeal, would prohibit Regeneron and Sanofi from marketing, selling, or commercially manufacturing Praluent in the United States, the outcome of any appeals regarding such injunction, the ultimate outcome of such litigation, and the impact any of the foregoing may have on Regeneron’s business, prospects, operating results, and financial condition;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Injection, Praluent,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Injection, fasinumab, REGN2810, suptavumab, nesvacumab, REGN2477, evinacumab, and REGN3500; ongoing regulatory obligations and oversight impacting Regeneron's marketed products (such as EYLEA, Dupixent, and Praluent), research and clinical programs, and business, including those relating to patient privacy; determinations by regulatory and administrative governmental authorities which may delay or restrict Regeneron's ability to continue to develop or commercialize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2" w:name="page13"/>
    <w:bookmarkEnd w:id="12"/>
    <w:p>
      <w:pPr>
        <w:spacing w:after="0" w:line="243" w:lineRule="auto"/>
        <w:rPr>
          <w:sz w:val="20"/>
          <w:szCs w:val="20"/>
          <w:color w:val="auto"/>
        </w:rPr>
      </w:pPr>
      <w:r>
        <w:rPr>
          <w:rFonts w:ascii="Arial" w:cs="Arial" w:eastAsia="Arial" w:hAnsi="Arial"/>
          <w:sz w:val="22"/>
          <w:szCs w:val="22"/>
          <w:color w:val="auto"/>
        </w:rPr>
        <w:t>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Sanofi reimbursement of Regeneron commercialization-related expenses, non-GAAP unreimbursed R&amp;D, non-GAAP SG&amp;A, effective tax rate, and capital expenditures; and the potential for any license or collaboration agreement, including Regeneron's agreements with Sanofi, Bayer, and Teva Pharmaceutical Industries Ltd. (or their respective affiliated companies, as applicable), to be cancelled or terminated without any further product success. A more complete description of these and other material risks can be found in Regeneron's filings with the U.S. Securities and Exchange Commission, including its Form 10-K for the fiscal year ended December 31, 2016 and its Form 10-Q for the quarterly period ended March 31, 2017.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67"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w:t>
      </w:r>
      <w:r>
        <w:rPr>
          <w:rFonts w:ascii="Arial" w:cs="Arial" w:eastAsia="Arial" w:hAnsi="Arial"/>
          <w:sz w:val="22"/>
          <w:szCs w:val="22"/>
          <w:u w:val="single" w:color="auto"/>
          <w:color w:val="0000FF"/>
        </w:rPr>
        <w:t>http://newsroom.regeneron.com</w:t>
      </w:r>
      <w:r>
        <w:rPr>
          <w:rFonts w:ascii="Arial" w:cs="Arial" w:eastAsia="Arial" w:hAnsi="Arial"/>
          <w:sz w:val="22"/>
          <w:szCs w:val="22"/>
          <w:color w:val="auto"/>
        </w:rPr>
        <w:t>) and its Twitter feed (</w:t>
      </w:r>
      <w:r>
        <w:rPr>
          <w:rFonts w:ascii="Arial" w:cs="Arial" w:eastAsia="Arial" w:hAnsi="Arial"/>
          <w:sz w:val="22"/>
          <w:szCs w:val="22"/>
          <w:u w:val="single" w:color="auto"/>
          <w:color w:val="0000FF"/>
        </w:rPr>
        <w:t>http://twitter.com/regeneron</w:t>
      </w:r>
      <w:r>
        <w:rPr>
          <w:rFonts w:ascii="Arial" w:cs="Arial" w:eastAsia="Arial" w:hAnsi="Arial"/>
          <w:sz w:val="22"/>
          <w:szCs w:val="22"/>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400"/>
          </w:cols>
          <w:pgMar w:left="240" w:top="390" w:right="25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400"/>
          </w:cols>
          <w:pgMar w:left="240" w:top="39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400"/>
          </w:cols>
          <w:pgMar w:left="240" w:top="39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400"/>
          </w:cols>
          <w:pgMar w:left="240" w:top="390" w:right="25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400"/>
          </w:cols>
          <w:pgMar w:left="240" w:top="390" w:right="259" w:bottom="1440" w:gutter="0" w:footer="0" w:header="0"/>
          <w:type w:val="continuous"/>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390" w:right="25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360" w:type="dxa"/>
            <w:vAlign w:val="bottom"/>
            <w:gridSpan w:val="3"/>
          </w:tcPr>
          <w:p>
            <w:pPr>
              <w:spacing w:after="0"/>
              <w:rPr>
                <w:sz w:val="20"/>
                <w:szCs w:val="20"/>
                <w:color w:val="auto"/>
              </w:rPr>
            </w:pPr>
            <w:r>
              <w:rPr>
                <w:rFonts w:ascii="Arial" w:cs="Arial" w:eastAsia="Arial" w:hAnsi="Arial"/>
                <w:sz w:val="18"/>
                <w:szCs w:val="18"/>
                <w:color w:val="auto"/>
              </w:rPr>
              <w:t>TABLE 1</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832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rPr>
              <w:t>REGENERON PHARMACEUTICALS, INC.</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32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320" w:type="dxa"/>
            <w:vAlign w:val="bottom"/>
            <w:gridSpan w:val="2"/>
          </w:tcPr>
          <w:p>
            <w:pPr>
              <w:jc w:val="center"/>
              <w:ind w:left="2930"/>
              <w:spacing w:after="0"/>
              <w:rPr>
                <w:sz w:val="20"/>
                <w:szCs w:val="20"/>
                <w:color w:val="auto"/>
              </w:rPr>
            </w:pPr>
            <w:r>
              <w:rPr>
                <w:rFonts w:ascii="Arial" w:cs="Arial" w:eastAsia="Arial" w:hAnsi="Arial"/>
                <w:sz w:val="18"/>
                <w:szCs w:val="18"/>
                <w:b w:val="1"/>
                <w:bCs w:val="1"/>
                <w:i w:val="1"/>
                <w:iCs w:val="1"/>
                <w:color w:val="auto"/>
                <w:w w:val="88"/>
              </w:rPr>
              <w:t>(In thousands)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Cash and marketable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2,274,779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1,902,944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1,339,794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1,343,368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Accounts receivable from Sanofi and Bayer</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409,754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268,252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399,356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866,291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825,303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2,083,421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183,142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150,822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7,817,365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6,973,466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1,168,901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980,659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1,074,836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1,062,436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Capital and facility lease obligations</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707,607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481,126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4,866,021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4,449,245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30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7,817,365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6,973,466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center"/>
              <w:ind w:left="2990"/>
              <w:spacing w:after="0"/>
              <w:rPr>
                <w:sz w:val="20"/>
                <w:szCs w:val="20"/>
                <w:color w:val="auto"/>
              </w:rPr>
            </w:pPr>
            <w:r>
              <w:rPr>
                <w:rFonts w:ascii="Arial" w:cs="Arial" w:eastAsia="Arial" w:hAnsi="Arial"/>
                <w:sz w:val="18"/>
                <w:szCs w:val="18"/>
                <w:color w:val="auto"/>
                <w:w w:val="89"/>
              </w:rPr>
              <w:t>10</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8" w:right="2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30"/>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0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180" w:type="dxa"/>
            <w:vAlign w:val="bottom"/>
          </w:tcPr>
          <w:p>
            <w:pPr>
              <w:spacing w:after="0"/>
              <w:rPr>
                <w:sz w:val="19"/>
                <w:szCs w:val="19"/>
                <w:color w:val="auto"/>
              </w:rPr>
            </w:pPr>
          </w:p>
        </w:tc>
        <w:tc>
          <w:tcPr>
            <w:tcW w:w="874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000" w:type="dxa"/>
            <w:vAlign w:val="bottom"/>
            <w:gridSpan w:val="2"/>
          </w:tcPr>
          <w:p>
            <w:pPr>
              <w:jc w:val="center"/>
              <w:ind w:right="140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76"/>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180" w:type="dxa"/>
            <w:vAlign w:val="bottom"/>
          </w:tcPr>
          <w:p>
            <w:pPr>
              <w:spacing w:after="0"/>
              <w:rPr>
                <w:sz w:val="22"/>
                <w:szCs w:val="22"/>
                <w:color w:val="auto"/>
              </w:rPr>
            </w:pPr>
          </w:p>
        </w:tc>
        <w:tc>
          <w:tcPr>
            <w:tcW w:w="374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line="264" w:lineRule="exact"/>
              <w:rPr>
                <w:sz w:val="20"/>
                <w:szCs w:val="20"/>
                <w:color w:val="auto"/>
              </w:rPr>
            </w:pPr>
            <w:r>
              <w:rPr>
                <w:rFonts w:ascii="Arial" w:cs="Arial" w:eastAsia="Arial" w:hAnsi="Arial"/>
                <w:sz w:val="18"/>
                <w:szCs w:val="18"/>
                <w:b w:val="1"/>
                <w:bCs w:val="1"/>
                <w:color w:val="auto"/>
                <w:w w:val="98"/>
              </w:rPr>
              <w:t>2016</w:t>
            </w:r>
            <w:r>
              <w:rPr>
                <w:rFonts w:ascii="Arial" w:cs="Arial" w:eastAsia="Arial" w:hAnsi="Arial"/>
                <w:sz w:val="25"/>
                <w:szCs w:val="25"/>
                <w:b w:val="1"/>
                <w:bCs w:val="1"/>
                <w:color w:val="auto"/>
                <w:w w:val="98"/>
                <w:vertAlign w:val="superscript"/>
              </w:rPr>
              <w:t>*</w:t>
            </w:r>
          </w:p>
        </w:tc>
      </w:tr>
      <w:tr>
        <w:trPr>
          <w:trHeight w:val="244"/>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5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858,245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784,182</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Sanofi collaboration revenue</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219,694</w:t>
            </w: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Bayer collaboration revenue</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193,939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179,592</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4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17,381</w:t>
            </w:r>
          </w:p>
        </w:tc>
      </w:tr>
      <w:tr>
        <w:trPr>
          <w:trHeight w:val="237"/>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1,318,991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1,200,849</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507,435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470,112</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289,677</w:t>
            </w: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61,253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78,942</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Cost of collaboration and contract manufacturing</w:t>
            </w:r>
          </w:p>
        </w:tc>
        <w:tc>
          <w:tcPr>
            <w:tcW w:w="4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32,810</w:t>
            </w:r>
          </w:p>
        </w:tc>
      </w:tr>
      <w:tr>
        <w:trPr>
          <w:trHeight w:val="237"/>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888,449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871,541</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430,542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329,308</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843</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432,289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330,151</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(183,358)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(148,766)</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04"/>
        </w:trPr>
        <w:tc>
          <w:tcPr>
            <w:tcW w:w="18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248,931</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181,385</w:t>
            </w:r>
          </w:p>
        </w:tc>
      </w:tr>
      <w:tr>
        <w:trPr>
          <w:trHeight w:val="311"/>
        </w:trPr>
        <w:tc>
          <w:tcPr>
            <w:tcW w:w="180" w:type="dxa"/>
            <w:vAlign w:val="bottom"/>
          </w:tcPr>
          <w:p>
            <w:pPr>
              <w:spacing w:after="0"/>
              <w:rPr>
                <w:sz w:val="24"/>
                <w:szCs w:val="24"/>
                <w:color w:val="auto"/>
              </w:rPr>
            </w:pPr>
          </w:p>
        </w:tc>
        <w:tc>
          <w:tcPr>
            <w:tcW w:w="3740" w:type="dxa"/>
            <w:vAlign w:val="bottom"/>
            <w:tcBorders>
              <w:top w:val="single" w:sz="8" w:color="CCEEFF"/>
            </w:tcBorders>
            <w:shd w:val="clear" w:color="auto" w:fill="CCEEFF"/>
          </w:tcPr>
          <w:p>
            <w:pPr>
              <w:spacing w:after="0"/>
              <w:rPr>
                <w:sz w:val="24"/>
                <w:szCs w:val="24"/>
                <w:color w:val="auto"/>
              </w:rPr>
            </w:pPr>
          </w:p>
        </w:tc>
        <w:tc>
          <w:tcPr>
            <w:tcW w:w="456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5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1.74</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5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r>
      <w:tr>
        <w:trPr>
          <w:trHeight w:val="324"/>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104,290</w:t>
            </w: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9"/>
              </w:rPr>
              <w:t>Weighted average shares outstanding - diluted</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115,106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114,228</w:t>
            </w:r>
          </w:p>
        </w:tc>
      </w:tr>
    </w:tbl>
    <w:p>
      <w:pPr>
        <w:spacing w:after="0" w:line="206" w:lineRule="exact"/>
        <w:rPr>
          <w:sz w:val="20"/>
          <w:szCs w:val="20"/>
          <w:color w:val="auto"/>
        </w:rPr>
      </w:pPr>
    </w:p>
    <w:p>
      <w:pPr>
        <w:ind w:left="300" w:hanging="130"/>
        <w:spacing w:after="0"/>
        <w:tabs>
          <w:tab w:leader="none" w:pos="30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previously reported amounts for the three months ended March 31, 2016. See note (6) above.</w:t>
      </w:r>
    </w:p>
    <w:p>
      <w:pPr>
        <w:spacing w:after="0" w:line="200" w:lineRule="exact"/>
        <w:rPr>
          <w:rFonts w:ascii="Arial" w:cs="Arial" w:eastAsia="Arial" w:hAnsi="Arial"/>
          <w:sz w:val="16"/>
          <w:szCs w:val="16"/>
          <w:i w:val="1"/>
          <w:iCs w:val="1"/>
          <w:color w:val="auto"/>
        </w:rPr>
      </w:pPr>
    </w:p>
    <w:p>
      <w:pPr>
        <w:spacing w:after="0" w:line="259" w:lineRule="exact"/>
        <w:rPr>
          <w:rFonts w:ascii="Arial" w:cs="Arial" w:eastAsia="Arial" w:hAnsi="Arial"/>
          <w:sz w:val="16"/>
          <w:szCs w:val="16"/>
          <w:i w:val="1"/>
          <w:iCs w:val="1"/>
          <w:color w:val="auto"/>
        </w:rPr>
      </w:pPr>
    </w:p>
    <w:p>
      <w:pPr>
        <w:ind w:left="5620"/>
        <w:spacing w:after="0"/>
        <w:rPr>
          <w:rFonts w:ascii="Arial" w:cs="Arial" w:eastAsia="Arial" w:hAnsi="Arial"/>
          <w:sz w:val="16"/>
          <w:szCs w:val="16"/>
          <w:i w:val="1"/>
          <w:iCs w:val="1"/>
          <w:color w:val="auto"/>
        </w:rPr>
      </w:pPr>
      <w:r>
        <w:rPr>
          <w:rFonts w:ascii="Arial" w:cs="Arial" w:eastAsia="Arial" w:hAnsi="Arial"/>
          <w:sz w:val="18"/>
          <w:szCs w:val="18"/>
          <w:color w:val="auto"/>
        </w:rPr>
        <w:t>11</w:t>
      </w:r>
    </w:p>
    <w:p>
      <w:pPr>
        <w:sectPr>
          <w:pgSz w:w="11900" w:h="16838" w:orient="portrait"/>
          <w:cols w:equalWidth="0" w:num="1">
            <w:col w:w="11260"/>
          </w:cols>
          <w:pgMar w:left="240" w:top="368" w:right="3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630"/>
        </w:trPr>
        <w:tc>
          <w:tcPr>
            <w:tcW w:w="160" w:type="dxa"/>
            <w:vAlign w:val="bottom"/>
          </w:tcPr>
          <w:p>
            <w:pPr>
              <w:spacing w:after="0"/>
              <w:rPr>
                <w:sz w:val="24"/>
                <w:szCs w:val="24"/>
                <w:color w:val="auto"/>
              </w:rPr>
            </w:pPr>
          </w:p>
        </w:tc>
        <w:tc>
          <w:tcPr>
            <w:tcW w:w="8120" w:type="dxa"/>
            <w:vAlign w:val="bottom"/>
          </w:tcPr>
          <w:p>
            <w:pPr>
              <w:jc w:val="center"/>
              <w:ind w:left="289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160" w:type="dxa"/>
            <w:vAlign w:val="bottom"/>
          </w:tcPr>
          <w:p>
            <w:pPr>
              <w:spacing w:after="0"/>
              <w:rPr>
                <w:sz w:val="19"/>
                <w:szCs w:val="19"/>
                <w:color w:val="auto"/>
              </w:rPr>
            </w:pPr>
          </w:p>
        </w:tc>
        <w:tc>
          <w:tcPr>
            <w:tcW w:w="9660" w:type="dxa"/>
            <w:vAlign w:val="bottom"/>
            <w:gridSpan w:val="4"/>
          </w:tcPr>
          <w:p>
            <w:pPr>
              <w:jc w:val="center"/>
              <w:ind w:left="137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60" w:type="dxa"/>
            <w:vAlign w:val="bottom"/>
          </w:tcPr>
          <w:p>
            <w:pPr>
              <w:spacing w:after="0"/>
              <w:rPr>
                <w:sz w:val="20"/>
                <w:szCs w:val="20"/>
                <w:color w:val="auto"/>
              </w:rPr>
            </w:pPr>
          </w:p>
        </w:tc>
        <w:tc>
          <w:tcPr>
            <w:tcW w:w="8120" w:type="dxa"/>
            <w:vAlign w:val="bottom"/>
          </w:tcPr>
          <w:p>
            <w:pPr>
              <w:jc w:val="center"/>
              <w:ind w:left="291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76"/>
        </w:trPr>
        <w:tc>
          <w:tcPr>
            <w:tcW w:w="1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160" w:type="dxa"/>
            <w:vAlign w:val="bottom"/>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8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net income </w:t>
            </w:r>
            <w:r>
              <w:rPr>
                <w:rFonts w:ascii="Arial" w:cs="Arial" w:eastAsia="Arial" w:hAnsi="Arial"/>
                <w:sz w:val="25"/>
                <w:szCs w:val="25"/>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248,931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181,385</w:t>
            </w:r>
          </w:p>
        </w:tc>
      </w:tr>
      <w:tr>
        <w:trPr>
          <w:trHeight w:val="243"/>
        </w:trPr>
        <w:tc>
          <w:tcPr>
            <w:tcW w:w="16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78,102</w:t>
            </w:r>
          </w:p>
        </w:tc>
      </w:tr>
      <w:tr>
        <w:trPr>
          <w:trHeight w:val="243"/>
        </w:trPr>
        <w:tc>
          <w:tcPr>
            <w:tcW w:w="160" w:type="dxa"/>
            <w:vAlign w:val="bottom"/>
          </w:tcPr>
          <w:p>
            <w:pPr>
              <w:spacing w:after="0"/>
              <w:rPr>
                <w:sz w:val="21"/>
                <w:szCs w:val="21"/>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53,812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60,082</w:t>
            </w: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COGS and COCM: Non-cash share-based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4,066</w:t>
            </w:r>
          </w:p>
        </w:tc>
      </w:tr>
      <w:tr>
        <w:trPr>
          <w:trHeight w:val="270"/>
        </w:trPr>
        <w:tc>
          <w:tcPr>
            <w:tcW w:w="160" w:type="dxa"/>
            <w:vAlign w:val="bottom"/>
          </w:tcPr>
          <w:p>
            <w:pPr>
              <w:spacing w:after="0"/>
              <w:rPr>
                <w:sz w:val="23"/>
                <w:szCs w:val="23"/>
                <w:color w:val="auto"/>
              </w:rPr>
            </w:pPr>
          </w:p>
        </w:tc>
        <w:tc>
          <w:tcPr>
            <w:tcW w:w="812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 xml:space="preserve">Income tax effect of reconciling items above </w:t>
            </w:r>
            <w:r>
              <w:rPr>
                <w:rFonts w:ascii="Arial" w:cs="Arial" w:eastAsia="Arial" w:hAnsi="Arial"/>
                <w:sz w:val="25"/>
                <w:szCs w:val="25"/>
                <w:color w:val="auto"/>
                <w:vertAlign w:val="superscript"/>
              </w:rPr>
              <w:t>(b)</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(46,179)</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(50,699)</w:t>
            </w:r>
          </w:p>
        </w:tc>
      </w:tr>
      <w:tr>
        <w:trPr>
          <w:trHeight w:val="264"/>
        </w:trPr>
        <w:tc>
          <w:tcPr>
            <w:tcW w:w="160" w:type="dxa"/>
            <w:vAlign w:val="bottom"/>
          </w:tcPr>
          <w:p>
            <w:pPr>
              <w:spacing w:after="0"/>
              <w:rPr>
                <w:sz w:val="22"/>
                <w:szCs w:val="22"/>
                <w:color w:val="auto"/>
              </w:rPr>
            </w:pPr>
          </w:p>
        </w:tc>
        <w:tc>
          <w:tcPr>
            <w:tcW w:w="8120" w:type="dxa"/>
            <w:vAlign w:val="bottom"/>
            <w:tcBorders>
              <w:bottom w:val="single" w:sz="8" w:color="CCEEFF"/>
            </w:tcBorders>
            <w:shd w:val="clear" w:color="auto" w:fill="CCEEFF"/>
          </w:tcPr>
          <w:p>
            <w:pPr>
              <w:ind w:left="260"/>
              <w:spacing w:after="0" w:line="264" w:lineRule="exact"/>
              <w:rPr>
                <w:sz w:val="20"/>
                <w:szCs w:val="20"/>
                <w:color w:val="auto"/>
              </w:rPr>
            </w:pPr>
            <w:r>
              <w:rPr>
                <w:rFonts w:ascii="Arial" w:cs="Arial" w:eastAsia="Arial" w:hAnsi="Arial"/>
                <w:sz w:val="18"/>
                <w:szCs w:val="18"/>
                <w:color w:val="auto"/>
              </w:rPr>
              <w:t xml:space="preserve">Non-GAAP net income </w:t>
            </w:r>
            <w:r>
              <w:rPr>
                <w:rFonts w:ascii="Arial" w:cs="Arial" w:eastAsia="Arial" w:hAnsi="Arial"/>
                <w:sz w:val="25"/>
                <w:szCs w:val="25"/>
                <w:color w:val="auto"/>
                <w:vertAlign w:val="superscript"/>
              </w:rPr>
              <w:t>(b)</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336,541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272,936</w:t>
            </w:r>
          </w:p>
        </w:tc>
      </w:tr>
      <w:tr>
        <w:trPr>
          <w:trHeight w:val="20"/>
        </w:trPr>
        <w:tc>
          <w:tcPr>
            <w:tcW w:w="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5"/>
        </w:trPr>
        <w:tc>
          <w:tcPr>
            <w:tcW w:w="1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r>
      <w:tr>
        <w:trPr>
          <w:trHeight w:val="243"/>
        </w:trPr>
        <w:tc>
          <w:tcPr>
            <w:tcW w:w="16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2.40</w:t>
            </w: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8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16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104,290</w:t>
            </w:r>
          </w:p>
        </w:tc>
      </w:tr>
      <w:tr>
        <w:trPr>
          <w:trHeight w:val="243"/>
        </w:trPr>
        <w:tc>
          <w:tcPr>
            <w:tcW w:w="16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115,178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113,859</w:t>
            </w:r>
          </w:p>
        </w:tc>
      </w:tr>
    </w:tbl>
    <w:p>
      <w:pPr>
        <w:spacing w:after="0" w:line="175" w:lineRule="exact"/>
        <w:rPr>
          <w:sz w:val="20"/>
          <w:szCs w:val="20"/>
          <w:color w:val="auto"/>
        </w:rPr>
      </w:pPr>
    </w:p>
    <w:p>
      <w:pPr>
        <w:ind w:left="620" w:hanging="436"/>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8"/>
          <w:szCs w:val="18"/>
          <w:color w:val="auto"/>
        </w:rPr>
        <w:t>Certain revisions have been made to the previously reported amount for the three months ended March 31, 2016. See note (6) above.</w:t>
      </w:r>
    </w:p>
    <w:p>
      <w:pPr>
        <w:spacing w:after="0" w:line="63" w:lineRule="exact"/>
        <w:rPr>
          <w:rFonts w:ascii="Arial" w:cs="Arial" w:eastAsia="Arial" w:hAnsi="Arial"/>
          <w:sz w:val="13"/>
          <w:szCs w:val="13"/>
          <w:color w:val="auto"/>
        </w:rPr>
      </w:pPr>
    </w:p>
    <w:p>
      <w:pPr>
        <w:ind w:left="620" w:right="40" w:hanging="436"/>
        <w:spacing w:after="0" w:line="291" w:lineRule="auto"/>
        <w:tabs>
          <w:tab w:leader="none" w:pos="620" w:val="left"/>
        </w:tabs>
        <w:numPr>
          <w:ilvl w:val="0"/>
          <w:numId w:val="11"/>
        </w:numPr>
        <w:rPr>
          <w:rFonts w:ascii="Arial" w:cs="Arial" w:eastAsia="Arial" w:hAnsi="Arial"/>
          <w:sz w:val="11"/>
          <w:szCs w:val="11"/>
          <w:color w:val="auto"/>
        </w:rPr>
      </w:pPr>
      <w:r>
        <w:rPr>
          <w:rFonts w:ascii="Arial" w:cs="Arial" w:eastAsia="Arial" w:hAnsi="Arial"/>
          <w:sz w:val="16"/>
          <w:szCs w:val="16"/>
          <w:color w:val="auto"/>
        </w:rPr>
        <w:t>Prior to the quarter ended June 30, 2016, non-GAAP measures presented by the Company also included an income tax expense adjustment from GAAP tax expense to the amount of taxes that were paid or payable in cash in respect of the relevant period. Historically, there had been a significant difference between the Company's GAAP effective tax rate and actual cash income taxes paid or payable primarily due to the utilization of excess tax benefits in connection with employee exercises of stock options (which were recorded to additional paid-in capital for GAAP reporting purposes). In connection with the adoption of ASU 2016-09 (see note (6) above) during the second quarter of 2016, the Company chose to discontinue such non-GAAP adjustment as ASU 2016-09 requires entities to recognize excess tax benefits in connection with employee exercises of stock options in the income statement. A reconciliation to the previously reported non-GAAP net income is presented below:</w:t>
      </w:r>
    </w:p>
    <w:p>
      <w:pPr>
        <w:spacing w:after="0" w:line="136"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 2016</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 as revised (see above)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272,936</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Income tax benefit related to the adoption of ASU 2016-</w:t>
            </w: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09 (see note 6 above)</w:t>
            </w:r>
          </w:p>
        </w:tc>
        <w:tc>
          <w:tcPr>
            <w:tcW w:w="2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(15,649)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effect of reconciling items (see above)</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50,699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Non-cash income taxes (as previously reported)</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(15,271)</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 as previously reported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292,715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400" w:right="2200"/>
        <w:spacing w:after="0" w:line="277" w:lineRule="auto"/>
        <w:rPr>
          <w:sz w:val="20"/>
          <w:szCs w:val="20"/>
          <w:color w:val="auto"/>
        </w:rPr>
      </w:pPr>
      <w:r>
        <w:rPr>
          <w:rFonts w:ascii="Arial" w:cs="Arial" w:eastAsia="Arial" w:hAnsi="Arial"/>
          <w:sz w:val="18"/>
          <w:szCs w:val="18"/>
          <w:i w:val="1"/>
          <w:iCs w:val="1"/>
          <w:color w:val="auto"/>
        </w:rPr>
        <w:t>Note: As a result of the above revisions to non-GAAP net income, non-GAAP net income per share (basic and diluted) has also been revised accordingly.</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368"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TABLE 4</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4"/>
        </w:trPr>
        <w:tc>
          <w:tcPr>
            <w:tcW w:w="8240" w:type="dxa"/>
            <w:vAlign w:val="bottom"/>
          </w:tcPr>
          <w:p>
            <w:pPr>
              <w:jc w:val="center"/>
              <w:ind w:left="3090"/>
              <w:spacing w:after="0"/>
              <w:rPr>
                <w:sz w:val="20"/>
                <w:szCs w:val="20"/>
                <w:color w:val="auto"/>
              </w:rPr>
            </w:pPr>
            <w:r>
              <w:rPr>
                <w:rFonts w:ascii="Arial" w:cs="Arial" w:eastAsia="Arial" w:hAnsi="Arial"/>
                <w:sz w:val="18"/>
                <w:szCs w:val="18"/>
                <w:b w:val="1"/>
                <w:bCs w:val="1"/>
                <w:color w:val="auto"/>
              </w:rPr>
              <w:t>REGENERON PHARMACEUTICALS,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0"/>
        </w:trPr>
        <w:tc>
          <w:tcPr>
            <w:tcW w:w="8240" w:type="dxa"/>
            <w:vAlign w:val="bottom"/>
          </w:tcPr>
          <w:p>
            <w:pPr>
              <w:jc w:val="center"/>
              <w:ind w:left="3090"/>
              <w:spacing w:after="0"/>
              <w:rPr>
                <w:sz w:val="20"/>
                <w:szCs w:val="20"/>
                <w:color w:val="auto"/>
              </w:rPr>
            </w:pPr>
            <w:r>
              <w:rPr>
                <w:rFonts w:ascii="Arial" w:cs="Arial" w:eastAsia="Arial" w:hAnsi="Arial"/>
                <w:sz w:val="18"/>
                <w:szCs w:val="18"/>
                <w:b w:val="1"/>
                <w:bCs w:val="1"/>
                <w:color w:val="auto"/>
                <w:w w:val="98"/>
              </w:rPr>
              <w:t>COLLABORATION REVENUE (Unaudited)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240" w:type="dxa"/>
            <w:vAlign w:val="bottom"/>
          </w:tcPr>
          <w:p>
            <w:pPr>
              <w:jc w:val="center"/>
              <w:ind w:left="3090"/>
              <w:spacing w:after="0"/>
              <w:rPr>
                <w:sz w:val="20"/>
                <w:szCs w:val="20"/>
                <w:color w:val="auto"/>
              </w:rPr>
            </w:pPr>
            <w:r>
              <w:rPr>
                <w:rFonts w:ascii="Arial" w:cs="Arial" w:eastAsia="Arial" w:hAnsi="Arial"/>
                <w:sz w:val="18"/>
                <w:szCs w:val="18"/>
                <w:b w:val="1"/>
                <w:bCs w:val="1"/>
                <w:i w:val="1"/>
                <w:iCs w:val="1"/>
                <w:color w:val="auto"/>
                <w:w w:val="8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76"/>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 development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213,924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222,877</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Reimbursement of Regeneron commercialization-related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68,722</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 commercialization of antibodies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(108,402)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(99,422)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31,286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27,517</w:t>
            </w:r>
          </w:p>
        </w:tc>
      </w:tr>
      <w:tr>
        <w:trPr>
          <w:trHeight w:val="237"/>
        </w:trPr>
        <w:tc>
          <w:tcPr>
            <w:tcW w:w="824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210,367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219,694</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Bayer collaboration revenue: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Regeneron's net profit in connection with commercialization of EYLEA outside the 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174,876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145,835</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Cost-sharing of Regeneron development expenses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4,639</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29,118</w:t>
            </w:r>
          </w:p>
        </w:tc>
      </w:tr>
      <w:tr>
        <w:trPr>
          <w:trHeight w:val="237"/>
        </w:trPr>
        <w:tc>
          <w:tcPr>
            <w:tcW w:w="8240" w:type="dxa"/>
            <w:vAlign w:val="bottom"/>
          </w:tcPr>
          <w:p>
            <w:pPr>
              <w:ind w:left="280"/>
              <w:spacing w:after="0"/>
              <w:rPr>
                <w:sz w:val="20"/>
                <w:szCs w:val="20"/>
                <w:color w:val="auto"/>
              </w:rPr>
            </w:pPr>
            <w:r>
              <w:rPr>
                <w:rFonts w:ascii="Arial" w:cs="Arial" w:eastAsia="Arial" w:hAnsi="Arial"/>
                <w:sz w:val="18"/>
                <w:szCs w:val="18"/>
                <w:color w:val="auto"/>
              </w:rPr>
              <w:t>Total Bayer collaboration revenue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193,939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179,592</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8"/>
                <w:szCs w:val="18"/>
                <w:color w:val="auto"/>
              </w:rPr>
              <w:t>Total Sanofi and Bayer collaboration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404,306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399,286</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200" w:right="200"/>
        <w:spacing w:after="0" w:line="259" w:lineRule="auto"/>
        <w:rPr>
          <w:sz w:val="20"/>
          <w:szCs w:val="20"/>
          <w:color w:val="auto"/>
        </w:rPr>
      </w:pPr>
      <w:r>
        <w:rPr>
          <w:rFonts w:ascii="Arial" w:cs="Arial" w:eastAsia="Arial" w:hAnsi="Arial"/>
          <w:sz w:val="18"/>
          <w:szCs w:val="18"/>
          <w:i w:val="1"/>
          <w:iCs w:val="1"/>
          <w:color w:val="auto"/>
        </w:rPr>
        <w:t>Note: In addition to amounts presented in the table above, the Company recorded $22.1 million for the three months ended March 31, 2017 related to reimbursements of Regeneron research and development expenses in connection with its collaboration agreement with Teva. The Company also recorded $2.7 million and $0.2 million for the three months ended March 31, 2017 and 2016, respectively, related to reimbursements of Regeneron research and development expenses by other entities.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w:t>
      </w:r>
    </w:p>
    <w:sectPr>
      <w:pgSz w:w="11900" w:h="16838" w:orient="portrait"/>
      <w:cols w:equalWidth="0" w:num="1">
        <w:col w:w="10980"/>
      </w:cols>
      <w:pgMar w:left="240" w:top="368"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2019-12-05T18:11:12Z</dcterms:created>
  <dcterms:modified xsi:type="dcterms:W3CDTF">2019-12-05T18:11:12Z</dcterms:modified>
</cp:coreProperties>
</file>