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00075886F1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90"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March 31,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8"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19" w:right="319" w:bottom="1440" w:gutter="0" w:footer="0" w:header="0"/>
        </w:sectPr>
      </w:pPr>
    </w:p>
    <w:bookmarkStart w:id="1" w:name="page2"/>
    <w:bookmarkEnd w:id="1"/>
    <w:p>
      <w:pPr>
        <w:spacing w:after="0"/>
        <w:tabs>
          <w:tab w:leader="none" w:pos="5600" w:val="left"/>
          <w:tab w:leader="none" w:pos="89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00075886F1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ind w:left="480" w:hanging="384"/>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3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Amgen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384"/>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760" w:hanging="279"/>
        <w:spacing w:after="0" w:line="207" w:lineRule="exact"/>
        <w:tabs>
          <w:tab w:leader="none" w:pos="7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780" w:hanging="299"/>
        <w:spacing w:after="0" w:line="207" w:lineRule="exact"/>
        <w:tabs>
          <w:tab w:leader="none" w:pos="7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8" w:lineRule="exact"/>
        <w:rPr>
          <w:rFonts w:ascii="Arial" w:cs="Arial" w:eastAsia="Arial" w:hAnsi="Arial"/>
          <w:sz w:val="18"/>
          <w:szCs w:val="18"/>
          <w:color w:val="auto"/>
        </w:rPr>
      </w:pPr>
    </w:p>
    <w:p>
      <w:pPr>
        <w:ind w:left="480" w:hanging="384"/>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80" w:hanging="384"/>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1820"/>
        <w:spacing w:after="0"/>
        <w:tabs>
          <w:tab w:leader="none" w:pos="21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80" w:type="dxa"/>
            <w:vAlign w:val="bottom"/>
          </w:tcPr>
          <w:p>
            <w:pPr>
              <w:ind w:left="540"/>
              <w:spacing w:after="0"/>
              <w:rPr>
                <w:sz w:val="20"/>
                <w:szCs w:val="20"/>
                <w:color w:val="auto"/>
              </w:rPr>
            </w:pPr>
            <w:r>
              <w:rPr>
                <w:rFonts w:ascii="Arial" w:cs="Arial" w:eastAsia="Arial" w:hAnsi="Arial"/>
                <w:sz w:val="22"/>
                <w:szCs w:val="22"/>
                <w:color w:val="auto"/>
              </w:rPr>
              <w:t>3,181,309</w:t>
            </w:r>
          </w:p>
        </w:tc>
        <w:tc>
          <w:tcPr>
            <w:tcW w:w="0" w:type="dxa"/>
            <w:vAlign w:val="bottom"/>
          </w:tcPr>
          <w:p>
            <w:pPr>
              <w:spacing w:after="0"/>
              <w:rPr>
                <w:sz w:val="1"/>
                <w:szCs w:val="1"/>
                <w:color w:val="auto"/>
              </w:rPr>
            </w:pPr>
          </w:p>
        </w:tc>
      </w:tr>
      <w:tr>
        <w:trPr>
          <w:trHeight w:val="98"/>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4"/>
              </w:rPr>
              <w:t>NUMBER OF</w:t>
            </w: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580" w:type="dxa"/>
            <w:vAlign w:val="bottom"/>
            <w:vMerge w:val="continue"/>
          </w:tcPr>
          <w:p>
            <w:pPr>
              <w:spacing w:after="0"/>
              <w:rPr>
                <w:sz w:val="13"/>
                <w:szCs w:val="13"/>
                <w:color w:val="auto"/>
              </w:rPr>
            </w:pPr>
          </w:p>
        </w:tc>
        <w:tc>
          <w:tcPr>
            <w:tcW w:w="320" w:type="dxa"/>
            <w:vAlign w:val="bottom"/>
            <w:vMerge w:val="restart"/>
          </w:tcPr>
          <w:p>
            <w:pPr>
              <w:jc w:val="right"/>
              <w:ind w:right="12"/>
              <w:spacing w:after="0"/>
              <w:rPr>
                <w:sz w:val="20"/>
                <w:szCs w:val="20"/>
                <w:color w:val="auto"/>
              </w:rPr>
            </w:pPr>
            <w:r>
              <w:rPr>
                <w:rFonts w:ascii="Arial" w:cs="Arial" w:eastAsia="Arial" w:hAnsi="Arial"/>
                <w:sz w:val="18"/>
                <w:szCs w:val="18"/>
                <w:color w:val="auto"/>
              </w:rPr>
              <w:t>6.</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89"/>
              </w:rPr>
              <w:t>SHARES</w:t>
            </w:r>
          </w:p>
        </w:tc>
        <w:tc>
          <w:tcPr>
            <w:tcW w:w="320" w:type="dxa"/>
            <w:vAlign w:val="bottom"/>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5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52"/>
              <w:spacing w:after="0"/>
              <w:rPr>
                <w:sz w:val="20"/>
                <w:szCs w:val="20"/>
                <w:color w:val="auto"/>
              </w:rPr>
            </w:pPr>
            <w:r>
              <w:rPr>
                <w:rFonts w:ascii="Arial" w:cs="Arial" w:eastAsia="Arial" w:hAnsi="Arial"/>
                <w:sz w:val="18"/>
                <w:szCs w:val="18"/>
                <w:color w:val="auto"/>
                <w:w w:val="97"/>
              </w:rPr>
              <w:t>BENEFICIALLY</w:t>
            </w:r>
          </w:p>
        </w:tc>
        <w:tc>
          <w:tcPr>
            <w:tcW w:w="320" w:type="dxa"/>
            <w:vAlign w:val="bottom"/>
          </w:tcPr>
          <w:p>
            <w:pPr>
              <w:spacing w:after="0"/>
              <w:rPr>
                <w:sz w:val="18"/>
                <w:szCs w:val="18"/>
                <w:color w:val="auto"/>
              </w:rPr>
            </w:pPr>
          </w:p>
        </w:tc>
        <w:tc>
          <w:tcPr>
            <w:tcW w:w="9380" w:type="dxa"/>
            <w:vAlign w:val="bottom"/>
            <w:vMerge w:val="restart"/>
          </w:tcPr>
          <w:p>
            <w:pPr>
              <w:ind w:left="540"/>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5"/>
              </w:rPr>
              <w:t>OWNED BY</w:t>
            </w:r>
          </w:p>
        </w:tc>
        <w:tc>
          <w:tcPr>
            <w:tcW w:w="320" w:type="dxa"/>
            <w:vAlign w:val="bottom"/>
          </w:tcPr>
          <w:p>
            <w:pPr>
              <w:spacing w:after="0"/>
              <w:rPr>
                <w:sz w:val="10"/>
                <w:szCs w:val="10"/>
                <w:color w:val="auto"/>
              </w:rPr>
            </w:pPr>
          </w:p>
        </w:tc>
        <w:tc>
          <w:tcPr>
            <w:tcW w:w="9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80" w:type="dxa"/>
            <w:vAlign w:val="bottom"/>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580" w:type="dxa"/>
            <w:vAlign w:val="bottom"/>
          </w:tcPr>
          <w:p>
            <w:pPr>
              <w:jc w:val="center"/>
              <w:ind w:right="272"/>
              <w:spacing w:after="0" w:line="190" w:lineRule="exact"/>
              <w:rPr>
                <w:sz w:val="20"/>
                <w:szCs w:val="20"/>
                <w:color w:val="auto"/>
              </w:rPr>
            </w:pPr>
            <w:r>
              <w:rPr>
                <w:rFonts w:ascii="Arial" w:cs="Arial" w:eastAsia="Arial" w:hAnsi="Arial"/>
                <w:sz w:val="18"/>
                <w:szCs w:val="18"/>
                <w:color w:val="auto"/>
                <w:w w:val="91"/>
              </w:rPr>
              <w:t>EACH</w:t>
            </w:r>
          </w:p>
        </w:tc>
        <w:tc>
          <w:tcPr>
            <w:tcW w:w="320" w:type="dxa"/>
            <w:vAlign w:val="bottom"/>
            <w:vMerge w:val="restart"/>
          </w:tcPr>
          <w:p>
            <w:pPr>
              <w:jc w:val="right"/>
              <w:ind w:right="12"/>
              <w:spacing w:after="0"/>
              <w:rPr>
                <w:sz w:val="20"/>
                <w:szCs w:val="20"/>
                <w:color w:val="auto"/>
              </w:rPr>
            </w:pPr>
            <w:r>
              <w:rPr>
                <w:rFonts w:ascii="Arial" w:cs="Arial" w:eastAsia="Arial" w:hAnsi="Arial"/>
                <w:sz w:val="18"/>
                <w:szCs w:val="18"/>
                <w:color w:val="auto"/>
              </w:rPr>
              <w:t>7.</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1"/>
              </w:rPr>
              <w:t>REPORTING</w:t>
            </w:r>
          </w:p>
        </w:tc>
        <w:tc>
          <w:tcPr>
            <w:tcW w:w="320" w:type="dxa"/>
            <w:vAlign w:val="bottom"/>
            <w:vMerge w:val="continue"/>
          </w:tcPr>
          <w:p>
            <w:pPr>
              <w:spacing w:after="0"/>
              <w:rPr>
                <w:sz w:val="11"/>
                <w:szCs w:val="11"/>
                <w:color w:val="auto"/>
              </w:rPr>
            </w:pPr>
          </w:p>
        </w:tc>
        <w:tc>
          <w:tcPr>
            <w:tcW w:w="9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580" w:type="dxa"/>
            <w:vAlign w:val="bottom"/>
          </w:tcPr>
          <w:p>
            <w:pPr>
              <w:jc w:val="center"/>
              <w:ind w:right="272"/>
              <w:spacing w:after="0"/>
              <w:rPr>
                <w:sz w:val="20"/>
                <w:szCs w:val="20"/>
                <w:color w:val="auto"/>
              </w:rPr>
            </w:pPr>
            <w:r>
              <w:rPr>
                <w:rFonts w:ascii="Arial" w:cs="Arial" w:eastAsia="Arial" w:hAnsi="Arial"/>
                <w:sz w:val="18"/>
                <w:szCs w:val="18"/>
                <w:color w:val="auto"/>
                <w:w w:val="86"/>
              </w:rPr>
              <w:t>PERSON</w:t>
            </w:r>
          </w:p>
        </w:tc>
        <w:tc>
          <w:tcPr>
            <w:tcW w:w="320" w:type="dxa"/>
            <w:vAlign w:val="bottom"/>
          </w:tcPr>
          <w:p>
            <w:pPr>
              <w:spacing w:after="0"/>
              <w:rPr>
                <w:sz w:val="21"/>
                <w:szCs w:val="21"/>
                <w:color w:val="auto"/>
              </w:rPr>
            </w:pPr>
          </w:p>
        </w:tc>
        <w:tc>
          <w:tcPr>
            <w:tcW w:w="9380" w:type="dxa"/>
            <w:vAlign w:val="bottom"/>
          </w:tcPr>
          <w:p>
            <w:pPr>
              <w:ind w:left="540"/>
              <w:spacing w:after="0" w:line="251" w:lineRule="exact"/>
              <w:rPr>
                <w:sz w:val="20"/>
                <w:szCs w:val="20"/>
                <w:color w:val="auto"/>
              </w:rPr>
            </w:pPr>
            <w:r>
              <w:rPr>
                <w:rFonts w:ascii="Arial" w:cs="Arial" w:eastAsia="Arial" w:hAnsi="Arial"/>
                <w:sz w:val="22"/>
                <w:szCs w:val="22"/>
                <w:color w:val="auto"/>
              </w:rPr>
              <w:t>3,181,309</w:t>
            </w:r>
          </w:p>
        </w:tc>
        <w:tc>
          <w:tcPr>
            <w:tcW w:w="0" w:type="dxa"/>
            <w:vAlign w:val="bottom"/>
          </w:tcPr>
          <w:p>
            <w:pPr>
              <w:spacing w:after="0"/>
              <w:rPr>
                <w:sz w:val="1"/>
                <w:szCs w:val="1"/>
                <w:color w:val="auto"/>
              </w:rPr>
            </w:pPr>
          </w:p>
        </w:tc>
      </w:tr>
      <w:tr>
        <w:trPr>
          <w:trHeight w:val="162"/>
        </w:trPr>
        <w:tc>
          <w:tcPr>
            <w:tcW w:w="1580" w:type="dxa"/>
            <w:vAlign w:val="bottom"/>
          </w:tcPr>
          <w:p>
            <w:pPr>
              <w:jc w:val="center"/>
              <w:ind w:right="272"/>
              <w:spacing w:after="0" w:line="162"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4"/>
                <w:szCs w:val="14"/>
                <w:color w:val="auto"/>
              </w:rPr>
            </w:pPr>
          </w:p>
        </w:tc>
        <w:tc>
          <w:tcPr>
            <w:tcW w:w="9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384"/>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3,181,309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4"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560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00075886F1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6 Pages</w:t>
      </w:r>
    </w:p>
    <w:p>
      <w:pPr>
        <w:spacing w:after="0" w:line="16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This Amendment No. 1 to Schedule 13G is being filed by Amgen Inc., a Delaware corporation (the “Reporting Person”), to amend and supplement the Schedule 13G filed on February 4, 2002 and Schedule 13D filed on July 26, 1995, as amended by Amendment No. 1 filed on September 25, 1995, Amendment No. 2 filed on December 6, 1995, Amendment No. 3 filed on March 5, 1996, Amendment No. 4 filed on April 15, 1996, Amendment No. 5 filed on March 7, 2000, Amendment No. 6 filed on April 5, 2000, Amendment No. 7 filed on March 13, 2001 and Amendment No. 8 filed on March 22, 2001 (the “Schedule 13D”), relating to the common stock, $.001 par value per share (the “Common Stock”) of Regeneron Pharmaceuticals, Inc. (the “Issuer”). Unless otherwise indicated, all capitalized terms used herein but not defined herein shall have the meaning assigned to them in the Schedule 13D.</w:t>
      </w:r>
    </w:p>
    <w:p>
      <w:pPr>
        <w:spacing w:after="0" w:line="10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Sales of 750,000 shares of Common Stock of the Issuer were made prior to February 14, 2004. Sales of 250,000 shares of Common Stock of the Issuer have been made since February 14, 2004. All sales were made pursuant to the divestiture requirements of the July 12, 2002 Decision and Order of the Federal Trade Commission In the Matter of Amgen Inc. and Immunex Corporation.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0" w:type="dxa"/>
            <w:vAlign w:val="bottom"/>
          </w:tcPr>
          <w:p>
            <w:pPr>
              <w:ind w:left="160"/>
              <w:spacing w:after="0"/>
              <w:rPr>
                <w:sz w:val="20"/>
                <w:szCs w:val="20"/>
                <w:color w:val="auto"/>
              </w:rPr>
            </w:pPr>
            <w:r>
              <w:rPr>
                <w:rFonts w:ascii="Arial" w:cs="Arial" w:eastAsia="Arial" w:hAnsi="Arial"/>
                <w:sz w:val="18"/>
                <w:szCs w:val="18"/>
                <w:color w:val="auto"/>
              </w:rPr>
              <w:t>(a).</w:t>
            </w:r>
          </w:p>
        </w:tc>
        <w:tc>
          <w:tcPr>
            <w:tcW w:w="5000" w:type="dxa"/>
            <w:vAlign w:val="bottom"/>
          </w:tcPr>
          <w:p>
            <w:pPr>
              <w:ind w:left="280"/>
              <w:spacing w:after="0"/>
              <w:rPr>
                <w:sz w:val="20"/>
                <w:szCs w:val="20"/>
                <w:color w:val="auto"/>
              </w:rPr>
            </w:pPr>
            <w:r>
              <w:rPr>
                <w:rFonts w:ascii="Arial" w:cs="Arial" w:eastAsia="Arial" w:hAnsi="Arial"/>
                <w:sz w:val="18"/>
                <w:szCs w:val="18"/>
                <w:color w:val="auto"/>
              </w:rPr>
              <w:t>Name of Issuer:</w:t>
            </w:r>
          </w:p>
        </w:tc>
      </w:tr>
      <w:tr>
        <w:trPr>
          <w:trHeight w:val="324"/>
        </w:trPr>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Regeneron Pharmaceuticals, Inc.</w:t>
            </w:r>
          </w:p>
        </w:tc>
      </w:tr>
      <w:tr>
        <w:trPr>
          <w:trHeight w:val="324"/>
        </w:trPr>
        <w:tc>
          <w:tcPr>
            <w:tcW w:w="6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0" w:type="dxa"/>
            <w:vAlign w:val="bottom"/>
          </w:tcPr>
          <w:p>
            <w:pPr>
              <w:ind w:left="160"/>
              <w:spacing w:after="0"/>
              <w:rPr>
                <w:sz w:val="20"/>
                <w:szCs w:val="20"/>
                <w:color w:val="auto"/>
              </w:rPr>
            </w:pPr>
            <w:r>
              <w:rPr>
                <w:rFonts w:ascii="Arial" w:cs="Arial" w:eastAsia="Arial" w:hAnsi="Arial"/>
                <w:sz w:val="18"/>
                <w:szCs w:val="18"/>
                <w:color w:val="auto"/>
              </w:rPr>
              <w:t>(b).</w:t>
            </w:r>
          </w:p>
        </w:tc>
        <w:tc>
          <w:tcPr>
            <w:tcW w:w="500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318"/>
        </w:trPr>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777 Old Saw Mill River Road</w:t>
            </w:r>
          </w:p>
        </w:tc>
      </w:tr>
      <w:tr>
        <w:trPr>
          <w:trHeight w:val="222"/>
        </w:trPr>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Tarrytown, New York 10591-6707</w:t>
            </w:r>
          </w:p>
        </w:tc>
      </w:tr>
      <w:tr>
        <w:trPr>
          <w:trHeight w:val="338"/>
        </w:trPr>
        <w:tc>
          <w:tcPr>
            <w:tcW w:w="6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00" w:type="dxa"/>
            <w:vAlign w:val="bottom"/>
          </w:tcPr>
          <w:p>
            <w:pPr>
              <w:ind w:left="160"/>
              <w:spacing w:after="0"/>
              <w:rPr>
                <w:sz w:val="20"/>
                <w:szCs w:val="20"/>
                <w:color w:val="auto"/>
              </w:rPr>
            </w:pPr>
            <w:r>
              <w:rPr>
                <w:rFonts w:ascii="Arial" w:cs="Arial" w:eastAsia="Arial" w:hAnsi="Arial"/>
                <w:sz w:val="18"/>
                <w:szCs w:val="18"/>
                <w:color w:val="auto"/>
              </w:rPr>
              <w:t>(a).</w:t>
            </w:r>
          </w:p>
        </w:tc>
        <w:tc>
          <w:tcPr>
            <w:tcW w:w="500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324"/>
        </w:trPr>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Amgen Inc.</w:t>
            </w:r>
          </w:p>
        </w:tc>
      </w:tr>
      <w:tr>
        <w:trPr>
          <w:trHeight w:val="324"/>
        </w:trPr>
        <w:tc>
          <w:tcPr>
            <w:tcW w:w="6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00" w:type="dxa"/>
            <w:vAlign w:val="bottom"/>
          </w:tcPr>
          <w:p>
            <w:pPr>
              <w:ind w:left="160"/>
              <w:spacing w:after="0"/>
              <w:rPr>
                <w:sz w:val="20"/>
                <w:szCs w:val="20"/>
                <w:color w:val="auto"/>
              </w:rPr>
            </w:pPr>
            <w:r>
              <w:rPr>
                <w:rFonts w:ascii="Arial" w:cs="Arial" w:eastAsia="Arial" w:hAnsi="Arial"/>
                <w:sz w:val="18"/>
                <w:szCs w:val="18"/>
                <w:color w:val="auto"/>
              </w:rPr>
              <w:t>(b).</w:t>
            </w:r>
          </w:p>
        </w:tc>
        <w:tc>
          <w:tcPr>
            <w:tcW w:w="5000" w:type="dxa"/>
            <w:vAlign w:val="bottom"/>
          </w:tcPr>
          <w:p>
            <w:pPr>
              <w:ind w:left="280"/>
              <w:spacing w:after="0"/>
              <w:rPr>
                <w:sz w:val="20"/>
                <w:szCs w:val="20"/>
                <w:color w:val="auto"/>
              </w:rPr>
            </w:pPr>
            <w:r>
              <w:rPr>
                <w:rFonts w:ascii="Arial" w:cs="Arial" w:eastAsia="Arial" w:hAnsi="Arial"/>
                <w:sz w:val="18"/>
                <w:szCs w:val="18"/>
                <w:color w:val="auto"/>
                <w:w w:val="98"/>
              </w:rPr>
              <w:t>Address of Principal Business Office or, if None, Residence:</w:t>
            </w:r>
          </w:p>
        </w:tc>
      </w:tr>
      <w:tr>
        <w:trPr>
          <w:trHeight w:val="318"/>
        </w:trPr>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One Amgen Center Drive</w:t>
            </w:r>
          </w:p>
        </w:tc>
      </w:tr>
      <w:tr>
        <w:trPr>
          <w:trHeight w:val="222"/>
        </w:trPr>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Thousand Oaks, CA 91320-1799</w:t>
            </w:r>
          </w:p>
        </w:tc>
      </w:tr>
      <w:tr>
        <w:trPr>
          <w:trHeight w:val="338"/>
        </w:trPr>
        <w:tc>
          <w:tcPr>
            <w:tcW w:w="6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00" w:type="dxa"/>
            <w:vAlign w:val="bottom"/>
          </w:tcPr>
          <w:p>
            <w:pPr>
              <w:ind w:left="160"/>
              <w:spacing w:after="0"/>
              <w:rPr>
                <w:sz w:val="20"/>
                <w:szCs w:val="20"/>
                <w:color w:val="auto"/>
              </w:rPr>
            </w:pPr>
            <w:r>
              <w:rPr>
                <w:rFonts w:ascii="Arial" w:cs="Arial" w:eastAsia="Arial" w:hAnsi="Arial"/>
                <w:sz w:val="18"/>
                <w:szCs w:val="18"/>
                <w:color w:val="auto"/>
              </w:rPr>
              <w:t>(c).</w:t>
            </w:r>
          </w:p>
        </w:tc>
        <w:tc>
          <w:tcPr>
            <w:tcW w:w="500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324"/>
        </w:trPr>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rPr>
              <w:t>Delaware</w:t>
            </w:r>
          </w:p>
        </w:tc>
      </w:tr>
      <w:tr>
        <w:trPr>
          <w:trHeight w:val="324"/>
        </w:trPr>
        <w:tc>
          <w:tcPr>
            <w:tcW w:w="6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00" w:type="dxa"/>
            <w:vAlign w:val="bottom"/>
          </w:tcPr>
          <w:p>
            <w:pPr>
              <w:ind w:left="160"/>
              <w:spacing w:after="0"/>
              <w:rPr>
                <w:sz w:val="20"/>
                <w:szCs w:val="20"/>
                <w:color w:val="auto"/>
              </w:rPr>
            </w:pPr>
            <w:r>
              <w:rPr>
                <w:rFonts w:ascii="Arial" w:cs="Arial" w:eastAsia="Arial" w:hAnsi="Arial"/>
                <w:sz w:val="18"/>
                <w:szCs w:val="18"/>
                <w:color w:val="auto"/>
              </w:rPr>
              <w:t>(d).</w:t>
            </w:r>
          </w:p>
        </w:tc>
        <w:tc>
          <w:tcPr>
            <w:tcW w:w="5000" w:type="dxa"/>
            <w:vAlign w:val="bottom"/>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324"/>
        </w:trPr>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tcPr>
          <w:p>
            <w:pPr>
              <w:ind w:left="280"/>
              <w:spacing w:after="0"/>
              <w:rPr>
                <w:sz w:val="20"/>
                <w:szCs w:val="20"/>
                <w:color w:val="auto"/>
              </w:rPr>
            </w:pPr>
            <w:r>
              <w:rPr>
                <w:rFonts w:ascii="Arial" w:cs="Arial" w:eastAsia="Arial" w:hAnsi="Arial"/>
                <w:sz w:val="18"/>
                <w:szCs w:val="18"/>
                <w:color w:val="auto"/>
                <w:w w:val="88"/>
              </w:rPr>
              <w:t>Common Stock, par value $0.001 per share (the “Common Stock”)</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00075886F1</w:t>
            </w:r>
          </w:p>
        </w:tc>
        <w:tc>
          <w:tcPr>
            <w:tcW w:w="3840" w:type="dxa"/>
            <w:vAlign w:val="bottom"/>
          </w:tcPr>
          <w:p>
            <w:pPr>
              <w:ind w:left="1420"/>
              <w:spacing w:after="0"/>
              <w:rPr>
                <w:sz w:val="20"/>
                <w:szCs w:val="20"/>
                <w:color w:val="auto"/>
              </w:rPr>
            </w:pPr>
            <w:r>
              <w:rPr>
                <w:rFonts w:ascii="Arial" w:cs="Arial" w:eastAsia="Arial" w:hAnsi="Arial"/>
                <w:sz w:val="18"/>
                <w:szCs w:val="18"/>
                <w:b w:val="1"/>
                <w:bCs w:val="1"/>
                <w:color w:val="auto"/>
              </w:rPr>
              <w:t>13G</w:t>
            </w:r>
          </w:p>
        </w:tc>
        <w:tc>
          <w:tcPr>
            <w:tcW w:w="3380" w:type="dxa"/>
            <w:vAlign w:val="bottom"/>
          </w:tcPr>
          <w:p>
            <w:pPr>
              <w:ind w:left="2100"/>
              <w:spacing w:after="0"/>
              <w:rPr>
                <w:sz w:val="20"/>
                <w:szCs w:val="20"/>
                <w:color w:val="auto"/>
              </w:rPr>
            </w:pPr>
            <w:r>
              <w:rPr>
                <w:rFonts w:ascii="Arial" w:cs="Arial" w:eastAsia="Arial" w:hAnsi="Arial"/>
                <w:sz w:val="18"/>
                <w:szCs w:val="18"/>
                <w:b w:val="1"/>
                <w:bCs w:val="1"/>
                <w:color w:val="auto"/>
                <w:w w:val="82"/>
              </w:rPr>
              <w:t>Page 4 of 6 Pages</w:t>
            </w:r>
          </w:p>
        </w:tc>
      </w:tr>
      <w:tr>
        <w:trPr>
          <w:trHeight w:val="473"/>
        </w:trPr>
        <w:tc>
          <w:tcPr>
            <w:tcW w:w="6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60" w:type="dxa"/>
            <w:vAlign w:val="bottom"/>
          </w:tcPr>
          <w:p>
            <w:pPr>
              <w:ind w:left="140"/>
              <w:spacing w:after="0"/>
              <w:rPr>
                <w:sz w:val="20"/>
                <w:szCs w:val="20"/>
                <w:color w:val="auto"/>
              </w:rPr>
            </w:pPr>
            <w:r>
              <w:rPr>
                <w:rFonts w:ascii="Arial" w:cs="Arial" w:eastAsia="Arial" w:hAnsi="Arial"/>
                <w:sz w:val="18"/>
                <w:szCs w:val="18"/>
                <w:color w:val="auto"/>
              </w:rPr>
              <w:t>(e).</w:t>
            </w:r>
          </w:p>
        </w:tc>
        <w:tc>
          <w:tcPr>
            <w:tcW w:w="2880" w:type="dxa"/>
            <w:vAlign w:val="bottom"/>
          </w:tcPr>
          <w:p>
            <w:pPr>
              <w:ind w:left="300"/>
              <w:spacing w:after="0"/>
              <w:rPr>
                <w:sz w:val="20"/>
                <w:szCs w:val="20"/>
                <w:color w:val="auto"/>
              </w:rPr>
            </w:pPr>
            <w:r>
              <w:rPr>
                <w:rFonts w:ascii="Arial" w:cs="Arial" w:eastAsia="Arial" w:hAnsi="Arial"/>
                <w:sz w:val="18"/>
                <w:szCs w:val="18"/>
                <w:color w:val="auto"/>
              </w:rPr>
              <w:t>CUSIP Number:</w:t>
            </w:r>
          </w:p>
        </w:tc>
        <w:tc>
          <w:tcPr>
            <w:tcW w:w="38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24"/>
        </w:trPr>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80" w:type="dxa"/>
            <w:vAlign w:val="bottom"/>
          </w:tcPr>
          <w:p>
            <w:pPr>
              <w:ind w:left="300"/>
              <w:spacing w:after="0"/>
              <w:rPr>
                <w:sz w:val="20"/>
                <w:szCs w:val="20"/>
                <w:color w:val="auto"/>
              </w:rPr>
            </w:pPr>
            <w:r>
              <w:rPr>
                <w:rFonts w:ascii="Arial" w:cs="Arial" w:eastAsia="Arial" w:hAnsi="Arial"/>
                <w:sz w:val="18"/>
                <w:szCs w:val="18"/>
                <w:color w:val="auto"/>
              </w:rPr>
              <w:t>00075886F1</w:t>
            </w:r>
          </w:p>
        </w:tc>
        <w:tc>
          <w:tcPr>
            <w:tcW w:w="38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3540" w:type="dxa"/>
            <w:vAlign w:val="bottom"/>
            <w:gridSpan w:val="2"/>
          </w:tcPr>
          <w:p>
            <w:pPr>
              <w:ind w:left="140"/>
              <w:spacing w:after="0"/>
              <w:rPr>
                <w:sz w:val="20"/>
                <w:szCs w:val="20"/>
                <w:color w:val="auto"/>
              </w:rPr>
            </w:pPr>
            <w:r>
              <w:rPr>
                <w:rFonts w:ascii="Arial" w:cs="Arial" w:eastAsia="Arial" w:hAnsi="Arial"/>
                <w:sz w:val="18"/>
                <w:szCs w:val="18"/>
                <w:b w:val="1"/>
                <w:bCs w:val="1"/>
                <w:color w:val="auto"/>
              </w:rPr>
              <w:t>Not applicable.</w:t>
            </w:r>
          </w:p>
        </w:tc>
        <w:tc>
          <w:tcPr>
            <w:tcW w:w="38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540" w:type="dxa"/>
            <w:vAlign w:val="bottom"/>
            <w:gridSpan w:val="2"/>
          </w:tcPr>
          <w:p>
            <w:pPr>
              <w:ind w:left="140"/>
              <w:spacing w:after="0"/>
              <w:rPr>
                <w:sz w:val="20"/>
                <w:szCs w:val="20"/>
                <w:color w:val="auto"/>
              </w:rPr>
            </w:pPr>
            <w:r>
              <w:rPr>
                <w:rFonts w:ascii="Arial" w:cs="Arial" w:eastAsia="Arial" w:hAnsi="Arial"/>
                <w:sz w:val="18"/>
                <w:szCs w:val="18"/>
                <w:b w:val="1"/>
                <w:bCs w:val="1"/>
                <w:color w:val="auto"/>
              </w:rPr>
              <w:t>Ownership.</w:t>
            </w:r>
          </w:p>
        </w:tc>
        <w:tc>
          <w:tcPr>
            <w:tcW w:w="384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spacing w:after="0" w:line="102" w:lineRule="exact"/>
        <w:rPr>
          <w:sz w:val="20"/>
          <w:szCs w:val="20"/>
          <w:color w:val="auto"/>
        </w:rPr>
      </w:pPr>
    </w:p>
    <w:p>
      <w:pPr>
        <w:ind w:left="1620" w:hanging="8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3,181,309</w:t>
      </w:r>
    </w:p>
    <w:p>
      <w:pPr>
        <w:spacing w:after="0" w:line="117" w:lineRule="exact"/>
        <w:rPr>
          <w:rFonts w:ascii="Arial" w:cs="Arial" w:eastAsia="Arial" w:hAnsi="Arial"/>
          <w:sz w:val="18"/>
          <w:szCs w:val="18"/>
          <w:color w:val="auto"/>
        </w:rPr>
      </w:pPr>
    </w:p>
    <w:p>
      <w:pPr>
        <w:ind w:left="1620" w:hanging="8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1620" w:right="1280" w:firstLine="216"/>
        <w:spacing w:after="0" w:line="256" w:lineRule="auto"/>
        <w:rPr>
          <w:sz w:val="20"/>
          <w:szCs w:val="20"/>
          <w:color w:val="auto"/>
        </w:rPr>
      </w:pPr>
      <w:r>
        <w:rPr>
          <w:rFonts w:ascii="Arial" w:cs="Arial" w:eastAsia="Arial" w:hAnsi="Arial"/>
          <w:sz w:val="18"/>
          <w:szCs w:val="18"/>
          <w:color w:val="auto"/>
        </w:rPr>
        <w:t>Amgen Inc. may be deemed the beneficial owner of approximately 6.0% of the outstanding shares of the Common Stock. The calculation of the percentage is based on the number of shares of the Common Stock shown as being outstanding on the Form 10-K Annual Report filed by Regeneron Pharmaceuticals, Inc. with the Securities and Exchange Commission for the year ended December 31, 2003.</w:t>
      </w:r>
    </w:p>
    <w:p>
      <w:pPr>
        <w:spacing w:after="0" w:line="89" w:lineRule="exact"/>
        <w:rPr>
          <w:sz w:val="20"/>
          <w:szCs w:val="20"/>
          <w:color w:val="auto"/>
        </w:rPr>
      </w:pPr>
    </w:p>
    <w:p>
      <w:pPr>
        <w:ind w:left="1620" w:hanging="815"/>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2080" w:hanging="360"/>
        <w:spacing w:after="0"/>
        <w:tabs>
          <w:tab w:leader="none" w:pos="2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3,181,309</w:t>
      </w:r>
    </w:p>
    <w:p>
      <w:pPr>
        <w:spacing w:after="0" w:line="117" w:lineRule="exact"/>
        <w:rPr>
          <w:rFonts w:ascii="Arial" w:cs="Arial" w:eastAsia="Arial" w:hAnsi="Arial"/>
          <w:sz w:val="18"/>
          <w:szCs w:val="18"/>
          <w:color w:val="auto"/>
        </w:rPr>
      </w:pPr>
    </w:p>
    <w:p>
      <w:pPr>
        <w:ind w:left="2080" w:hanging="409"/>
        <w:spacing w:after="0"/>
        <w:tabs>
          <w:tab w:leader="none" w:pos="2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None</w:t>
      </w:r>
    </w:p>
    <w:p>
      <w:pPr>
        <w:spacing w:after="0" w:line="117" w:lineRule="exact"/>
        <w:rPr>
          <w:rFonts w:ascii="Arial" w:cs="Arial" w:eastAsia="Arial" w:hAnsi="Arial"/>
          <w:sz w:val="18"/>
          <w:szCs w:val="18"/>
          <w:color w:val="auto"/>
        </w:rPr>
      </w:pPr>
    </w:p>
    <w:p>
      <w:pPr>
        <w:ind w:left="2080" w:hanging="458"/>
        <w:spacing w:after="0"/>
        <w:tabs>
          <w:tab w:leader="none" w:pos="2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3,181,309</w:t>
      </w:r>
    </w:p>
    <w:p>
      <w:pPr>
        <w:spacing w:after="0" w:line="117" w:lineRule="exact"/>
        <w:rPr>
          <w:rFonts w:ascii="Arial" w:cs="Arial" w:eastAsia="Arial" w:hAnsi="Arial"/>
          <w:sz w:val="18"/>
          <w:szCs w:val="18"/>
          <w:color w:val="auto"/>
        </w:rPr>
      </w:pPr>
    </w:p>
    <w:p>
      <w:pPr>
        <w:ind w:left="2080" w:hanging="448"/>
        <w:spacing w:after="0"/>
        <w:tabs>
          <w:tab w:leader="none" w:pos="2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1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Not applicable.</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Not applicable.</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Not applicable.</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Not applicable.</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 applicable.</w:t>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560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00075886F1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6 Pages</w:t>
      </w:r>
    </w:p>
    <w:p>
      <w:pPr>
        <w:spacing w:after="0" w:line="2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3" w:lineRule="exact"/>
        <w:rPr>
          <w:sz w:val="20"/>
          <w:szCs w:val="20"/>
          <w:color w:val="auto"/>
        </w:rPr>
      </w:pPr>
    </w:p>
    <w:p>
      <w:pPr>
        <w:ind w:left="820" w:right="1240"/>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74" w:right="239" w:bottom="1440" w:gutter="0" w:footer="0" w:header="0"/>
        </w:sectPr>
      </w:pPr>
    </w:p>
    <w:bookmarkStart w:id="5" w:name="page6"/>
    <w:bookmarkEnd w:id="5"/>
    <w:p>
      <w:pPr>
        <w:spacing w:after="0"/>
        <w:tabs>
          <w:tab w:leader="none" w:pos="560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00075886F1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6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left="6860" w:right="640" w:hanging="6846"/>
        <w:spacing w:after="0" w:line="440"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 May 5, 2004</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AMGEN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David J. Scott</w:t>
            </w:r>
          </w:p>
        </w:tc>
        <w:tc>
          <w:tcPr>
            <w:tcW w:w="0" w:type="dxa"/>
            <w:vAlign w:val="bottom"/>
          </w:tcPr>
          <w:p>
            <w:pPr>
              <w:spacing w:after="0"/>
              <w:rPr>
                <w:sz w:val="1"/>
                <w:szCs w:val="1"/>
                <w:color w:val="auto"/>
              </w:rPr>
            </w:pPr>
          </w:p>
        </w:tc>
      </w:tr>
      <w:tr>
        <w:trPr>
          <w:trHeight w:val="110"/>
        </w:trPr>
        <w:tc>
          <w:tcPr>
            <w:tcW w:w="6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40" w:type="dxa"/>
            <w:vAlign w:val="bottom"/>
            <w:vMerge w:val="continue"/>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4"/>
                <w:szCs w:val="14"/>
                <w:color w:val="auto"/>
              </w:rPr>
              <w:t>David J. Scott</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4"/>
                <w:szCs w:val="14"/>
                <w:color w:val="auto"/>
              </w:rPr>
              <w:t>Senior Vice President, General Counsel and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2"/>
    </w:lvl>
    <w:lvl w:ilvl="1">
      <w:lvlJc w:val="left"/>
      <w:lvlText w:val="(%2)"/>
      <w:numFmt w:val="lowerLetter"/>
      <w:start w:val="1"/>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0"/>
    </w:lvl>
  </w:abstractNum>
  <w:abstractNum w:abstractNumId="8">
    <w:nsid w:val="216231B"/>
    <w:multiLevelType w:val="hybridMultilevel"/>
    <w:lvl w:ilvl="0">
      <w:lvlJc w:val="left"/>
      <w:lvlText w:val="%1."/>
      <w:numFmt w:val="decimal"/>
      <w:start w:val="11"/>
    </w:lvl>
  </w:abstractNum>
  <w:abstractNum w:abstractNumId="9">
    <w:nsid w:val="1F16E9E8"/>
    <w:multiLevelType w:val="hybridMultilevel"/>
    <w:lvl w:ilvl="0">
      <w:lvlJc w:val="left"/>
      <w:lvlText w:val="%1."/>
      <w:numFmt w:val="decimal"/>
      <w:start w:val="12"/>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2019-12-20T17:10:46Z</dcterms:created>
  <dcterms:modified xsi:type="dcterms:W3CDTF">2019-12-20T17:10:46Z</dcterms:modified>
</cp:coreProperties>
</file>