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 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148590</wp:posOffset>
            </wp:positionV>
            <wp:extent cx="21869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144145</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Date of Report: April 14, 2003</w:t>
      </w:r>
    </w:p>
    <w:p>
      <w:pPr>
        <w:spacing w:after="0" w:line="1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(Date of earliest event reported)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REGENERON PHARMACEUTICALS, INC.</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160" w:type="dxa"/>
            <w:vAlign w:val="bottom"/>
          </w:tcPr>
          <w:p>
            <w:pPr>
              <w:spacing w:after="0"/>
              <w:rPr>
                <w:sz w:val="19"/>
                <w:szCs w:val="19"/>
                <w:color w:val="auto"/>
              </w:rPr>
            </w:pPr>
          </w:p>
        </w:tc>
        <w:tc>
          <w:tcPr>
            <w:tcW w:w="5480" w:type="dxa"/>
            <w:vAlign w:val="bottom"/>
          </w:tcPr>
          <w:p>
            <w:pPr>
              <w:jc w:val="center"/>
              <w:ind w:right="272"/>
              <w:spacing w:after="0"/>
              <w:rPr>
                <w:sz w:val="20"/>
                <w:szCs w:val="20"/>
                <w:color w:val="auto"/>
              </w:rPr>
            </w:pPr>
            <w:r>
              <w:rPr>
                <w:rFonts w:ascii="Arial" w:cs="Arial" w:eastAsia="Arial" w:hAnsi="Arial"/>
                <w:sz w:val="18"/>
                <w:szCs w:val="18"/>
                <w:color w:val="auto"/>
                <w:w w:val="88"/>
              </w:rPr>
              <w:t>(Exact name of Registrant as specified in its charter)</w:t>
            </w:r>
          </w:p>
        </w:tc>
        <w:tc>
          <w:tcPr>
            <w:tcW w:w="2780" w:type="dxa"/>
            <w:vAlign w:val="bottom"/>
          </w:tcPr>
          <w:p>
            <w:pPr>
              <w:spacing w:after="0"/>
              <w:rPr>
                <w:sz w:val="19"/>
                <w:szCs w:val="19"/>
                <w:color w:val="auto"/>
              </w:rPr>
            </w:pPr>
          </w:p>
        </w:tc>
      </w:tr>
      <w:tr>
        <w:trPr>
          <w:trHeight w:val="453"/>
        </w:trPr>
        <w:tc>
          <w:tcPr>
            <w:tcW w:w="3160" w:type="dxa"/>
            <w:vAlign w:val="bottom"/>
          </w:tcPr>
          <w:p>
            <w:pPr>
              <w:jc w:val="center"/>
              <w:ind w:left="672"/>
              <w:spacing w:after="0"/>
              <w:rPr>
                <w:sz w:val="20"/>
                <w:szCs w:val="20"/>
                <w:color w:val="auto"/>
              </w:rPr>
            </w:pPr>
            <w:r>
              <w:rPr>
                <w:rFonts w:ascii="Arial" w:cs="Arial" w:eastAsia="Arial" w:hAnsi="Arial"/>
                <w:sz w:val="18"/>
                <w:szCs w:val="18"/>
                <w:color w:val="auto"/>
                <w:w w:val="92"/>
              </w:rPr>
              <w:t>New York</w:t>
            </w:r>
          </w:p>
        </w:tc>
        <w:tc>
          <w:tcPr>
            <w:tcW w:w="5480" w:type="dxa"/>
            <w:vAlign w:val="bottom"/>
          </w:tcPr>
          <w:p>
            <w:pPr>
              <w:jc w:val="right"/>
              <w:ind w:right="2192"/>
              <w:spacing w:after="0"/>
              <w:rPr>
                <w:sz w:val="20"/>
                <w:szCs w:val="20"/>
                <w:color w:val="auto"/>
              </w:rPr>
            </w:pPr>
            <w:r>
              <w:rPr>
                <w:rFonts w:ascii="Arial" w:cs="Arial" w:eastAsia="Arial" w:hAnsi="Arial"/>
                <w:sz w:val="18"/>
                <w:szCs w:val="18"/>
                <w:color w:val="auto"/>
              </w:rPr>
              <w:t>0-19034</w:t>
            </w:r>
          </w:p>
        </w:tc>
        <w:tc>
          <w:tcPr>
            <w:tcW w:w="2780" w:type="dxa"/>
            <w:vAlign w:val="bottom"/>
          </w:tcPr>
          <w:p>
            <w:pPr>
              <w:jc w:val="center"/>
              <w:ind w:right="312"/>
              <w:spacing w:after="0"/>
              <w:rPr>
                <w:sz w:val="20"/>
                <w:szCs w:val="20"/>
                <w:color w:val="auto"/>
              </w:rPr>
            </w:pPr>
            <w:r>
              <w:rPr>
                <w:rFonts w:ascii="Arial" w:cs="Arial" w:eastAsia="Arial" w:hAnsi="Arial"/>
                <w:sz w:val="18"/>
                <w:szCs w:val="18"/>
                <w:color w:val="auto"/>
                <w:w w:val="89"/>
              </w:rPr>
              <w:t>13-3444607</w:t>
            </w:r>
          </w:p>
        </w:tc>
      </w:tr>
      <w:tr>
        <w:trPr>
          <w:trHeight w:val="216"/>
        </w:trPr>
        <w:tc>
          <w:tcPr>
            <w:tcW w:w="3160" w:type="dxa"/>
            <w:vAlign w:val="bottom"/>
          </w:tcPr>
          <w:p>
            <w:pPr>
              <w:jc w:val="center"/>
              <w:ind w:left="652"/>
              <w:spacing w:after="0"/>
              <w:rPr>
                <w:sz w:val="20"/>
                <w:szCs w:val="20"/>
                <w:color w:val="auto"/>
              </w:rPr>
            </w:pPr>
            <w:r>
              <w:rPr>
                <w:rFonts w:ascii="Arial" w:cs="Arial" w:eastAsia="Arial" w:hAnsi="Arial"/>
                <w:sz w:val="18"/>
                <w:szCs w:val="18"/>
                <w:color w:val="auto"/>
                <w:w w:val="89"/>
              </w:rPr>
              <w:t>(State or Other Jurisdiction of</w:t>
            </w:r>
          </w:p>
        </w:tc>
        <w:tc>
          <w:tcPr>
            <w:tcW w:w="5480" w:type="dxa"/>
            <w:vAlign w:val="bottom"/>
          </w:tcPr>
          <w:p>
            <w:pPr>
              <w:jc w:val="center"/>
              <w:ind w:left="252"/>
              <w:spacing w:after="0"/>
              <w:rPr>
                <w:sz w:val="20"/>
                <w:szCs w:val="20"/>
                <w:color w:val="auto"/>
              </w:rPr>
            </w:pPr>
            <w:r>
              <w:rPr>
                <w:rFonts w:ascii="Arial" w:cs="Arial" w:eastAsia="Arial" w:hAnsi="Arial"/>
                <w:sz w:val="18"/>
                <w:szCs w:val="18"/>
                <w:color w:val="auto"/>
                <w:w w:val="90"/>
              </w:rPr>
              <w:t>(Commission File Number)</w:t>
            </w:r>
          </w:p>
        </w:tc>
        <w:tc>
          <w:tcPr>
            <w:tcW w:w="2780" w:type="dxa"/>
            <w:vAlign w:val="bottom"/>
          </w:tcPr>
          <w:p>
            <w:pPr>
              <w:jc w:val="center"/>
              <w:ind w:right="312"/>
              <w:spacing w:after="0"/>
              <w:rPr>
                <w:sz w:val="20"/>
                <w:szCs w:val="20"/>
                <w:color w:val="auto"/>
              </w:rPr>
            </w:pPr>
            <w:r>
              <w:rPr>
                <w:rFonts w:ascii="Arial" w:cs="Arial" w:eastAsia="Arial" w:hAnsi="Arial"/>
                <w:sz w:val="18"/>
                <w:szCs w:val="18"/>
                <w:color w:val="auto"/>
                <w:w w:val="90"/>
              </w:rPr>
              <w:t>(IRS Employer</w:t>
            </w:r>
          </w:p>
        </w:tc>
      </w:tr>
      <w:tr>
        <w:trPr>
          <w:trHeight w:val="222"/>
        </w:trPr>
        <w:tc>
          <w:tcPr>
            <w:tcW w:w="3160" w:type="dxa"/>
            <w:vAlign w:val="bottom"/>
          </w:tcPr>
          <w:p>
            <w:pPr>
              <w:jc w:val="center"/>
              <w:ind w:left="652"/>
              <w:spacing w:after="0"/>
              <w:rPr>
                <w:sz w:val="20"/>
                <w:szCs w:val="20"/>
                <w:color w:val="auto"/>
              </w:rPr>
            </w:pPr>
            <w:r>
              <w:rPr>
                <w:rFonts w:ascii="Arial" w:cs="Arial" w:eastAsia="Arial" w:hAnsi="Arial"/>
                <w:sz w:val="18"/>
                <w:szCs w:val="18"/>
                <w:color w:val="auto"/>
                <w:w w:val="91"/>
              </w:rPr>
              <w:t>Incorporation)</w:t>
            </w:r>
          </w:p>
        </w:tc>
        <w:tc>
          <w:tcPr>
            <w:tcW w:w="5480" w:type="dxa"/>
            <w:vAlign w:val="bottom"/>
          </w:tcPr>
          <w:p>
            <w:pPr>
              <w:spacing w:after="0"/>
              <w:rPr>
                <w:sz w:val="19"/>
                <w:szCs w:val="19"/>
                <w:color w:val="auto"/>
              </w:rPr>
            </w:pPr>
          </w:p>
        </w:tc>
        <w:tc>
          <w:tcPr>
            <w:tcW w:w="2780" w:type="dxa"/>
            <w:vAlign w:val="bottom"/>
          </w:tcPr>
          <w:p>
            <w:pPr>
              <w:jc w:val="center"/>
              <w:ind w:right="312"/>
              <w:spacing w:after="0"/>
              <w:rPr>
                <w:sz w:val="20"/>
                <w:szCs w:val="20"/>
                <w:color w:val="auto"/>
              </w:rPr>
            </w:pPr>
            <w:r>
              <w:rPr>
                <w:rFonts w:ascii="Arial" w:cs="Arial" w:eastAsia="Arial" w:hAnsi="Arial"/>
                <w:sz w:val="18"/>
                <w:szCs w:val="18"/>
                <w:color w:val="auto"/>
                <w:w w:val="92"/>
              </w:rPr>
              <w:t>Identification No.)</w:t>
            </w:r>
          </w:p>
        </w:tc>
      </w:tr>
      <w:tr>
        <w:trPr>
          <w:trHeight w:val="420"/>
        </w:trPr>
        <w:tc>
          <w:tcPr>
            <w:tcW w:w="3160" w:type="dxa"/>
            <w:vAlign w:val="bottom"/>
          </w:tcPr>
          <w:p>
            <w:pPr>
              <w:spacing w:after="0"/>
              <w:rPr>
                <w:sz w:val="24"/>
                <w:szCs w:val="24"/>
                <w:color w:val="auto"/>
              </w:rPr>
            </w:pPr>
          </w:p>
        </w:tc>
        <w:tc>
          <w:tcPr>
            <w:tcW w:w="5480" w:type="dxa"/>
            <w:vAlign w:val="bottom"/>
          </w:tcPr>
          <w:p>
            <w:pPr>
              <w:jc w:val="center"/>
              <w:ind w:right="292"/>
              <w:spacing w:after="0"/>
              <w:rPr>
                <w:sz w:val="20"/>
                <w:szCs w:val="20"/>
                <w:color w:val="auto"/>
              </w:rPr>
            </w:pPr>
            <w:r>
              <w:rPr>
                <w:rFonts w:ascii="Arial" w:cs="Arial" w:eastAsia="Arial" w:hAnsi="Arial"/>
                <w:sz w:val="18"/>
                <w:szCs w:val="18"/>
                <w:b w:val="1"/>
                <w:bCs w:val="1"/>
                <w:color w:val="auto"/>
                <w:w w:val="92"/>
              </w:rPr>
              <w:t>777 Old Saw Mill River Road</w:t>
            </w:r>
          </w:p>
        </w:tc>
        <w:tc>
          <w:tcPr>
            <w:tcW w:w="2780" w:type="dxa"/>
            <w:vAlign w:val="bottom"/>
          </w:tcPr>
          <w:p>
            <w:pPr>
              <w:spacing w:after="0"/>
              <w:rPr>
                <w:sz w:val="24"/>
                <w:szCs w:val="24"/>
                <w:color w:val="auto"/>
              </w:rPr>
            </w:pPr>
          </w:p>
        </w:tc>
      </w:tr>
      <w:tr>
        <w:trPr>
          <w:trHeight w:val="222"/>
        </w:trPr>
        <w:tc>
          <w:tcPr>
            <w:tcW w:w="3160" w:type="dxa"/>
            <w:vAlign w:val="bottom"/>
          </w:tcPr>
          <w:p>
            <w:pPr>
              <w:spacing w:after="0"/>
              <w:rPr>
                <w:sz w:val="19"/>
                <w:szCs w:val="19"/>
                <w:color w:val="auto"/>
              </w:rPr>
            </w:pPr>
          </w:p>
        </w:tc>
        <w:tc>
          <w:tcPr>
            <w:tcW w:w="5480" w:type="dxa"/>
            <w:vAlign w:val="bottom"/>
          </w:tcPr>
          <w:p>
            <w:pPr>
              <w:jc w:val="center"/>
              <w:ind w:right="272"/>
              <w:spacing w:after="0"/>
              <w:rPr>
                <w:sz w:val="20"/>
                <w:szCs w:val="20"/>
                <w:color w:val="auto"/>
              </w:rPr>
            </w:pPr>
            <w:r>
              <w:rPr>
                <w:rFonts w:ascii="Arial" w:cs="Arial" w:eastAsia="Arial" w:hAnsi="Arial"/>
                <w:sz w:val="18"/>
                <w:szCs w:val="18"/>
                <w:b w:val="1"/>
                <w:bCs w:val="1"/>
                <w:color w:val="auto"/>
                <w:w w:val="91"/>
              </w:rPr>
              <w:t>Tarrytown, NY 10591-6707</w:t>
            </w:r>
          </w:p>
        </w:tc>
        <w:tc>
          <w:tcPr>
            <w:tcW w:w="2780" w:type="dxa"/>
            <w:vAlign w:val="bottom"/>
          </w:tcPr>
          <w:p>
            <w:pPr>
              <w:spacing w:after="0"/>
              <w:rPr>
                <w:sz w:val="19"/>
                <w:szCs w:val="19"/>
                <w:color w:val="auto"/>
              </w:rPr>
            </w:pPr>
          </w:p>
        </w:tc>
      </w:tr>
      <w:tr>
        <w:trPr>
          <w:trHeight w:val="222"/>
        </w:trPr>
        <w:tc>
          <w:tcPr>
            <w:tcW w:w="3160" w:type="dxa"/>
            <w:vAlign w:val="bottom"/>
          </w:tcPr>
          <w:p>
            <w:pPr>
              <w:spacing w:after="0"/>
              <w:rPr>
                <w:sz w:val="19"/>
                <w:szCs w:val="19"/>
                <w:color w:val="auto"/>
              </w:rPr>
            </w:pPr>
          </w:p>
        </w:tc>
        <w:tc>
          <w:tcPr>
            <w:tcW w:w="5480" w:type="dxa"/>
            <w:vAlign w:val="bottom"/>
          </w:tcPr>
          <w:p>
            <w:pPr>
              <w:jc w:val="center"/>
              <w:ind w:right="292"/>
              <w:spacing w:after="0"/>
              <w:rPr>
                <w:sz w:val="20"/>
                <w:szCs w:val="20"/>
                <w:color w:val="auto"/>
              </w:rPr>
            </w:pPr>
            <w:r>
              <w:rPr>
                <w:rFonts w:ascii="Arial" w:cs="Arial" w:eastAsia="Arial" w:hAnsi="Arial"/>
                <w:sz w:val="18"/>
                <w:szCs w:val="18"/>
                <w:color w:val="auto"/>
                <w:w w:val="90"/>
              </w:rPr>
              <w:t>(Address of principal executive offices, including zip code)</w:t>
            </w:r>
          </w:p>
        </w:tc>
        <w:tc>
          <w:tcPr>
            <w:tcW w:w="2780" w:type="dxa"/>
            <w:vAlign w:val="bottom"/>
          </w:tcPr>
          <w:p>
            <w:pPr>
              <w:spacing w:after="0"/>
              <w:rPr>
                <w:sz w:val="19"/>
                <w:szCs w:val="19"/>
                <w:color w:val="auto"/>
              </w:rPr>
            </w:pPr>
          </w:p>
        </w:tc>
      </w:tr>
      <w:tr>
        <w:trPr>
          <w:trHeight w:val="432"/>
        </w:trPr>
        <w:tc>
          <w:tcPr>
            <w:tcW w:w="3160" w:type="dxa"/>
            <w:vAlign w:val="bottom"/>
          </w:tcPr>
          <w:p>
            <w:pPr>
              <w:spacing w:after="0"/>
              <w:rPr>
                <w:sz w:val="24"/>
                <w:szCs w:val="24"/>
                <w:color w:val="auto"/>
              </w:rPr>
            </w:pPr>
          </w:p>
        </w:tc>
        <w:tc>
          <w:tcPr>
            <w:tcW w:w="5480" w:type="dxa"/>
            <w:vAlign w:val="bottom"/>
          </w:tcPr>
          <w:p>
            <w:pPr>
              <w:jc w:val="center"/>
              <w:ind w:right="272"/>
              <w:spacing w:after="0"/>
              <w:rPr>
                <w:sz w:val="20"/>
                <w:szCs w:val="20"/>
                <w:color w:val="auto"/>
              </w:rPr>
            </w:pPr>
            <w:r>
              <w:rPr>
                <w:rFonts w:ascii="Arial" w:cs="Arial" w:eastAsia="Arial" w:hAnsi="Arial"/>
                <w:sz w:val="18"/>
                <w:szCs w:val="18"/>
                <w:color w:val="auto"/>
                <w:w w:val="88"/>
              </w:rPr>
              <w:t>Registrant’s telephone number, including area code</w:t>
            </w:r>
            <w:r>
              <w:rPr>
                <w:rFonts w:ascii="Arial" w:cs="Arial" w:eastAsia="Arial" w:hAnsi="Arial"/>
                <w:sz w:val="18"/>
                <w:szCs w:val="18"/>
                <w:b w:val="1"/>
                <w:bCs w:val="1"/>
                <w:color w:val="auto"/>
                <w:w w:val="88"/>
              </w:rPr>
              <w:t>:</w:t>
            </w:r>
            <w:r>
              <w:rPr>
                <w:rFonts w:ascii="Arial" w:cs="Arial" w:eastAsia="Arial" w:hAnsi="Arial"/>
                <w:sz w:val="18"/>
                <w:szCs w:val="18"/>
                <w:color w:val="auto"/>
                <w:w w:val="88"/>
              </w:rPr>
              <w:t xml:space="preserve"> (914) 347-7000</w:t>
            </w:r>
          </w:p>
        </w:tc>
        <w:tc>
          <w:tcPr>
            <w:tcW w:w="2780" w:type="dxa"/>
            <w:vAlign w:val="bottom"/>
          </w:tcPr>
          <w:p>
            <w:pPr>
              <w:spacing w:after="0"/>
              <w:rPr>
                <w:sz w:val="24"/>
                <w:szCs w:val="24"/>
                <w:color w:val="auto"/>
              </w:rPr>
            </w:pPr>
          </w:p>
        </w:tc>
      </w:tr>
      <w:tr>
        <w:trPr>
          <w:trHeight w:val="661"/>
        </w:trPr>
        <w:tc>
          <w:tcPr>
            <w:tcW w:w="3160" w:type="dxa"/>
            <w:vAlign w:val="bottom"/>
            <w:tcBorders>
              <w:bottom w:val="single" w:sz="8" w:color="808080"/>
            </w:tcBorders>
          </w:tcPr>
          <w:p>
            <w:pPr>
              <w:spacing w:after="0"/>
              <w:rPr>
                <w:sz w:val="24"/>
                <w:szCs w:val="24"/>
                <w:color w:val="auto"/>
              </w:rPr>
            </w:pPr>
          </w:p>
        </w:tc>
        <w:tc>
          <w:tcPr>
            <w:tcW w:w="5480" w:type="dxa"/>
            <w:vAlign w:val="bottom"/>
            <w:tcBorders>
              <w:bottom w:val="single" w:sz="8" w:color="808080"/>
            </w:tcBorders>
          </w:tcPr>
          <w:p>
            <w:pPr>
              <w:spacing w:after="0"/>
              <w:rPr>
                <w:sz w:val="24"/>
                <w:szCs w:val="24"/>
                <w:color w:val="auto"/>
              </w:rPr>
            </w:pPr>
          </w:p>
        </w:tc>
        <w:tc>
          <w:tcPr>
            <w:tcW w:w="27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5. OTHER EVENTS</w:t>
        </w:r>
      </w:hyperlink>
    </w:p>
    <w:p>
      <w:pPr>
        <w:spacing w:after="0" w:line="8" w:lineRule="exact"/>
        <w:rPr>
          <w:sz w:val="20"/>
          <w:szCs w:val="20"/>
          <w:color w:val="auto"/>
        </w:rPr>
      </w:pPr>
    </w:p>
    <w:p>
      <w:pPr>
        <w:ind w:left="320"/>
        <w:spacing w:after="0"/>
        <w:rPr>
          <w:rFonts w:ascii="Arial" w:cs="Arial" w:eastAsia="Arial" w:hAnsi="Arial"/>
          <w:sz w:val="21"/>
          <w:szCs w:val="21"/>
          <w:u w:val="single" w:color="auto"/>
          <w:color w:val="0000EE"/>
        </w:rPr>
      </w:pPr>
      <w:hyperlink w:anchor="page4">
        <w:r>
          <w:rPr>
            <w:rFonts w:ascii="Arial" w:cs="Arial" w:eastAsia="Arial" w:hAnsi="Arial"/>
            <w:sz w:val="21"/>
            <w:szCs w:val="21"/>
            <w:u w:val="single" w:color="auto"/>
            <w:color w:val="0000EE"/>
          </w:rPr>
          <w:t>ITEM 7. FINANCIAL STATEMENTS, PRO FORMA FINANCIAL INFORMATION AND EXHIBITS</w:t>
        </w:r>
      </w:hyperlink>
    </w:p>
    <w:p>
      <w:pPr>
        <w:spacing w:after="0" w:line="232"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rPr>
          <w:sz w:val="20"/>
          <w:szCs w:val="20"/>
          <w:color w:val="auto"/>
        </w:rPr>
      </w:pPr>
      <w:r>
        <w:rPr>
          <w:rFonts w:ascii="Arial" w:cs="Arial" w:eastAsia="Arial" w:hAnsi="Arial"/>
          <w:sz w:val="22"/>
          <w:szCs w:val="22"/>
          <w:u w:val="single" w:color="auto"/>
          <w:color w:val="0000EE"/>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EVENTS</w:t>
      </w:r>
    </w:p>
    <w:p>
      <w:pPr>
        <w:spacing w:after="0" w:line="232" w:lineRule="exact"/>
        <w:rPr>
          <w:sz w:val="20"/>
          <w:szCs w:val="20"/>
          <w:color w:val="auto"/>
        </w:rPr>
      </w:pPr>
    </w:p>
    <w:p>
      <w:pPr>
        <w:ind w:firstLine="439"/>
        <w:spacing w:after="0" w:line="212" w:lineRule="auto"/>
        <w:rPr>
          <w:sz w:val="20"/>
          <w:szCs w:val="20"/>
          <w:color w:val="auto"/>
        </w:rPr>
      </w:pPr>
      <w:r>
        <w:rPr>
          <w:rFonts w:ascii="Arial" w:cs="Arial" w:eastAsia="Arial" w:hAnsi="Arial"/>
          <w:sz w:val="18"/>
          <w:szCs w:val="18"/>
          <w:color w:val="auto"/>
        </w:rPr>
        <w:t>On April 14, 2003, the Company issued a press release announcing the results of its Phase II trial evaluating AXOKINE</w:t>
      </w:r>
      <w:r>
        <w:rPr>
          <w:rFonts w:ascii="Arial" w:cs="Arial" w:eastAsia="Arial" w:hAnsi="Arial"/>
          <w:sz w:val="29"/>
          <w:szCs w:val="29"/>
          <w:color w:val="auto"/>
          <w:vertAlign w:val="superscript"/>
        </w:rPr>
        <w:t>®</w:t>
      </w:r>
      <w:r>
        <w:rPr>
          <w:rFonts w:ascii="Arial" w:cs="Arial" w:eastAsia="Arial" w:hAnsi="Arial"/>
          <w:sz w:val="18"/>
          <w:szCs w:val="18"/>
          <w:color w:val="auto"/>
        </w:rPr>
        <w:t xml:space="preserve"> for weight loss in overweight and obese people with type 2 diabetes.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FINANCIAL STATEMENTS, PRO FORMA FINANCIAL INFORMATION AND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200" w:lineRule="exact"/>
        <w:rPr>
          <w:sz w:val="20"/>
          <w:szCs w:val="20"/>
          <w:color w:val="auto"/>
        </w:rPr>
      </w:pPr>
    </w:p>
    <w:p>
      <w:pPr>
        <w:spacing w:after="0" w:line="26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color w:val="auto"/>
        </w:rPr>
        <w:t>99a</w:t>
      </w:r>
      <w:r>
        <w:rPr>
          <w:sz w:val="20"/>
          <w:szCs w:val="20"/>
          <w:color w:val="auto"/>
        </w:rPr>
        <w:tab/>
      </w:r>
      <w:r>
        <w:rPr>
          <w:rFonts w:ascii="Arial" w:cs="Arial" w:eastAsia="Arial" w:hAnsi="Arial"/>
          <w:sz w:val="18"/>
          <w:szCs w:val="18"/>
          <w:color w:val="auto"/>
        </w:rPr>
        <w:t>Press Release dated April 14,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ind w:left="7540"/>
        <w:spacing w:after="0"/>
        <w:tabs>
          <w:tab w:leader="none" w:pos="7960" w:val="left"/>
        </w:tabs>
        <w:rPr>
          <w:sz w:val="20"/>
          <w:szCs w:val="20"/>
          <w:color w:val="auto"/>
        </w:rPr>
      </w:pPr>
      <w:r>
        <w:rPr>
          <w:rFonts w:ascii="Arial" w:cs="Arial" w:eastAsia="Arial" w:hAnsi="Arial"/>
          <w:sz w:val="18"/>
          <w:szCs w:val="18"/>
          <w:color w:val="auto"/>
        </w:rPr>
        <w:t>By:</w:t>
        <w:tab/>
        <w:t>/s/ Stuart Kolinski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80010</wp:posOffset>
            </wp:positionV>
            <wp:extent cx="21780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19"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Name: Stuart Kolinski</w:t>
      </w:r>
    </w:p>
    <w:p>
      <w:pPr>
        <w:spacing w:after="0" w:line="15" w:lineRule="exact"/>
        <w:rPr>
          <w:sz w:val="20"/>
          <w:szCs w:val="20"/>
          <w:color w:val="auto"/>
        </w:rPr>
      </w:pPr>
    </w:p>
    <w:p>
      <w:pPr>
        <w:ind w:left="7980"/>
        <w:spacing w:after="0"/>
        <w:rPr>
          <w:sz w:val="20"/>
          <w:szCs w:val="20"/>
          <w:color w:val="auto"/>
        </w:rPr>
      </w:pPr>
      <w:r>
        <w:rPr>
          <w:rFonts w:ascii="Arial" w:cs="Arial" w:eastAsia="Arial" w:hAnsi="Arial"/>
          <w:sz w:val="16"/>
          <w:szCs w:val="16"/>
          <w:color w:val="auto"/>
        </w:rPr>
        <w:t>Title: Vice President &amp; General Counsel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Date: April 16, 2003</w:t>
      </w:r>
    </w:p>
    <w:p>
      <w:pPr>
        <w:sectPr>
          <w:pgSz w:w="11900" w:h="16838" w:orient="portrait"/>
          <w:cols w:equalWidth="0" w:num="1">
            <w:col w:w="11000"/>
          </w:cols>
          <w:pgMar w:left="240" w:top="419" w:right="65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EXHIBIT 99(a)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REGENERON’S AXOKINE</w:t>
      </w:r>
      <w:r>
        <w:rPr>
          <w:rFonts w:ascii="Arial" w:cs="Arial" w:eastAsia="Arial" w:hAnsi="Arial"/>
          <w:sz w:val="29"/>
          <w:szCs w:val="29"/>
          <w:b w:val="1"/>
          <w:bCs w:val="1"/>
          <w:color w:val="auto"/>
          <w:vertAlign w:val="superscript"/>
        </w:rPr>
        <w:t>®</w:t>
      </w:r>
      <w:r>
        <w:rPr>
          <w:rFonts w:ascii="Arial" w:cs="Arial" w:eastAsia="Arial" w:hAnsi="Arial"/>
          <w:sz w:val="18"/>
          <w:szCs w:val="18"/>
          <w:b w:val="1"/>
          <w:bCs w:val="1"/>
          <w:color w:val="auto"/>
        </w:rPr>
        <w:t xml:space="preserve"> PROMOTES WEIGHT LOSS IN STUDY OF</w:t>
      </w:r>
    </w:p>
    <w:p>
      <w:pPr>
        <w:jc w:val="center"/>
        <w:spacing w:after="0"/>
        <w:rPr>
          <w:sz w:val="20"/>
          <w:szCs w:val="20"/>
          <w:color w:val="auto"/>
        </w:rPr>
      </w:pPr>
      <w:r>
        <w:rPr>
          <w:rFonts w:ascii="Arial" w:cs="Arial" w:eastAsia="Arial" w:hAnsi="Arial"/>
          <w:sz w:val="18"/>
          <w:szCs w:val="18"/>
          <w:b w:val="1"/>
          <w:bCs w:val="1"/>
          <w:color w:val="auto"/>
        </w:rPr>
        <w:t>OVERWEIGHT AND OBESE PEOPLE WITH TYPE 2 DIABETES</w:t>
      </w:r>
    </w:p>
    <w:p>
      <w:pPr>
        <w:spacing w:after="0" w:line="205"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 xml:space="preserve">Tarrytown, New York (April 14, 2003) — Regeneron Pharmaceuticals, Inc. (Nasdaq: </w:t>
      </w:r>
      <w:r>
        <w:rPr>
          <w:rFonts w:ascii="Arial" w:cs="Arial" w:eastAsia="Arial" w:hAnsi="Arial"/>
          <w:sz w:val="17"/>
          <w:szCs w:val="17"/>
          <w:b w:val="1"/>
          <w:bCs w:val="1"/>
          <w:color w:val="auto"/>
        </w:rPr>
        <w:t>REGN</w:t>
      </w:r>
      <w:r>
        <w:rPr>
          <w:rFonts w:ascii="Arial" w:cs="Arial" w:eastAsia="Arial" w:hAnsi="Arial"/>
          <w:sz w:val="17"/>
          <w:szCs w:val="17"/>
          <w:color w:val="auto"/>
        </w:rPr>
        <w:t>) today announced initial results of its Phase II study evaluating AXOKINE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for weight loss in overweight and obese people with type 2 diabetes at doses of 1.0 microgram per kilogram (mcg/kg) and 0.5 mcg/kg per day. The study showed that 12 weeks of treatment with AXOKINE resulted in statistically significant and dose-dependent weight loss.</w:t>
      </w:r>
    </w:p>
    <w:p>
      <w:pPr>
        <w:spacing w:after="0" w:line="2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Subjects who were treated with AXOKINE (1.0 mcg/kg/day) and dietary counseling lost 6.5 pounds on average, while those treated with placebo and dietary counseling lost only 2.5 pounds (p&lt;.01). Trends towards improvements in blood glucose and other metabolic parameters were also observed during this small, short-term study. AXOKINE was generally well-tolerated with no AXOKINE-related serious adverse events. The 1.0 mcg/kg dose is being studied in the ongoing Phase III AXOKINE program, which thus far has included over 2,500 overweight and obese non-diabetic subjects. Approximately 90 percent of study participants completed the 12-week study.</w:t>
      </w:r>
    </w:p>
    <w:p>
      <w:pPr>
        <w:spacing w:after="0" w:line="197"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“Overweight and obesity are major contributing factors for 80% of the 16 million Americans with type 2 diabetes, and weight loss is a cornerstone of both preventing and treating this serious disease,” said Hans-Peter Guler, M.D., Vice President of Clinical Sciences for Regeneron. “Moreover, several studies have shown that weight loss in people with diabetes is often more difficult to achieve than weight loss in non-diabetic individuals.”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preliminary data from the Phase II study are summarized below.</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Placebo versus AXOKINE-Treated Participants</w:t>
      </w:r>
    </w:p>
    <w:p>
      <w:pPr>
        <w:spacing w:after="0" w:line="231" w:lineRule="exact"/>
        <w:rPr>
          <w:sz w:val="20"/>
          <w:szCs w:val="20"/>
          <w:color w:val="auto"/>
        </w:rPr>
      </w:pPr>
    </w:p>
    <w:p>
      <w:pPr>
        <w:ind w:left="820" w:hanging="461"/>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Average Weight Loss vs. Baseline:</w:t>
      </w:r>
    </w:p>
    <w:p>
      <w:pPr>
        <w:spacing w:after="0" w:line="200" w:lineRule="exact"/>
        <w:rPr>
          <w:sz w:val="20"/>
          <w:szCs w:val="20"/>
          <w:color w:val="auto"/>
        </w:rPr>
      </w:pPr>
    </w:p>
    <w:p>
      <w:pPr>
        <w:spacing w:after="0" w:line="264"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2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320" w:type="dxa"/>
            <w:vAlign w:val="bottom"/>
            <w:gridSpan w:val="3"/>
          </w:tcPr>
          <w:p>
            <w:pPr>
              <w:ind w:left="840"/>
              <w:spacing w:after="0"/>
              <w:rPr>
                <w:sz w:val="20"/>
                <w:szCs w:val="20"/>
                <w:color w:val="auto"/>
              </w:rPr>
            </w:pPr>
            <w:r>
              <w:rPr>
                <w:rFonts w:ascii="Arial" w:cs="Arial" w:eastAsia="Arial" w:hAnsi="Arial"/>
                <w:sz w:val="14"/>
                <w:szCs w:val="14"/>
                <w:b w:val="1"/>
                <w:bCs w:val="1"/>
                <w:color w:val="auto"/>
              </w:rPr>
              <w:t>AXOKINE</w:t>
            </w:r>
          </w:p>
        </w:tc>
      </w:tr>
      <w:tr>
        <w:trPr>
          <w:trHeight w:val="95"/>
        </w:trPr>
        <w:tc>
          <w:tcPr>
            <w:tcW w:w="2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r>
      <w:tr>
        <w:trPr>
          <w:trHeight w:val="263"/>
        </w:trPr>
        <w:tc>
          <w:tcPr>
            <w:tcW w:w="2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ind w:left="240"/>
              <w:spacing w:after="0"/>
              <w:rPr>
                <w:sz w:val="20"/>
                <w:szCs w:val="20"/>
                <w:color w:val="auto"/>
              </w:rPr>
            </w:pPr>
            <w:r>
              <w:rPr>
                <w:rFonts w:ascii="Arial" w:cs="Arial" w:eastAsia="Arial" w:hAnsi="Arial"/>
                <w:sz w:val="14"/>
                <w:szCs w:val="14"/>
                <w:b w:val="1"/>
                <w:bCs w:val="1"/>
                <w:color w:val="auto"/>
              </w:rPr>
              <w:t>Placebo</w:t>
            </w:r>
          </w:p>
        </w:tc>
        <w:tc>
          <w:tcPr>
            <w:tcW w:w="400" w:type="dxa"/>
            <w:vAlign w:val="bottom"/>
          </w:tcPr>
          <w:p>
            <w:pPr>
              <w:spacing w:after="0"/>
              <w:rPr>
                <w:sz w:val="22"/>
                <w:szCs w:val="22"/>
                <w:color w:val="auto"/>
              </w:rPr>
            </w:pPr>
          </w:p>
        </w:tc>
        <w:tc>
          <w:tcPr>
            <w:tcW w:w="960" w:type="dxa"/>
            <w:vAlign w:val="bottom"/>
          </w:tcPr>
          <w:p>
            <w:pPr>
              <w:ind w:left="160"/>
              <w:spacing w:after="0"/>
              <w:rPr>
                <w:sz w:val="20"/>
                <w:szCs w:val="20"/>
                <w:color w:val="auto"/>
              </w:rPr>
            </w:pPr>
            <w:r>
              <w:rPr>
                <w:rFonts w:ascii="Arial" w:cs="Arial" w:eastAsia="Arial" w:hAnsi="Arial"/>
                <w:sz w:val="14"/>
                <w:szCs w:val="14"/>
                <w:b w:val="1"/>
                <w:bCs w:val="1"/>
                <w:color w:val="auto"/>
              </w:rPr>
              <w:t>0.5 mcg/kg</w:t>
            </w:r>
          </w:p>
        </w:tc>
        <w:tc>
          <w:tcPr>
            <w:tcW w:w="380" w:type="dxa"/>
            <w:vAlign w:val="bottom"/>
          </w:tcPr>
          <w:p>
            <w:pPr>
              <w:spacing w:after="0"/>
              <w:rPr>
                <w:sz w:val="22"/>
                <w:szCs w:val="22"/>
                <w:color w:val="auto"/>
              </w:rPr>
            </w:pPr>
          </w:p>
        </w:tc>
        <w:tc>
          <w:tcPr>
            <w:tcW w:w="980" w:type="dxa"/>
            <w:vAlign w:val="bottom"/>
          </w:tcPr>
          <w:p>
            <w:pPr>
              <w:ind w:left="180"/>
              <w:spacing w:after="0"/>
              <w:rPr>
                <w:sz w:val="20"/>
                <w:szCs w:val="20"/>
                <w:color w:val="auto"/>
              </w:rPr>
            </w:pPr>
            <w:r>
              <w:rPr>
                <w:rFonts w:ascii="Arial" w:cs="Arial" w:eastAsia="Arial" w:hAnsi="Arial"/>
                <w:sz w:val="14"/>
                <w:szCs w:val="14"/>
                <w:b w:val="1"/>
                <w:bCs w:val="1"/>
                <w:color w:val="auto"/>
              </w:rPr>
              <w:t>1.0 mcg/kg</w:t>
            </w:r>
          </w:p>
        </w:tc>
      </w:tr>
      <w:tr>
        <w:trPr>
          <w:trHeight w:val="95"/>
        </w:trPr>
        <w:tc>
          <w:tcPr>
            <w:tcW w:w="2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r>
      <w:tr>
        <w:trPr>
          <w:trHeight w:val="309"/>
        </w:trPr>
        <w:tc>
          <w:tcPr>
            <w:tcW w:w="2540" w:type="dxa"/>
            <w:vAlign w:val="bottom"/>
          </w:tcPr>
          <w:p>
            <w:pPr>
              <w:spacing w:after="0"/>
              <w:rPr>
                <w:sz w:val="20"/>
                <w:szCs w:val="20"/>
                <w:color w:val="auto"/>
              </w:rPr>
            </w:pPr>
            <w:r>
              <w:rPr>
                <w:rFonts w:ascii="Arial" w:cs="Arial" w:eastAsia="Arial" w:hAnsi="Arial"/>
                <w:sz w:val="18"/>
                <w:szCs w:val="18"/>
                <w:color w:val="auto"/>
              </w:rPr>
              <w:t>Intent-to-Treat Analysis **</w:t>
            </w:r>
          </w:p>
        </w:tc>
        <w:tc>
          <w:tcPr>
            <w:tcW w:w="1580" w:type="dxa"/>
            <w:vAlign w:val="bottom"/>
            <w:gridSpan w:val="2"/>
          </w:tcPr>
          <w:p>
            <w:pPr>
              <w:ind w:left="640"/>
              <w:spacing w:after="0"/>
              <w:rPr>
                <w:sz w:val="20"/>
                <w:szCs w:val="20"/>
                <w:color w:val="auto"/>
              </w:rPr>
            </w:pPr>
            <w:r>
              <w:rPr>
                <w:rFonts w:ascii="Arial" w:cs="Arial" w:eastAsia="Arial" w:hAnsi="Arial"/>
                <w:sz w:val="18"/>
                <w:szCs w:val="18"/>
                <w:color w:val="auto"/>
              </w:rPr>
              <w:t>2.5 lbs</w:t>
            </w:r>
          </w:p>
        </w:tc>
        <w:tc>
          <w:tcPr>
            <w:tcW w:w="1360" w:type="dxa"/>
            <w:vAlign w:val="bottom"/>
            <w:gridSpan w:val="2"/>
          </w:tcPr>
          <w:p>
            <w:pPr>
              <w:ind w:left="400"/>
              <w:spacing w:after="0"/>
              <w:rPr>
                <w:sz w:val="20"/>
                <w:szCs w:val="20"/>
                <w:color w:val="auto"/>
              </w:rPr>
            </w:pPr>
            <w:r>
              <w:rPr>
                <w:rFonts w:ascii="Arial" w:cs="Arial" w:eastAsia="Arial" w:hAnsi="Arial"/>
                <w:sz w:val="18"/>
                <w:szCs w:val="18"/>
                <w:color w:val="auto"/>
              </w:rPr>
              <w:t>5.2 lbs</w:t>
            </w:r>
          </w:p>
        </w:tc>
        <w:tc>
          <w:tcPr>
            <w:tcW w:w="3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6.5 lbs</w:t>
            </w:r>
          </w:p>
        </w:tc>
      </w:tr>
      <w:tr>
        <w:trPr>
          <w:trHeight w:val="216"/>
        </w:trPr>
        <w:tc>
          <w:tcPr>
            <w:tcW w:w="2540" w:type="dxa"/>
            <w:vAlign w:val="bottom"/>
          </w:tcPr>
          <w:p>
            <w:pPr>
              <w:spacing w:after="0"/>
              <w:rPr>
                <w:sz w:val="18"/>
                <w:szCs w:val="18"/>
                <w:color w:val="auto"/>
              </w:rPr>
            </w:pPr>
          </w:p>
        </w:tc>
        <w:tc>
          <w:tcPr>
            <w:tcW w:w="1580" w:type="dxa"/>
            <w:vAlign w:val="bottom"/>
            <w:gridSpan w:val="2"/>
          </w:tcPr>
          <w:p>
            <w:pPr>
              <w:ind w:left="640"/>
              <w:spacing w:after="0"/>
              <w:rPr>
                <w:sz w:val="20"/>
                <w:szCs w:val="20"/>
                <w:color w:val="auto"/>
              </w:rPr>
            </w:pPr>
            <w:r>
              <w:rPr>
                <w:rFonts w:ascii="Arial" w:cs="Arial" w:eastAsia="Arial" w:hAnsi="Arial"/>
                <w:sz w:val="18"/>
                <w:szCs w:val="18"/>
                <w:color w:val="auto"/>
              </w:rPr>
              <w:t>n=52</w:t>
            </w:r>
          </w:p>
        </w:tc>
        <w:tc>
          <w:tcPr>
            <w:tcW w:w="1360" w:type="dxa"/>
            <w:vAlign w:val="bottom"/>
            <w:gridSpan w:val="2"/>
          </w:tcPr>
          <w:p>
            <w:pPr>
              <w:ind w:left="400"/>
              <w:spacing w:after="0"/>
              <w:rPr>
                <w:sz w:val="20"/>
                <w:szCs w:val="20"/>
                <w:color w:val="auto"/>
              </w:rPr>
            </w:pPr>
            <w:r>
              <w:rPr>
                <w:rFonts w:ascii="Arial" w:cs="Arial" w:eastAsia="Arial" w:hAnsi="Arial"/>
                <w:sz w:val="18"/>
                <w:szCs w:val="18"/>
                <w:color w:val="auto"/>
              </w:rPr>
              <w:t>n= 52</w:t>
            </w:r>
          </w:p>
        </w:tc>
        <w:tc>
          <w:tcPr>
            <w:tcW w:w="38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n= 53</w:t>
            </w:r>
          </w:p>
        </w:tc>
      </w:tr>
      <w:tr>
        <w:trPr>
          <w:trHeight w:val="222"/>
        </w:trPr>
        <w:tc>
          <w:tcPr>
            <w:tcW w:w="2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60" w:type="dxa"/>
            <w:vAlign w:val="bottom"/>
            <w:gridSpan w:val="2"/>
          </w:tcPr>
          <w:p>
            <w:pPr>
              <w:ind w:left="400"/>
              <w:spacing w:after="0"/>
              <w:rPr>
                <w:sz w:val="20"/>
                <w:szCs w:val="20"/>
                <w:color w:val="auto"/>
              </w:rPr>
            </w:pPr>
            <w:r>
              <w:rPr>
                <w:rFonts w:ascii="Arial" w:cs="Arial" w:eastAsia="Arial" w:hAnsi="Arial"/>
                <w:sz w:val="18"/>
                <w:szCs w:val="18"/>
                <w:color w:val="auto"/>
              </w:rPr>
              <w:t>* p= .08</w:t>
            </w:r>
          </w:p>
        </w:tc>
        <w:tc>
          <w:tcPr>
            <w:tcW w:w="380" w:type="dxa"/>
            <w:vAlign w:val="bottom"/>
          </w:tcPr>
          <w:p>
            <w:pPr>
              <w:spacing w:after="0"/>
              <w:rPr>
                <w:sz w:val="19"/>
                <w:szCs w:val="19"/>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 p&lt; 0.01</w:t>
            </w:r>
          </w:p>
        </w:tc>
      </w:tr>
      <w:tr>
        <w:trPr>
          <w:trHeight w:val="426"/>
        </w:trPr>
        <w:tc>
          <w:tcPr>
            <w:tcW w:w="2540" w:type="dxa"/>
            <w:vAlign w:val="bottom"/>
          </w:tcPr>
          <w:p>
            <w:pPr>
              <w:spacing w:after="0"/>
              <w:rPr>
                <w:sz w:val="20"/>
                <w:szCs w:val="20"/>
                <w:color w:val="auto"/>
              </w:rPr>
            </w:pPr>
            <w:r>
              <w:rPr>
                <w:rFonts w:ascii="Arial" w:cs="Arial" w:eastAsia="Arial" w:hAnsi="Arial"/>
                <w:sz w:val="18"/>
                <w:szCs w:val="18"/>
                <w:color w:val="auto"/>
              </w:rPr>
              <w:t>Completer Analysis ***</w:t>
            </w:r>
          </w:p>
        </w:tc>
        <w:tc>
          <w:tcPr>
            <w:tcW w:w="1580" w:type="dxa"/>
            <w:vAlign w:val="bottom"/>
            <w:gridSpan w:val="2"/>
          </w:tcPr>
          <w:p>
            <w:pPr>
              <w:ind w:left="640"/>
              <w:spacing w:after="0"/>
              <w:rPr>
                <w:sz w:val="20"/>
                <w:szCs w:val="20"/>
                <w:color w:val="auto"/>
              </w:rPr>
            </w:pPr>
            <w:r>
              <w:rPr>
                <w:rFonts w:ascii="Arial" w:cs="Arial" w:eastAsia="Arial" w:hAnsi="Arial"/>
                <w:sz w:val="18"/>
                <w:szCs w:val="18"/>
                <w:color w:val="auto"/>
              </w:rPr>
              <w:t>2.6 lbs</w:t>
            </w:r>
          </w:p>
        </w:tc>
        <w:tc>
          <w:tcPr>
            <w:tcW w:w="1360" w:type="dxa"/>
            <w:vAlign w:val="bottom"/>
            <w:gridSpan w:val="2"/>
          </w:tcPr>
          <w:p>
            <w:pPr>
              <w:ind w:left="400"/>
              <w:spacing w:after="0"/>
              <w:rPr>
                <w:sz w:val="20"/>
                <w:szCs w:val="20"/>
                <w:color w:val="auto"/>
              </w:rPr>
            </w:pPr>
            <w:r>
              <w:rPr>
                <w:rFonts w:ascii="Arial" w:cs="Arial" w:eastAsia="Arial" w:hAnsi="Arial"/>
                <w:sz w:val="18"/>
                <w:szCs w:val="18"/>
                <w:color w:val="auto"/>
              </w:rPr>
              <w:t>5.6 lbs</w:t>
            </w:r>
          </w:p>
        </w:tc>
        <w:tc>
          <w:tcPr>
            <w:tcW w:w="38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7.0 lbs</w:t>
            </w:r>
          </w:p>
        </w:tc>
      </w:tr>
      <w:tr>
        <w:trPr>
          <w:trHeight w:val="216"/>
        </w:trPr>
        <w:tc>
          <w:tcPr>
            <w:tcW w:w="2540" w:type="dxa"/>
            <w:vAlign w:val="bottom"/>
          </w:tcPr>
          <w:p>
            <w:pPr>
              <w:spacing w:after="0"/>
              <w:rPr>
                <w:sz w:val="18"/>
                <w:szCs w:val="18"/>
                <w:color w:val="auto"/>
              </w:rPr>
            </w:pPr>
          </w:p>
        </w:tc>
        <w:tc>
          <w:tcPr>
            <w:tcW w:w="1580" w:type="dxa"/>
            <w:vAlign w:val="bottom"/>
            <w:gridSpan w:val="2"/>
          </w:tcPr>
          <w:p>
            <w:pPr>
              <w:ind w:left="640"/>
              <w:spacing w:after="0"/>
              <w:rPr>
                <w:sz w:val="20"/>
                <w:szCs w:val="20"/>
                <w:color w:val="auto"/>
              </w:rPr>
            </w:pPr>
            <w:r>
              <w:rPr>
                <w:rFonts w:ascii="Arial" w:cs="Arial" w:eastAsia="Arial" w:hAnsi="Arial"/>
                <w:sz w:val="18"/>
                <w:szCs w:val="18"/>
                <w:color w:val="auto"/>
                <w:w w:val="98"/>
              </w:rPr>
              <w:t>n=48 (92%)</w:t>
            </w:r>
          </w:p>
        </w:tc>
        <w:tc>
          <w:tcPr>
            <w:tcW w:w="1360" w:type="dxa"/>
            <w:vAlign w:val="bottom"/>
            <w:gridSpan w:val="2"/>
          </w:tcPr>
          <w:p>
            <w:pPr>
              <w:ind w:left="400"/>
              <w:spacing w:after="0"/>
              <w:rPr>
                <w:sz w:val="20"/>
                <w:szCs w:val="20"/>
                <w:color w:val="auto"/>
              </w:rPr>
            </w:pPr>
            <w:r>
              <w:rPr>
                <w:rFonts w:ascii="Arial" w:cs="Arial" w:eastAsia="Arial" w:hAnsi="Arial"/>
                <w:sz w:val="18"/>
                <w:szCs w:val="18"/>
                <w:color w:val="auto"/>
                <w:w w:val="95"/>
              </w:rPr>
              <w:t>n= 47 (90%)</w:t>
            </w:r>
          </w:p>
        </w:tc>
        <w:tc>
          <w:tcPr>
            <w:tcW w:w="38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w w:val="97"/>
              </w:rPr>
              <w:t>n= 47 (89%)</w:t>
            </w:r>
          </w:p>
        </w:tc>
      </w:tr>
      <w:tr>
        <w:trPr>
          <w:trHeight w:val="222"/>
        </w:trPr>
        <w:tc>
          <w:tcPr>
            <w:tcW w:w="2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60" w:type="dxa"/>
            <w:vAlign w:val="bottom"/>
            <w:gridSpan w:val="2"/>
          </w:tcPr>
          <w:p>
            <w:pPr>
              <w:ind w:left="400"/>
              <w:spacing w:after="0"/>
              <w:rPr>
                <w:sz w:val="20"/>
                <w:szCs w:val="20"/>
                <w:color w:val="auto"/>
              </w:rPr>
            </w:pPr>
            <w:r>
              <w:rPr>
                <w:rFonts w:ascii="Arial" w:cs="Arial" w:eastAsia="Arial" w:hAnsi="Arial"/>
                <w:sz w:val="18"/>
                <w:szCs w:val="18"/>
                <w:color w:val="auto"/>
              </w:rPr>
              <w:t>* p= .07</w:t>
            </w:r>
          </w:p>
        </w:tc>
        <w:tc>
          <w:tcPr>
            <w:tcW w:w="380" w:type="dxa"/>
            <w:vAlign w:val="bottom"/>
          </w:tcPr>
          <w:p>
            <w:pPr>
              <w:spacing w:after="0"/>
              <w:rPr>
                <w:sz w:val="19"/>
                <w:szCs w:val="19"/>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 p&lt; 0.01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11" w:lineRule="exact"/>
        <w:rPr>
          <w:sz w:val="20"/>
          <w:szCs w:val="20"/>
          <w:color w:val="auto"/>
        </w:rPr>
      </w:pPr>
    </w:p>
    <w:p>
      <w:pPr>
        <w:ind w:left="600" w:hanging="592"/>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p-value compared with Placebo</w:t>
      </w:r>
    </w:p>
    <w:p>
      <w:pPr>
        <w:spacing w:after="0" w:line="225" w:lineRule="exact"/>
        <w:rPr>
          <w:sz w:val="20"/>
          <w:szCs w:val="20"/>
          <w:color w:val="auto"/>
        </w:rPr>
      </w:pPr>
    </w:p>
    <w:p>
      <w:pPr>
        <w:ind w:left="600" w:hanging="592"/>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all randomized subjects who have had at least one post-baseline observation</w:t>
      </w:r>
    </w:p>
    <w:p>
      <w:pPr>
        <w:spacing w:after="0" w:line="225" w:lineRule="exact"/>
        <w:rPr>
          <w:rFonts w:ascii="Arial" w:cs="Arial" w:eastAsia="Arial" w:hAnsi="Arial"/>
          <w:sz w:val="18"/>
          <w:szCs w:val="18"/>
          <w:color w:val="auto"/>
        </w:rPr>
      </w:pPr>
    </w:p>
    <w:p>
      <w:pPr>
        <w:ind w:left="600" w:hanging="59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only those subjects who completed the full 12 weeks of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6" w:name="page7"/>
    <w:bookmarkEnd w:id="6"/>
    <w:p>
      <w:pPr>
        <w:ind w:left="820" w:hanging="461"/>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Percentage of Patients Losing at Least 5% of Body Weight (i.e.,&gt;12 lbs on average):</w:t>
      </w:r>
    </w:p>
    <w:p>
      <w:pPr>
        <w:spacing w:after="0" w:line="200" w:lineRule="exact"/>
        <w:rPr>
          <w:sz w:val="20"/>
          <w:szCs w:val="20"/>
          <w:color w:val="auto"/>
        </w:rPr>
      </w:pPr>
    </w:p>
    <w:p>
      <w:pPr>
        <w:spacing w:after="0" w:line="264" w:lineRule="exact"/>
        <w:rPr>
          <w:sz w:val="20"/>
          <w:szCs w:val="20"/>
          <w:color w:val="auto"/>
        </w:rPr>
      </w:pPr>
    </w:p>
    <w:tbl>
      <w:tblPr>
        <w:tblLayout w:type="fixed"/>
        <w:tblInd w:w="2160" w:type="dxa"/>
        <w:tblCellMar>
          <w:top w:w="0" w:type="dxa"/>
          <w:left w:w="0" w:type="dxa"/>
          <w:bottom w:w="0" w:type="dxa"/>
          <w:right w:w="0" w:type="dxa"/>
        </w:tblCellMar>
      </w:tblPr>
      <w:tr>
        <w:trPr>
          <w:trHeight w:val="174"/>
        </w:trPr>
        <w:tc>
          <w:tcPr>
            <w:tcW w:w="2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960" w:type="dxa"/>
            <w:vAlign w:val="bottom"/>
            <w:gridSpan w:val="3"/>
          </w:tcPr>
          <w:p>
            <w:pPr>
              <w:ind w:left="60"/>
              <w:spacing w:after="0"/>
              <w:rPr>
                <w:sz w:val="20"/>
                <w:szCs w:val="20"/>
                <w:color w:val="auto"/>
              </w:rPr>
            </w:pPr>
            <w:r>
              <w:rPr>
                <w:rFonts w:ascii="Arial" w:cs="Arial" w:eastAsia="Arial" w:hAnsi="Arial"/>
                <w:sz w:val="14"/>
                <w:szCs w:val="14"/>
                <w:b w:val="1"/>
                <w:bCs w:val="1"/>
                <w:color w:val="auto"/>
              </w:rPr>
              <w:t>AXOKINE</w:t>
            </w:r>
          </w:p>
        </w:tc>
      </w:tr>
      <w:tr>
        <w:trPr>
          <w:trHeight w:val="95"/>
        </w:trPr>
        <w:tc>
          <w:tcPr>
            <w:tcW w:w="23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r>
      <w:tr>
        <w:trPr>
          <w:trHeight w:val="263"/>
        </w:trPr>
        <w:tc>
          <w:tcPr>
            <w:tcW w:w="2300" w:type="dxa"/>
            <w:vAlign w:val="bottom"/>
          </w:tcPr>
          <w:p>
            <w:pPr>
              <w:spacing w:after="0"/>
              <w:rPr>
                <w:sz w:val="22"/>
                <w:szCs w:val="22"/>
                <w:color w:val="auto"/>
              </w:rPr>
            </w:pPr>
          </w:p>
        </w:tc>
        <w:tc>
          <w:tcPr>
            <w:tcW w:w="17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Placebo</w:t>
            </w:r>
          </w:p>
        </w:tc>
        <w:tc>
          <w:tcPr>
            <w:tcW w:w="1220" w:type="dxa"/>
            <w:vAlign w:val="bottom"/>
          </w:tcPr>
          <w:p>
            <w:pPr>
              <w:jc w:val="center"/>
              <w:ind w:left="116"/>
              <w:spacing w:after="0"/>
              <w:rPr>
                <w:sz w:val="20"/>
                <w:szCs w:val="20"/>
                <w:color w:val="auto"/>
              </w:rPr>
            </w:pPr>
            <w:r>
              <w:rPr>
                <w:rFonts w:ascii="Arial" w:cs="Arial" w:eastAsia="Arial" w:hAnsi="Arial"/>
                <w:sz w:val="14"/>
                <w:szCs w:val="14"/>
                <w:b w:val="1"/>
                <w:bCs w:val="1"/>
                <w:color w:val="auto"/>
                <w:w w:val="85"/>
              </w:rPr>
              <w:t>0.5 mcg/kg</w:t>
            </w: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8"/>
              </w:rPr>
              <w:t>1.0 mcg/kg</w:t>
            </w:r>
          </w:p>
        </w:tc>
      </w:tr>
      <w:tr>
        <w:trPr>
          <w:trHeight w:val="95"/>
        </w:trPr>
        <w:tc>
          <w:tcPr>
            <w:tcW w:w="2300" w:type="dxa"/>
            <w:vAlign w:val="bottom"/>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r>
      <w:tr>
        <w:trPr>
          <w:trHeight w:val="309"/>
        </w:trPr>
        <w:tc>
          <w:tcPr>
            <w:tcW w:w="2300" w:type="dxa"/>
            <w:vAlign w:val="bottom"/>
          </w:tcPr>
          <w:p>
            <w:pPr>
              <w:jc w:val="center"/>
              <w:ind w:right="432"/>
              <w:spacing w:after="0"/>
              <w:rPr>
                <w:sz w:val="20"/>
                <w:szCs w:val="20"/>
                <w:color w:val="auto"/>
              </w:rPr>
            </w:pPr>
            <w:r>
              <w:rPr>
                <w:rFonts w:ascii="Arial" w:cs="Arial" w:eastAsia="Arial" w:hAnsi="Arial"/>
                <w:sz w:val="18"/>
                <w:szCs w:val="18"/>
                <w:color w:val="auto"/>
                <w:w w:val="92"/>
              </w:rPr>
              <w:t>Intent-to-Treat Analysis*</w:t>
            </w:r>
          </w:p>
        </w:tc>
        <w:tc>
          <w:tcPr>
            <w:tcW w:w="1420" w:type="dxa"/>
            <w:vAlign w:val="bottom"/>
          </w:tcPr>
          <w:p>
            <w:pPr>
              <w:jc w:val="center"/>
              <w:spacing w:after="0"/>
              <w:rPr>
                <w:sz w:val="20"/>
                <w:szCs w:val="20"/>
                <w:color w:val="auto"/>
              </w:rPr>
            </w:pPr>
            <w:r>
              <w:rPr>
                <w:rFonts w:ascii="Arial" w:cs="Arial" w:eastAsia="Arial" w:hAnsi="Arial"/>
                <w:sz w:val="18"/>
                <w:szCs w:val="18"/>
                <w:color w:val="auto"/>
                <w:w w:val="87"/>
              </w:rPr>
              <w:t>5.8%</w:t>
            </w:r>
          </w:p>
        </w:tc>
        <w:tc>
          <w:tcPr>
            <w:tcW w:w="360" w:type="dxa"/>
            <w:vAlign w:val="bottom"/>
          </w:tcPr>
          <w:p>
            <w:pPr>
              <w:spacing w:after="0"/>
              <w:rPr>
                <w:sz w:val="24"/>
                <w:szCs w:val="24"/>
                <w:color w:val="auto"/>
              </w:rPr>
            </w:pPr>
          </w:p>
        </w:tc>
        <w:tc>
          <w:tcPr>
            <w:tcW w:w="1220" w:type="dxa"/>
            <w:vAlign w:val="bottom"/>
          </w:tcPr>
          <w:p>
            <w:pPr>
              <w:jc w:val="right"/>
              <w:ind w:right="236"/>
              <w:spacing w:after="0"/>
              <w:rPr>
                <w:sz w:val="20"/>
                <w:szCs w:val="20"/>
                <w:color w:val="auto"/>
              </w:rPr>
            </w:pPr>
            <w:r>
              <w:rPr>
                <w:rFonts w:ascii="Arial" w:cs="Arial" w:eastAsia="Arial" w:hAnsi="Arial"/>
                <w:sz w:val="18"/>
                <w:szCs w:val="18"/>
                <w:color w:val="auto"/>
              </w:rPr>
              <w:t>9.6%</w:t>
            </w:r>
          </w:p>
        </w:tc>
        <w:tc>
          <w:tcPr>
            <w:tcW w:w="1960" w:type="dxa"/>
            <w:vAlign w:val="bottom"/>
            <w:gridSpan w:val="3"/>
          </w:tcPr>
          <w:p>
            <w:pPr>
              <w:jc w:val="center"/>
              <w:ind w:left="479"/>
              <w:spacing w:after="0"/>
              <w:rPr>
                <w:sz w:val="20"/>
                <w:szCs w:val="20"/>
                <w:color w:val="auto"/>
              </w:rPr>
            </w:pPr>
            <w:r>
              <w:rPr>
                <w:rFonts w:ascii="Arial" w:cs="Arial" w:eastAsia="Arial" w:hAnsi="Arial"/>
                <w:sz w:val="18"/>
                <w:szCs w:val="18"/>
                <w:color w:val="auto"/>
                <w:w w:val="86"/>
              </w:rPr>
              <w:t>18.9%</w:t>
            </w:r>
          </w:p>
        </w:tc>
      </w:tr>
      <w:tr>
        <w:trPr>
          <w:trHeight w:val="222"/>
        </w:trPr>
        <w:tc>
          <w:tcPr>
            <w:tcW w:w="2300" w:type="dxa"/>
            <w:vAlign w:val="bottom"/>
          </w:tcPr>
          <w:p>
            <w:pPr>
              <w:spacing w:after="0"/>
              <w:rPr>
                <w:sz w:val="19"/>
                <w:szCs w:val="19"/>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(3 out of 52)</w:t>
            </w:r>
          </w:p>
        </w:tc>
        <w:tc>
          <w:tcPr>
            <w:tcW w:w="1220" w:type="dxa"/>
            <w:vAlign w:val="bottom"/>
          </w:tcPr>
          <w:p>
            <w:pPr>
              <w:jc w:val="center"/>
              <w:ind w:left="116"/>
              <w:spacing w:after="0"/>
              <w:rPr>
                <w:sz w:val="20"/>
                <w:szCs w:val="20"/>
                <w:color w:val="auto"/>
              </w:rPr>
            </w:pPr>
            <w:r>
              <w:rPr>
                <w:rFonts w:ascii="Arial" w:cs="Arial" w:eastAsia="Arial" w:hAnsi="Arial"/>
                <w:sz w:val="18"/>
                <w:szCs w:val="18"/>
                <w:color w:val="auto"/>
                <w:w w:val="92"/>
              </w:rPr>
              <w:t>(5 out of 52)</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(10 out of 53)</w:t>
            </w:r>
          </w:p>
        </w:tc>
      </w:tr>
      <w:tr>
        <w:trPr>
          <w:trHeight w:val="426"/>
        </w:trPr>
        <w:tc>
          <w:tcPr>
            <w:tcW w:w="2300" w:type="dxa"/>
            <w:vAlign w:val="bottom"/>
          </w:tcPr>
          <w:p>
            <w:pPr>
              <w:jc w:val="center"/>
              <w:ind w:right="432"/>
              <w:spacing w:after="0"/>
              <w:rPr>
                <w:sz w:val="20"/>
                <w:szCs w:val="20"/>
                <w:color w:val="auto"/>
              </w:rPr>
            </w:pPr>
            <w:r>
              <w:rPr>
                <w:rFonts w:ascii="Arial" w:cs="Arial" w:eastAsia="Arial" w:hAnsi="Arial"/>
                <w:sz w:val="18"/>
                <w:szCs w:val="18"/>
                <w:color w:val="auto"/>
                <w:w w:val="93"/>
              </w:rPr>
              <w:t>Completer Analysis**</w:t>
            </w:r>
          </w:p>
        </w:tc>
        <w:tc>
          <w:tcPr>
            <w:tcW w:w="1420" w:type="dxa"/>
            <w:vAlign w:val="bottom"/>
          </w:tcPr>
          <w:p>
            <w:pPr>
              <w:jc w:val="center"/>
              <w:spacing w:after="0"/>
              <w:rPr>
                <w:sz w:val="20"/>
                <w:szCs w:val="20"/>
                <w:color w:val="auto"/>
              </w:rPr>
            </w:pPr>
            <w:r>
              <w:rPr>
                <w:rFonts w:ascii="Arial" w:cs="Arial" w:eastAsia="Arial" w:hAnsi="Arial"/>
                <w:sz w:val="18"/>
                <w:szCs w:val="18"/>
                <w:color w:val="auto"/>
                <w:w w:val="87"/>
              </w:rPr>
              <w:t>6.2%</w:t>
            </w:r>
          </w:p>
        </w:tc>
        <w:tc>
          <w:tcPr>
            <w:tcW w:w="360" w:type="dxa"/>
            <w:vAlign w:val="bottom"/>
          </w:tcPr>
          <w:p>
            <w:pPr>
              <w:spacing w:after="0"/>
              <w:rPr>
                <w:sz w:val="24"/>
                <w:szCs w:val="24"/>
                <w:color w:val="auto"/>
              </w:rPr>
            </w:pPr>
          </w:p>
        </w:tc>
        <w:tc>
          <w:tcPr>
            <w:tcW w:w="1220" w:type="dxa"/>
            <w:vAlign w:val="bottom"/>
          </w:tcPr>
          <w:p>
            <w:pPr>
              <w:jc w:val="right"/>
              <w:ind w:right="196"/>
              <w:spacing w:after="0"/>
              <w:rPr>
                <w:sz w:val="20"/>
                <w:szCs w:val="20"/>
                <w:color w:val="auto"/>
              </w:rPr>
            </w:pPr>
            <w:r>
              <w:rPr>
                <w:rFonts w:ascii="Arial" w:cs="Arial" w:eastAsia="Arial" w:hAnsi="Arial"/>
                <w:sz w:val="18"/>
                <w:szCs w:val="18"/>
                <w:color w:val="auto"/>
              </w:rPr>
              <w:t>10.6%</w:t>
            </w:r>
          </w:p>
        </w:tc>
        <w:tc>
          <w:tcPr>
            <w:tcW w:w="1960" w:type="dxa"/>
            <w:vAlign w:val="bottom"/>
            <w:gridSpan w:val="3"/>
          </w:tcPr>
          <w:p>
            <w:pPr>
              <w:jc w:val="center"/>
              <w:ind w:left="479"/>
              <w:spacing w:after="0"/>
              <w:rPr>
                <w:sz w:val="20"/>
                <w:szCs w:val="20"/>
                <w:color w:val="auto"/>
              </w:rPr>
            </w:pPr>
            <w:r>
              <w:rPr>
                <w:rFonts w:ascii="Arial" w:cs="Arial" w:eastAsia="Arial" w:hAnsi="Arial"/>
                <w:sz w:val="18"/>
                <w:szCs w:val="18"/>
                <w:color w:val="auto"/>
                <w:w w:val="86"/>
              </w:rPr>
              <w:t>21.3%</w:t>
            </w:r>
          </w:p>
        </w:tc>
      </w:tr>
      <w:tr>
        <w:trPr>
          <w:trHeight w:val="222"/>
        </w:trPr>
        <w:tc>
          <w:tcPr>
            <w:tcW w:w="2300" w:type="dxa"/>
            <w:vAlign w:val="bottom"/>
          </w:tcPr>
          <w:p>
            <w:pPr>
              <w:spacing w:after="0"/>
              <w:rPr>
                <w:sz w:val="19"/>
                <w:szCs w:val="19"/>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(3 out of 48)</w:t>
            </w:r>
          </w:p>
        </w:tc>
        <w:tc>
          <w:tcPr>
            <w:tcW w:w="1220" w:type="dxa"/>
            <w:vAlign w:val="bottom"/>
          </w:tcPr>
          <w:p>
            <w:pPr>
              <w:jc w:val="center"/>
              <w:ind w:left="116"/>
              <w:spacing w:after="0"/>
              <w:rPr>
                <w:sz w:val="20"/>
                <w:szCs w:val="20"/>
                <w:color w:val="auto"/>
              </w:rPr>
            </w:pPr>
            <w:r>
              <w:rPr>
                <w:rFonts w:ascii="Arial" w:cs="Arial" w:eastAsia="Arial" w:hAnsi="Arial"/>
                <w:sz w:val="18"/>
                <w:szCs w:val="18"/>
                <w:color w:val="auto"/>
                <w:w w:val="92"/>
              </w:rPr>
              <w:t>(5 out of 47)</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(10 out of 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3208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11"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all randomized subjects who have had at least one post-baseline observation</w:t>
      </w:r>
    </w:p>
    <w:p>
      <w:pPr>
        <w:spacing w:after="0" w:line="225" w:lineRule="exact"/>
        <w:rPr>
          <w:sz w:val="20"/>
          <w:szCs w:val="20"/>
          <w:color w:val="auto"/>
        </w:rPr>
      </w:pPr>
    </w:p>
    <w:p>
      <w:pPr>
        <w:ind w:left="500" w:right="340" w:hanging="492"/>
        <w:spacing w:after="0" w:line="268"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Completer analysis includes only those subjects who completed the full three months of treatment. Approximately 90% of study participants across all treatment groups completed the study.</w:t>
      </w:r>
    </w:p>
    <w:p>
      <w:pPr>
        <w:spacing w:after="0" w:line="186" w:lineRule="exact"/>
        <w:rPr>
          <w:sz w:val="20"/>
          <w:szCs w:val="20"/>
          <w:color w:val="auto"/>
        </w:rPr>
      </w:pPr>
    </w:p>
    <w:p>
      <w:pPr>
        <w:ind w:right="360"/>
        <w:spacing w:after="0" w:line="298" w:lineRule="auto"/>
        <w:rPr>
          <w:sz w:val="20"/>
          <w:szCs w:val="20"/>
          <w:color w:val="auto"/>
        </w:rPr>
      </w:pPr>
      <w:r>
        <w:rPr>
          <w:rFonts w:ascii="Arial" w:cs="Arial" w:eastAsia="Arial" w:hAnsi="Arial"/>
          <w:sz w:val="16"/>
          <w:szCs w:val="16"/>
          <w:color w:val="auto"/>
        </w:rPr>
        <w:t>Preliminary data at 12 weeks indicate that about a third of the 1.0 mcg/kg AXOKINE-treated participants developed antibodies to AXOKINE. In the recently reported Phase III study in non-diabetic subjects, about half of AXOKINE-treated participants developed antibodies at the 12-week time point. This lower incidence of antibodies observed in the Phase II study will need to be explored in a larger Phase III study in the diabetic population. In the Phase III one-year study, further weight loss appeared to be limited in those people who developed antibodies.</w:t>
      </w:r>
    </w:p>
    <w:p>
      <w:pPr>
        <w:spacing w:after="0" w:line="167"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“Based on our clinical trials to date, it appears that AXOKINE can promote weight loss in both diabetic and non-diabetic individuals.” said Leonard S Schleifer, M.D., Ph.D.., President and Chief Executive Officer of Regeneron. “Regeneron is actively analyzing all of our new AXOKINE data, and, in the near future, we plan to meet with regulatory authorities to determine the appropriate path forward in the development of AXOKINE for the treatment of obesity.”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Trial Design</w:t>
      </w:r>
    </w:p>
    <w:p>
      <w:pPr>
        <w:spacing w:after="0" w:line="23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double-blind, randomized, placebo-controlled trial was designed to assess the short-term safety and efficacy of AXOKINE treatment compared with placebo with respect to weight loss in overweight and obese individuals diagnosed with type 2 diabetes mellitus and having a body mass index (BMI) of 27 to 50 kg/m2. BMI is a ratio of height to weight and is calculated as the weight of an individual in kilograms divided by the square of their height in meters. Normal weight is designated by BMIs of 18.5-24.9, overweight by BMIs of 25-29.9 and obesity by BMIs of 30 and above.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trial enrolled 157 participants at 24 study sites in the United States. The average baseline weight for all participants was approximately 233 lbs.</w:t>
      </w:r>
    </w:p>
    <w:p>
      <w:pPr>
        <w:spacing w:after="0" w:line="248"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After a 14-day run in period, participants were randomly assigned to receive daily subcutaneous injections of 0.5 mcg/kg of AXOKINE, 1.0 mcg/kg of AXOKINE or placebo for 12 weeks. All subjects received dietary counseling for a moderately reduced caloric intake. The initial 12-week phase of the trial is being followed by a 12-week, open-label extension phase, which is still ongoing.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AXOKINE</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AXOKINE is a modified form of ciliary neurotrophic factor (CNTF), which is in clinical development by Regeneron Pharmaceuticals for the treatment of obesity. This investigational compound has a novel mechanism of action – the inhibition of hunger signals that stimulate appetite. Ongoing Phase II and Phase III trials are studying the safety and efficacy of AXOKINE.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About Regeneron</w:t>
      </w:r>
    </w:p>
    <w:p>
      <w:pPr>
        <w:spacing w:after="0" w:line="23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Regeneron is a biopharmaceutical company that discovers, develops, and intends to commercialize therapeutic medicines for the treatment of serious medical conditions. Regeneron has therapeutic candidates for the potential treatment of obesity, rheumatoid arthritis, cancer, and asthma and has preclinical programs in other diseases and disorders.</w:t>
      </w:r>
    </w:p>
    <w:p>
      <w:pPr>
        <w:spacing w:after="0" w:line="194"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drugs and biologics, determinations by regulatory and administrative governmental authorities, competitive factors, technological developments, the availability and cost of capital, the costs of developing, producing, and selling products, the potential for any collaboration agreement to be canceled or to terminate without any product success, and other material risks. A more complete description of these risks can be found in Regeneron’s filings with the United States Securities and Exchange Commission, including its Form 10-K for the year ended December 31, 2002. Regeneron does not undertake any obligation to update publicly any forward-looking statement, whether as a result of new information, future events, or otherwise, unless required by law.</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Miriam Weber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Biosector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mweber@biosector2.com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414-5630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For non-media inquiry call (914) 509-7000.</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Additional information about Regeneron and recent news releases are available on Regeneron’s Worldwide Web Home Page at www.regn.com.</w:t>
      </w:r>
    </w:p>
    <w:sectPr>
      <w:pgSz w:w="11900" w:h="16838" w:orient="portrait"/>
      <w:cols w:equalWidth="0" w:num="1">
        <w:col w:w="11400"/>
      </w:cols>
      <w:pgMar w:left="240" w:top="93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2019-12-20T02:17:06Z</dcterms:created>
  <dcterms:modified xsi:type="dcterms:W3CDTF">2019-12-20T02:17:06Z</dcterms:modified>
</cp:coreProperties>
</file>