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February 10, 2015 (February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On February 10, 2015, Regeneron Pharmaceuticals, Inc. issued a press release announcing its financial and operating results for the quarter and year ended December 31, 2014.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10, 2015, Reporting Fourth Quarter and Full Year 2014 Financial and Operating Results.</w:t>
      </w:r>
    </w:p>
    <w:p>
      <w:pPr>
        <w:sectPr>
          <w:pgSz w:w="11900" w:h="16838" w:orient="portrait"/>
          <w:cols w:equalWidth="0" w:num="1">
            <w:col w:w="11400"/>
          </w:cols>
          <w:pgMar w:left="240" w:top="796"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Date: February 10, 2015</w:t>
            </w:r>
          </w:p>
        </w:tc>
        <w:tc>
          <w:tcPr>
            <w:tcW w:w="6600" w:type="dxa"/>
            <w:vAlign w:val="bottom"/>
            <w:gridSpan w:val="2"/>
          </w:tcPr>
          <w:p>
            <w:pPr>
              <w:ind w:left="8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8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580" w:type="dxa"/>
            <w:vAlign w:val="bottom"/>
          </w:tcPr>
          <w:p>
            <w:pPr>
              <w:spacing w:after="0"/>
              <w:rPr>
                <w:sz w:val="23"/>
                <w:szCs w:val="23"/>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February 10, 2015, Reporting Fourth Quarter and Full Year 2014 Financial and</w:t>
            </w:r>
          </w:p>
        </w:tc>
      </w:tr>
      <w:tr>
        <w:trPr>
          <w:trHeight w:val="230"/>
        </w:trPr>
        <w:tc>
          <w:tcPr>
            <w:tcW w:w="580" w:type="dxa"/>
            <w:vAlign w:val="bottom"/>
          </w:tcPr>
          <w:p>
            <w:pPr>
              <w:spacing w:after="0"/>
              <w:rPr>
                <w:sz w:val="20"/>
                <w:szCs w:val="20"/>
                <w:color w:val="auto"/>
              </w:rPr>
            </w:pP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rPr>
              <w:t>Operating Results.</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2014 Financial and Operating Results</w:t>
      </w:r>
    </w:p>
    <w:p>
      <w:pPr>
        <w:spacing w:after="0" w:line="63" w:lineRule="exact"/>
        <w:rPr>
          <w:sz w:val="20"/>
          <w:szCs w:val="20"/>
          <w:color w:val="auto"/>
        </w:rPr>
      </w:pPr>
    </w:p>
    <w:p>
      <w:pPr>
        <w:ind w:left="340" w:right="420" w:hanging="332"/>
        <w:spacing w:after="0" w:line="2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Fourth quarter 2014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increased 39% to $815 million (consisting of $518 million in the U.S. and $297 million in rest of world</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19"/>
          <w:szCs w:val="19"/>
          <w:i w:val="1"/>
          <w:iCs w:val="1"/>
          <w:color w:val="auto"/>
        </w:rPr>
        <w:t>)</w:t>
      </w:r>
      <w:r>
        <w:rPr>
          <w:rFonts w:ascii="Arial" w:cs="Arial" w:eastAsia="Arial" w:hAnsi="Arial"/>
          <w:sz w:val="22"/>
          <w:szCs w:val="22"/>
          <w:i w:val="1"/>
          <w:iCs w:val="1"/>
          <w:color w:val="auto"/>
        </w:rPr>
        <w:t xml:space="preserve"> versus fourth quarter 2013</w:t>
      </w:r>
    </w:p>
    <w:p>
      <w:pPr>
        <w:ind w:left="340" w:right="42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Full year 2014 EYLEA global net sales increased 48% to $2.78 billion (consisting of $1.74 billion in the U.S. and $1.04 billion in rest of world</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 versus full year 2013</w:t>
      </w:r>
    </w:p>
    <w:p>
      <w:pPr>
        <w:ind w:left="340" w:right="360" w:hanging="332"/>
        <w:spacing w:after="0" w:line="255"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Fourth quarter 2014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27% to $328 million, or $2.79 per diluted share. Full year 2014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26% to $1.17 billion, or $10.00 per diluted share.</w:t>
      </w:r>
    </w:p>
    <w:p>
      <w:pPr>
        <w:spacing w:after="0" w:line="85" w:lineRule="exact"/>
        <w:rPr>
          <w:sz w:val="20"/>
          <w:szCs w:val="20"/>
          <w:color w:val="auto"/>
        </w:rPr>
      </w:pPr>
    </w:p>
    <w:p>
      <w:pPr>
        <w:ind w:right="220"/>
        <w:spacing w:after="0" w:line="298" w:lineRule="auto"/>
        <w:rPr>
          <w:sz w:val="20"/>
          <w:szCs w:val="20"/>
          <w:color w:val="auto"/>
        </w:rPr>
      </w:pPr>
      <w:r>
        <w:rPr>
          <w:rFonts w:ascii="Arial" w:cs="Arial" w:eastAsia="Arial" w:hAnsi="Arial"/>
          <w:sz w:val="21"/>
          <w:szCs w:val="21"/>
          <w:b w:val="1"/>
          <w:bCs w:val="1"/>
          <w:color w:val="auto"/>
        </w:rPr>
        <w:t xml:space="preserve">Tarrytown, New York (February 10, 2015) </w:t>
      </w:r>
      <w:r>
        <w:rPr>
          <w:rFonts w:ascii="Arial" w:cs="Arial" w:eastAsia="Arial" w:hAnsi="Arial"/>
          <w:sz w:val="21"/>
          <w:szCs w:val="21"/>
          <w:color w:val="auto"/>
        </w:rPr>
        <w:t>-- Regeneron Pharmaceuticals, Inc. (NASDAQ:</w:t>
      </w:r>
      <w:r>
        <w:rPr>
          <w:rFonts w:ascii="Arial" w:cs="Arial" w:eastAsia="Arial" w:hAnsi="Arial"/>
          <w:sz w:val="21"/>
          <w:szCs w:val="21"/>
          <w:b w:val="1"/>
          <w:bCs w:val="1"/>
          <w:color w:val="auto"/>
        </w:rPr>
        <w:t xml:space="preserve"> REGN</w:t>
      </w:r>
      <w:r>
        <w:rPr>
          <w:rFonts w:ascii="Arial" w:cs="Arial" w:eastAsia="Arial" w:hAnsi="Arial"/>
          <w:sz w:val="21"/>
          <w:szCs w:val="21"/>
          <w:color w:val="auto"/>
        </w:rPr>
        <w:t>) today announced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results for the fourth quarter and full year 2014 and provided an update on development programs.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3020" w:type="dxa"/>
            <w:vAlign w:val="bottom"/>
            <w:gridSpan w:val="3"/>
          </w:tcPr>
          <w:p>
            <w:pPr>
              <w:jc w:val="center"/>
              <w:ind w:right="980"/>
              <w:spacing w:after="0"/>
              <w:rPr>
                <w:sz w:val="20"/>
                <w:szCs w:val="20"/>
                <w:color w:val="auto"/>
              </w:rPr>
            </w:pPr>
            <w:r>
              <w:rPr>
                <w:rFonts w:ascii="Arial" w:cs="Arial" w:eastAsia="Arial" w:hAnsi="Arial"/>
                <w:sz w:val="20"/>
                <w:szCs w:val="20"/>
                <w:b w:val="1"/>
                <w:bCs w:val="1"/>
                <w:color w:val="auto"/>
                <w:w w:val="90"/>
              </w:rPr>
              <w:t>Three Months Ended</w:t>
            </w:r>
          </w:p>
        </w:tc>
        <w:tc>
          <w:tcPr>
            <w:tcW w:w="1080" w:type="dxa"/>
            <w:vAlign w:val="bottom"/>
          </w:tcPr>
          <w:p>
            <w:pPr>
              <w:spacing w:after="0"/>
              <w:rPr>
                <w:sz w:val="19"/>
                <w:szCs w:val="19"/>
                <w:color w:val="auto"/>
              </w:rPr>
            </w:pPr>
          </w:p>
        </w:tc>
        <w:tc>
          <w:tcPr>
            <w:tcW w:w="1560" w:type="dxa"/>
            <w:vAlign w:val="bottom"/>
          </w:tcPr>
          <w:p>
            <w:pPr>
              <w:jc w:val="center"/>
              <w:ind w:left="101"/>
              <w:spacing w:after="0"/>
              <w:rPr>
                <w:sz w:val="20"/>
                <w:szCs w:val="20"/>
                <w:color w:val="auto"/>
              </w:rPr>
            </w:pPr>
            <w:r>
              <w:rPr>
                <w:rFonts w:ascii="Arial" w:cs="Arial" w:eastAsia="Arial" w:hAnsi="Arial"/>
                <w:sz w:val="20"/>
                <w:szCs w:val="20"/>
                <w:b w:val="1"/>
                <w:bCs w:val="1"/>
                <w:color w:val="auto"/>
                <w:w w:val="90"/>
              </w:rPr>
              <w:t>Year Ended</w:t>
            </w:r>
          </w:p>
        </w:tc>
        <w:tc>
          <w:tcPr>
            <w:tcW w:w="1240" w:type="dxa"/>
            <w:vAlign w:val="bottom"/>
          </w:tcPr>
          <w:p>
            <w:pPr>
              <w:spacing w:after="0"/>
              <w:rPr>
                <w:sz w:val="19"/>
                <w:szCs w:val="19"/>
                <w:color w:val="auto"/>
              </w:rPr>
            </w:pPr>
          </w:p>
        </w:tc>
      </w:tr>
      <w:tr>
        <w:trPr>
          <w:trHeight w:val="256"/>
        </w:trPr>
        <w:tc>
          <w:tcPr>
            <w:tcW w:w="900" w:type="dxa"/>
            <w:vAlign w:val="bottom"/>
          </w:tcPr>
          <w:p>
            <w:pPr>
              <w:spacing w:after="0"/>
              <w:rPr>
                <w:sz w:val="22"/>
                <w:szCs w:val="22"/>
                <w:color w:val="auto"/>
              </w:rPr>
            </w:pPr>
          </w:p>
        </w:tc>
        <w:tc>
          <w:tcPr>
            <w:tcW w:w="1700" w:type="dxa"/>
            <w:vAlign w:val="bottom"/>
          </w:tcPr>
          <w:p>
            <w:pPr>
              <w:jc w:val="center"/>
              <w:ind w:left="241"/>
              <w:spacing w:after="0"/>
              <w:rPr>
                <w:sz w:val="20"/>
                <w:szCs w:val="20"/>
                <w:color w:val="auto"/>
              </w:rPr>
            </w:pPr>
            <w:r>
              <w:rPr>
                <w:rFonts w:ascii="Arial" w:cs="Arial" w:eastAsia="Arial" w:hAnsi="Arial"/>
                <w:sz w:val="20"/>
                <w:szCs w:val="20"/>
                <w:b w:val="1"/>
                <w:bCs w:val="1"/>
                <w:color w:val="auto"/>
                <w:w w:val="89"/>
              </w:rPr>
              <w:t>December 31,</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jc w:val="center"/>
              <w:ind w:left="101"/>
              <w:spacing w:after="0"/>
              <w:rPr>
                <w:sz w:val="20"/>
                <w:szCs w:val="20"/>
                <w:color w:val="auto"/>
              </w:rPr>
            </w:pPr>
            <w:r>
              <w:rPr>
                <w:rFonts w:ascii="Arial" w:cs="Arial" w:eastAsia="Arial" w:hAnsi="Arial"/>
                <w:sz w:val="20"/>
                <w:szCs w:val="20"/>
                <w:b w:val="1"/>
                <w:bCs w:val="1"/>
                <w:color w:val="auto"/>
                <w:w w:val="89"/>
              </w:rPr>
              <w:t>December 31,</w:t>
            </w:r>
          </w:p>
        </w:tc>
        <w:tc>
          <w:tcPr>
            <w:tcW w:w="1240" w:type="dxa"/>
            <w:vAlign w:val="bottom"/>
          </w:tcPr>
          <w:p>
            <w:pPr>
              <w:spacing w:after="0"/>
              <w:rPr>
                <w:sz w:val="22"/>
                <w:szCs w:val="22"/>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900" w:type="dxa"/>
            <w:vAlign w:val="bottom"/>
          </w:tcPr>
          <w:p>
            <w:pPr>
              <w:jc w:val="right"/>
              <w:ind w:right="21"/>
              <w:spacing w:after="0"/>
              <w:rPr>
                <w:sz w:val="20"/>
                <w:szCs w:val="20"/>
                <w:color w:val="auto"/>
              </w:rPr>
            </w:pPr>
            <w:r>
              <w:rPr>
                <w:rFonts w:ascii="Arial" w:cs="Arial" w:eastAsia="Arial" w:hAnsi="Arial"/>
                <w:sz w:val="20"/>
                <w:szCs w:val="20"/>
                <w:b w:val="1"/>
                <w:bCs w:val="1"/>
                <w:color w:val="auto"/>
              </w:rPr>
              <w:t>2014</w:t>
            </w:r>
          </w:p>
        </w:tc>
        <w:tc>
          <w:tcPr>
            <w:tcW w:w="1700" w:type="dxa"/>
            <w:vAlign w:val="bottom"/>
          </w:tcPr>
          <w:p>
            <w:pPr>
              <w:jc w:val="right"/>
              <w:ind w:right="481"/>
              <w:spacing w:after="0"/>
              <w:rPr>
                <w:sz w:val="20"/>
                <w:szCs w:val="20"/>
                <w:color w:val="auto"/>
              </w:rPr>
            </w:pPr>
            <w:r>
              <w:rPr>
                <w:rFonts w:ascii="Arial" w:cs="Arial" w:eastAsia="Arial" w:hAnsi="Arial"/>
                <w:sz w:val="20"/>
                <w:szCs w:val="20"/>
                <w:b w:val="1"/>
                <w:bCs w:val="1"/>
                <w:color w:val="auto"/>
              </w:rPr>
              <w:t>2013</w:t>
            </w:r>
          </w:p>
        </w:tc>
        <w:tc>
          <w:tcPr>
            <w:tcW w:w="1320" w:type="dxa"/>
            <w:vAlign w:val="bottom"/>
            <w:gridSpan w:val="2"/>
          </w:tcPr>
          <w:p>
            <w:pPr>
              <w:ind w:left="100"/>
              <w:spacing w:after="0"/>
              <w:rPr>
                <w:sz w:val="20"/>
                <w:szCs w:val="20"/>
                <w:color w:val="auto"/>
              </w:rPr>
            </w:pPr>
            <w:r>
              <w:rPr>
                <w:rFonts w:ascii="Arial" w:cs="Arial" w:eastAsia="Arial" w:hAnsi="Arial"/>
                <w:sz w:val="20"/>
                <w:szCs w:val="20"/>
                <w:b w:val="1"/>
                <w:bCs w:val="1"/>
                <w:color w:val="auto"/>
              </w:rPr>
              <w:t>% Change</w:t>
            </w:r>
          </w:p>
        </w:tc>
        <w:tc>
          <w:tcPr>
            <w:tcW w:w="1080" w:type="dxa"/>
            <w:vAlign w:val="bottom"/>
          </w:tcPr>
          <w:p>
            <w:pPr>
              <w:jc w:val="right"/>
              <w:ind w:right="221"/>
              <w:spacing w:after="0"/>
              <w:rPr>
                <w:sz w:val="20"/>
                <w:szCs w:val="20"/>
                <w:color w:val="auto"/>
              </w:rPr>
            </w:pPr>
            <w:r>
              <w:rPr>
                <w:rFonts w:ascii="Arial" w:cs="Arial" w:eastAsia="Arial" w:hAnsi="Arial"/>
                <w:sz w:val="20"/>
                <w:szCs w:val="20"/>
                <w:b w:val="1"/>
                <w:bCs w:val="1"/>
                <w:color w:val="auto"/>
              </w:rPr>
              <w:t>2014</w:t>
            </w:r>
          </w:p>
        </w:tc>
        <w:tc>
          <w:tcPr>
            <w:tcW w:w="1560" w:type="dxa"/>
            <w:vAlign w:val="bottom"/>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1240" w:type="dxa"/>
            <w:vAlign w:val="bottom"/>
          </w:tcPr>
          <w:p>
            <w:pPr>
              <w:ind w:left="100"/>
              <w:spacing w:after="0"/>
              <w:rPr>
                <w:sz w:val="20"/>
                <w:szCs w:val="20"/>
                <w:color w:val="auto"/>
              </w:rPr>
            </w:pPr>
            <w:r>
              <w:rPr>
                <w:rFonts w:ascii="Arial" w:cs="Arial" w:eastAsia="Arial" w:hAnsi="Arial"/>
                <w:sz w:val="20"/>
                <w:szCs w:val="20"/>
                <w:b w:val="1"/>
                <w:bCs w:val="1"/>
                <w:color w:val="auto"/>
              </w:rPr>
              <w:t>% Change</w:t>
            </w:r>
          </w:p>
        </w:tc>
      </w:tr>
    </w:tbl>
    <w:p>
      <w:pPr>
        <w:spacing w:after="0" w:line="3" w:lineRule="exact"/>
        <w:rPr>
          <w:sz w:val="20"/>
          <w:szCs w:val="20"/>
          <w:color w:val="auto"/>
        </w:rPr>
      </w:pPr>
    </w:p>
    <w:p>
      <w:pPr>
        <w:sectPr>
          <w:pgSz w:w="11900" w:h="16838" w:orient="portrait"/>
          <w:cols w:equalWidth="0" w:num="2">
            <w:col w:w="2900" w:space="720"/>
            <w:col w:w="78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42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1,736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r>
      <w:tr>
        <w:trPr>
          <w:trHeight w:val="261"/>
        </w:trPr>
        <w:tc>
          <w:tcPr>
            <w:tcW w:w="362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802</w:t>
            </w:r>
          </w:p>
        </w:tc>
        <w:tc>
          <w:tcPr>
            <w:tcW w:w="10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610</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w:t>
            </w:r>
          </w:p>
        </w:tc>
        <w:tc>
          <w:tcPr>
            <w:tcW w:w="10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2,820</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2,105</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34%</w:t>
            </w:r>
          </w:p>
        </w:tc>
      </w:tr>
      <w:tr>
        <w:trPr>
          <w:trHeight w:val="23"/>
        </w:trPr>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Non-GAAP net income</w:t>
            </w: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w:t>
            </w:r>
          </w:p>
        </w:tc>
      </w:tr>
      <w:tr>
        <w:trPr>
          <w:trHeight w:val="261"/>
        </w:trPr>
        <w:tc>
          <w:tcPr>
            <w:tcW w:w="3620" w:type="dxa"/>
            <w:vAlign w:val="bottom"/>
          </w:tcPr>
          <w:p>
            <w:pPr>
              <w:ind w:left="40"/>
              <w:spacing w:after="0"/>
              <w:rPr>
                <w:sz w:val="20"/>
                <w:szCs w:val="20"/>
                <w:color w:val="auto"/>
              </w:rPr>
            </w:pPr>
            <w:r>
              <w:rPr>
                <w:rFonts w:ascii="Arial" w:cs="Arial" w:eastAsia="Arial" w:hAnsi="Arial"/>
                <w:sz w:val="20"/>
                <w:szCs w:val="20"/>
                <w:color w:val="auto"/>
                <w:w w:val="96"/>
              </w:rPr>
              <w:t>Non-GAAP net income per share - diluted</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2.79</w:t>
            </w:r>
          </w:p>
        </w:tc>
        <w:tc>
          <w:tcPr>
            <w:tcW w:w="10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2.24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3"/>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8.17</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22%</w:t>
            </w:r>
          </w:p>
        </w:tc>
      </w:tr>
      <w:tr>
        <w:trPr>
          <w:trHeight w:val="23"/>
        </w:trPr>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w:t>
            </w:r>
          </w:p>
        </w:tc>
      </w:tr>
      <w:tr>
        <w:trPr>
          <w:trHeight w:val="261"/>
        </w:trPr>
        <w:tc>
          <w:tcPr>
            <w:tcW w:w="362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0.96</w:t>
            </w:r>
          </w:p>
        </w:tc>
        <w:tc>
          <w:tcPr>
            <w:tcW w:w="10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0.86</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3.81</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158"/>
        </w:trPr>
        <w:tc>
          <w:tcPr>
            <w:tcW w:w="3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bl>
    <w:p>
      <w:pPr>
        <w:spacing w:after="0" w:line="399"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"In 2015, Regeneron continues on our mission to evolve into a company with multiple, commercially-important therapies for patients," said Leonard S. Schleifer, M.D., Ph.D., President and Chief Executive Officer of Regeneron. "We look forward to another strong year of EYLEA growth, driven by expanded use in diabetic macular edema, as well as the potential regulatory approval and U.S. launch of PRALUENT for hypercholesterolemia. Regeneron also continues to advance our innovative mid-to-late stage pipeline of antibodies for people with serious diseases including rheumatoid arthritis, atopic dermatitis, asthma, chronic pain, and a life-threatening infection."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12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fourth quarter of 2014, net sales of EYLEA in the United States increased 29% to $518 million from $402 million in the fourth quarter of 2013. For the full year 2014, net sales of EYLEA in the United States increased 23% to $1.736 billion from $1.409 billion for the full year 2013.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100" w:hanging="332"/>
        <w:spacing w:after="0" w:line="23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fourth quarter of 2014,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$297 million, compared to $184 million in the fourth quarter of 2013. In the fourth quarter of 2014, Regeneron recognized $88 million from its share of net profit from EYLEA sales outside the United States (after repayment of $14 million in development expenses), compared to $44 million in the fourth quarter of 2013 (after repayment of $15 million in development expenses). For the full year 2014,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$1.039 billion, compared to $472 million in 2013. For the full year 2014, Regeneron recognized $301 million from its share of net profit from EYLEA sales outside the United States (after repayment of $57 million in development expenses), compared to $102 million in 2013 (after repayment of $58 million in development expenses).</w:t>
      </w:r>
    </w:p>
    <w:p>
      <w:pPr>
        <w:spacing w:after="0" w:line="2" w:lineRule="exact"/>
        <w:rPr>
          <w:rFonts w:ascii="Arial" w:cs="Arial" w:eastAsia="Arial" w:hAnsi="Arial"/>
          <w:sz w:val="22"/>
          <w:szCs w:val="22"/>
          <w:color w:val="auto"/>
        </w:rPr>
      </w:pPr>
    </w:p>
    <w:p>
      <w:pPr>
        <w:ind w:left="340" w:right="2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2014, the FDA approved EYLEA for the treatment of macular edema following retinal vein occlusion (RVO), which includes macular edema following branch retinal vein occlusion (BRVO) in addition to the previously-approved indication of macular edema following central retinal vein occlusion (CRVO). Bayer HealthCare has also submitted regulatory applications seeking marketing authorization in the European Union and Japan for EYLEA for the treatment of macular edema following BRVO. In January 2015, the European Committee for Medicinal Products for Human Use (CHMP) recommended EYLEA for approval for the treatment of visual impairment due to macular edema secondary to CRVO or BRVO.</w:t>
      </w:r>
    </w:p>
    <w:p>
      <w:pPr>
        <w:spacing w:after="0" w:line="3"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2014, the Company announced that in the National Institutes of Health (NIH) sponsored, Diabetic Retinopathy Clinical Research Network comparative effectiveness study in patients with diabetic macular edema (DME), EYLEA demonstrated a significantly greater improvement in mean change in best-corrected visual acuity (BCVA) from baseline at 52 weeks compared to both bevacizumab (Avastin</w:t>
      </w:r>
      <w:r>
        <w:rPr>
          <w:rFonts w:ascii="Arial" w:cs="Arial" w:eastAsia="Arial" w:hAnsi="Arial"/>
          <w:sz w:val="22"/>
          <w:szCs w:val="22"/>
          <w:color w:val="auto"/>
          <w:vertAlign w:val="superscript"/>
        </w:rPr>
        <w:t>®</w:t>
      </w:r>
      <w:r>
        <w:rPr>
          <w:rFonts w:ascii="Arial" w:cs="Arial" w:eastAsia="Arial" w:hAnsi="Arial"/>
          <w:sz w:val="22"/>
          <w:szCs w:val="22"/>
          <w:color w:val="auto"/>
        </w:rPr>
        <w:t>) and ranibizumab injection (Lucentis</w:t>
      </w:r>
      <w:r>
        <w:rPr>
          <w:rFonts w:ascii="Arial" w:cs="Arial" w:eastAsia="Arial" w:hAnsi="Arial"/>
          <w:sz w:val="22"/>
          <w:szCs w:val="22"/>
          <w:color w:val="auto"/>
          <w:vertAlign w:val="superscript"/>
        </w:rPr>
        <w:t>®</w:t>
      </w:r>
      <w:r>
        <w:rPr>
          <w:rFonts w:ascii="Arial" w:cs="Arial" w:eastAsia="Arial" w:hAnsi="Arial"/>
          <w:sz w:val="22"/>
          <w:szCs w:val="22"/>
          <w:color w:val="auto"/>
        </w:rPr>
        <w:t>), the primary endpoint of the study. The independent, NIH-sponsored study was designed to determine if one of three different anti-VEGF therapies is superior to the others for the treatment of DME.</w:t>
      </w:r>
    </w:p>
    <w:p>
      <w:pPr>
        <w:spacing w:after="0" w:line="2"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November 2014, the Japanese Ministry of Health, Labour and Welfare approved EYLEA for DME.</w:t>
      </w:r>
    </w:p>
    <w:p>
      <w:pPr>
        <w:spacing w:after="0" w:line="3" w:lineRule="exact"/>
        <w:rPr>
          <w:rFonts w:ascii="Arial" w:cs="Arial" w:eastAsia="Arial" w:hAnsi="Arial"/>
          <w:sz w:val="22"/>
          <w:szCs w:val="22"/>
          <w:color w:val="auto"/>
        </w:rPr>
      </w:pPr>
    </w:p>
    <w:p>
      <w:pPr>
        <w:jc w:val="both"/>
        <w:ind w:left="340" w:right="220" w:hanging="332"/>
        <w:spacing w:after="0" w:line="272" w:lineRule="auto"/>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November 2014, the FDA accepted for priority review the supplemental biologics license application (sBLA) for EYLEA for the treatment of diabetic retinopathy in patients with DME, with a target action date of March 30, 2015.</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36"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7" w:lineRule="exact"/>
        <w:rPr>
          <w:sz w:val="20"/>
          <w:szCs w:val="20"/>
          <w:color w:val="auto"/>
        </w:rPr>
      </w:pPr>
    </w:p>
    <w:p>
      <w:pPr>
        <w:ind w:right="140"/>
        <w:spacing w:after="0" w:line="225" w:lineRule="auto"/>
        <w:rPr>
          <w:sz w:val="20"/>
          <w:szCs w:val="20"/>
          <w:color w:val="auto"/>
        </w:rPr>
      </w:pPr>
      <w:r>
        <w:rPr>
          <w:rFonts w:ascii="Arial" w:cs="Arial" w:eastAsia="Arial" w:hAnsi="Arial"/>
          <w:sz w:val="21"/>
          <w:szCs w:val="21"/>
          <w:color w:val="auto"/>
        </w:rPr>
        <w:t xml:space="preserve">Regeneron has fifteen fully human monoclonal antibodies generated using the Company's </w:t>
      </w:r>
      <w:r>
        <w:rPr>
          <w:rFonts w:ascii="Arial" w:cs="Arial" w:eastAsia="Arial" w:hAnsi="Arial"/>
          <w:sz w:val="21"/>
          <w:szCs w:val="21"/>
          <w:i w:val="1"/>
          <w:iCs w:val="1"/>
          <w:color w:val="auto"/>
        </w:rPr>
        <w:t>VelocImmune</w:t>
      </w:r>
      <w:r>
        <w:rPr>
          <w:rFonts w:ascii="Arial" w:cs="Arial" w:eastAsia="Arial" w:hAnsi="Arial"/>
          <w:sz w:val="27"/>
          <w:szCs w:val="27"/>
          <w:i w:val="1"/>
          <w:iCs w:val="1"/>
          <w:color w:val="auto"/>
          <w:vertAlign w:val="superscript"/>
        </w:rPr>
        <w:t>®</w:t>
      </w:r>
      <w:r>
        <w:rPr>
          <w:rFonts w:ascii="Arial" w:cs="Arial" w:eastAsia="Arial" w:hAnsi="Arial"/>
          <w:sz w:val="21"/>
          <w:szCs w:val="21"/>
          <w:color w:val="auto"/>
        </w:rPr>
        <w:t xml:space="preserve"> technology in clinical development, including five in collaboration with Sanofi. Highlights from the antibody pipeline include:</w:t>
      </w:r>
    </w:p>
    <w:p>
      <w:pPr>
        <w:spacing w:after="0" w:line="123" w:lineRule="exact"/>
        <w:rPr>
          <w:sz w:val="20"/>
          <w:szCs w:val="20"/>
          <w:color w:val="auto"/>
        </w:rPr>
      </w:pPr>
    </w:p>
    <w:p>
      <w:pPr>
        <w:ind w:left="340" w:right="60"/>
        <w:spacing w:after="0" w:line="253" w:lineRule="auto"/>
        <w:rPr>
          <w:sz w:val="20"/>
          <w:szCs w:val="20"/>
          <w:color w:val="auto"/>
        </w:rPr>
      </w:pPr>
      <w:r>
        <w:rPr>
          <w:rFonts w:ascii="Arial" w:cs="Arial" w:eastAsia="Arial" w:hAnsi="Arial"/>
          <w:sz w:val="22"/>
          <w:szCs w:val="22"/>
          <w:u w:val="single" w:color="auto"/>
          <w:color w:val="auto"/>
        </w:rPr>
        <w:t>PRALUENT</w:t>
      </w:r>
      <w:r>
        <w:rPr>
          <w:rFonts w:ascii="Arial" w:cs="Arial" w:eastAsia="Arial" w:hAnsi="Arial"/>
          <w:sz w:val="22"/>
          <w:szCs w:val="22"/>
          <w:color w:val="auto"/>
          <w:vertAlign w:val="superscript"/>
        </w:rPr>
        <w:t>TM</w:t>
      </w:r>
      <w:r>
        <w:rPr>
          <w:rFonts w:ascii="Arial" w:cs="Arial" w:eastAsia="Arial" w:hAnsi="Arial"/>
          <w:sz w:val="22"/>
          <w:szCs w:val="22"/>
          <w:color w:val="auto"/>
        </w:rPr>
        <w:t xml:space="preserve"> (alirocumab) is the Company's antibody targeting PCSK9 to lower LDL-cholesterol (LDL-C). In January 2015, the FDA accepted for priority review the BLA for PRALUENT, with a target action date of July 24, 2015. In addition, the European Medicines Agency (EMA) recently accepted for review the Marketing Authorization Application (MAA) for PRALUENT.</w:t>
      </w:r>
    </w:p>
    <w:p>
      <w:pPr>
        <w:spacing w:after="0" w:line="240" w:lineRule="exact"/>
        <w:rPr>
          <w:sz w:val="20"/>
          <w:szCs w:val="20"/>
          <w:color w:val="auto"/>
        </w:rPr>
      </w:pPr>
    </w:p>
    <w:p>
      <w:pPr>
        <w:ind w:left="340"/>
        <w:spacing w:after="0" w:line="244" w:lineRule="auto"/>
        <w:rPr>
          <w:sz w:val="20"/>
          <w:szCs w:val="20"/>
          <w:color w:val="auto"/>
        </w:rPr>
      </w:pPr>
      <w:r>
        <w:rPr>
          <w:rFonts w:ascii="Arial" w:cs="Arial" w:eastAsia="Arial" w:hAnsi="Arial"/>
          <w:sz w:val="22"/>
          <w:szCs w:val="22"/>
          <w:color w:val="auto"/>
        </w:rPr>
        <w:t>In November 2014, the Company and Sanofi reported positive results from six Phase 3 ODYSSEY trials that showed that PRALUENT significantly reduced LDL-C, or "bad" cholesterol. All six trials, ODYSSEY LONG TERM, COMBO I, ALTERNATIVE, OPTIONS I, OPTIONS II, and HIGH FH, met their primary efficacy endpoint of a greater reduction in LDL-C at 24 weeks, versus either active comparator or placebo, which included standard-of-care therapy. Detailed results from these trials were presented as part of a special session on the ODYSSEY program at the American Heart Association (AHA) Scientific Sessions in Chicago, IL. The companies had previously announced in July 2014 that all six studies met their primary efficacy endpoints. Data from ten studies (ODYSSEY LONG TERM, FH I, FH II, HIGH FH, COMBO I, COMBO II, OPTIONS I, OPTIONS II, ALTERNATIVE, and MONO) formed the basis for the Company's initial global regulatory filings.</w:t>
      </w:r>
    </w:p>
    <w:p>
      <w:pPr>
        <w:spacing w:after="0" w:line="251" w:lineRule="exact"/>
        <w:rPr>
          <w:sz w:val="20"/>
          <w:szCs w:val="20"/>
          <w:color w:val="auto"/>
        </w:rPr>
      </w:pPr>
    </w:p>
    <w:p>
      <w:pPr>
        <w:ind w:left="340" w:right="40"/>
        <w:spacing w:after="0" w:line="245" w:lineRule="auto"/>
        <w:rPr>
          <w:sz w:val="20"/>
          <w:szCs w:val="20"/>
          <w:color w:val="auto"/>
        </w:rPr>
      </w:pPr>
      <w:r>
        <w:rPr>
          <w:rFonts w:ascii="Arial" w:cs="Arial" w:eastAsia="Arial" w:hAnsi="Arial"/>
          <w:sz w:val="22"/>
          <w:szCs w:val="22"/>
          <w:color w:val="auto"/>
        </w:rPr>
        <w:t>In January 2015, the Company and Sanofi announced that the ODYSSEY CHOICE I and ODYSSEY CHOICE II studies met their primary efficacy endpoints. The trials compared the reduction from baseline in LDL-C at 24 weeks with PRALUENT versus placebo in patients with hypercholesterolemia. In these monthly dosing trials, the mean percent reduction in LDL-C from baseline was consistent with that seen in previous Phase 3 trials evaluating PRALUENT in every other week dosing.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Phase 3 ODYSSEY program remains ongoing.</w:t>
      </w:r>
    </w:p>
    <w:p>
      <w:pPr>
        <w:spacing w:after="0" w:line="260" w:lineRule="exact"/>
        <w:rPr>
          <w:sz w:val="20"/>
          <w:szCs w:val="20"/>
          <w:color w:val="auto"/>
        </w:rPr>
      </w:pPr>
    </w:p>
    <w:p>
      <w:pPr>
        <w:ind w:left="340" w:right="240"/>
        <w:spacing w:after="0" w:line="245"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under investigation in the global Phase 3 SARIL-RA program. The Phase 3 MONARCH study, which will be a head-to-head monotherapy study comparing sarilumab against adalimumab, was recently initiated. The Company and Sanofi plan to present new Phase 3 data in 2015 and submit a BLA in the United States by the end of 2015.</w:t>
      </w:r>
    </w:p>
    <w:p>
      <w:pPr>
        <w:spacing w:after="0" w:line="250" w:lineRule="exact"/>
        <w:rPr>
          <w:sz w:val="20"/>
          <w:szCs w:val="20"/>
          <w:color w:val="auto"/>
        </w:rPr>
      </w:pPr>
    </w:p>
    <w:p>
      <w:pPr>
        <w:ind w:left="340" w:right="20"/>
        <w:spacing w:after="0" w:line="244"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chronic sinusitis with nasal polyps, and eosinophilic esophagitis. In October 2014, the LIBERTY AD CHRONOS Phase 3 study of dupilumab in atopic dermatitis was initiated and is currently enrolling patients. In November 2014, the FDA granted Breakthrough Therapy designation to dupilumab for the treatment of adults with moderate-to-severe atopic dermatitis who are not adequately controlled with topical prescription therapy and/or for whom these treatments are not appropriate.</w:t>
      </w:r>
    </w:p>
    <w:p>
      <w:pPr>
        <w:spacing w:after="0" w:line="253" w:lineRule="exact"/>
        <w:rPr>
          <w:sz w:val="20"/>
          <w:szCs w:val="20"/>
          <w:color w:val="auto"/>
        </w:rPr>
      </w:pPr>
    </w:p>
    <w:p>
      <w:pPr>
        <w:ind w:left="340" w:right="240"/>
        <w:spacing w:after="0" w:line="249" w:lineRule="auto"/>
        <w:rPr>
          <w:sz w:val="20"/>
          <w:szCs w:val="20"/>
          <w:color w:val="auto"/>
        </w:rPr>
      </w:pPr>
      <w:r>
        <w:rPr>
          <w:rFonts w:ascii="Arial" w:cs="Arial" w:eastAsia="Arial" w:hAnsi="Arial"/>
          <w:sz w:val="22"/>
          <w:szCs w:val="22"/>
          <w:color w:val="auto"/>
        </w:rPr>
        <w:t>In November 2014, the Company and Sanofi reported positive results from the interim analysis of a dose-ranging Phase 2b of dupilumab in adult patients with uncontrolled</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0" w:right="319" w:bottom="1440" w:gutter="0" w:footer="0" w:header="0"/>
        </w:sectPr>
      </w:pPr>
    </w:p>
    <w:bookmarkStart w:id="7" w:name="page8"/>
    <w:bookmarkEnd w:id="7"/>
    <w:p>
      <w:pPr>
        <w:ind w:left="340"/>
        <w:spacing w:after="0"/>
        <w:rPr>
          <w:sz w:val="20"/>
          <w:szCs w:val="20"/>
          <w:color w:val="auto"/>
        </w:rPr>
      </w:pPr>
      <w:r>
        <w:rPr>
          <w:rFonts w:ascii="Arial" w:cs="Arial" w:eastAsia="Arial" w:hAnsi="Arial"/>
          <w:sz w:val="22"/>
          <w:szCs w:val="22"/>
          <w:color w:val="auto"/>
        </w:rPr>
        <w:t>moderate-to-severe asthma. Full results of the trial will be presented at an upcoming scientific meeting.</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Phase 2 study of dupilumab in eosinophilic esophagitis was also recently initiated.</w:t>
      </w:r>
    </w:p>
    <w:p>
      <w:pPr>
        <w:spacing w:after="0" w:line="260" w:lineRule="exact"/>
        <w:rPr>
          <w:sz w:val="20"/>
          <w:szCs w:val="20"/>
          <w:color w:val="auto"/>
        </w:rPr>
      </w:pPr>
    </w:p>
    <w:p>
      <w:pPr>
        <w:ind w:left="340" w:right="200"/>
        <w:spacing w:after="0" w:line="249"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targeting Nerve Growth Factor (NGF), is expected to re-enter clinical development during 2015.</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u w:val="single" w:color="auto"/>
          <w:color w:val="auto"/>
        </w:rPr>
        <w:t>REGN2222</w:t>
      </w:r>
      <w:r>
        <w:rPr>
          <w:rFonts w:ascii="Arial" w:cs="Arial" w:eastAsia="Arial" w:hAnsi="Arial"/>
          <w:sz w:val="21"/>
          <w:szCs w:val="21"/>
          <w:color w:val="auto"/>
        </w:rPr>
        <w:t>, an antibody targeting the respiratory syncytial virus (RSV), is expected to enter Phase 3 trials in 2015.</w:t>
      </w:r>
    </w:p>
    <w:p>
      <w:pPr>
        <w:spacing w:after="0" w:line="272" w:lineRule="exact"/>
        <w:rPr>
          <w:sz w:val="20"/>
          <w:szCs w:val="20"/>
          <w:color w:val="auto"/>
        </w:rPr>
      </w:pPr>
    </w:p>
    <w:p>
      <w:pPr>
        <w:ind w:left="340" w:right="380"/>
        <w:spacing w:after="0" w:line="249"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xml:space="preserve"> , an antibody targeting PD-1, entered Phase 1 clinical development for the treatment of cancer in the first quarter of 2015.</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and Full Year 2014 Financial Results</w:t>
      </w:r>
    </w:p>
    <w:p>
      <w:pPr>
        <w:spacing w:after="0" w:line="260"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$522 million in the fourth quarter and $1.751 billion for the full year 2014,</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$406 million in the fourth quarter and $1.426 billion for the full year 2013. EYLEA net product sales in the United States were $518 million in the fourth quarter and $1.736 billion for the full year 2014, compared to $402 million in the fourth quarter and $1.409 billion for the full year 2013.</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31% to $802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fourth quarter of 2014, compared to $610 million in the fourth quarter of 2013. Total revenues also include collaboration revenues of $272 million in the fourth quarter of 2014, compared to $197 million in the fourth quarter of 2013. Full year 2014 total revenues increased by 34% to $2.820 billion, compared to $2.105 billion for the full year 2013, and included collaboration revenues of $1.037 billion for the full year 2014, compared to $650 million for the full year 2013. Collaboration revenues in the fourth quarter and full year 2014 increased primarily due to an increase in the Company's net profit from commercialization of EYLEA outside the United States and higher reimbursement of the Company's development expenses under its antibody collaboration with Sanofi. Collaboration revenue for the full year 2014 and 2013 also included $105 million of sales milestone payments and $70 million of milestone payments from Bayer HealthCare,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In 2014, GAAP R&amp;D expenses were $352 million in the fourth quarter</w:t>
      </w:r>
      <w:r>
        <w:rPr>
          <w:rFonts w:ascii="Arial" w:cs="Arial" w:eastAsia="Arial" w:hAnsi="Arial"/>
          <w:sz w:val="21"/>
          <w:szCs w:val="21"/>
          <w:b w:val="1"/>
          <w:bCs w:val="1"/>
          <w:color w:val="auto"/>
        </w:rPr>
        <w:t xml:space="preserve"> </w:t>
      </w:r>
      <w:r>
        <w:rPr>
          <w:rFonts w:ascii="Arial" w:cs="Arial" w:eastAsia="Arial" w:hAnsi="Arial"/>
          <w:sz w:val="21"/>
          <w:szCs w:val="21"/>
          <w:color w:val="auto"/>
        </w:rPr>
        <w:t>and $1.271 billion for the full year, compared to $268 million in the fourth quarter and $860 million for full year 2013. The higher 2014 R&amp;D expenses in the fourth quarter and full year were principally due to higher development costs primarily related to PRALUENT, dupilumab, sarilumab, and certain other, earlier-stage antibody product candidates, and higher headcount to support the Company's increased R&amp;D activities. In 2014, GAAP R&amp;D expenses also included the Company's 50% share, or $34 million, of the cost of purchasing a FDA priority review voucher. In addition, in 2014, R&amp;D-related non-cash share-based compensation expense was $51 million for the fourth quarter and $184 million for the full year, compared to $34 million in the fourth quarter and $117 million for the full year 2013.</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06"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In 2014, GAAP SG&amp;A expenses were $144 million in the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fourth quarter and $505 million for the full year, compared to $82 million in the fourth quarter and $329 million for full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year 2013. The increases were primarily due to higher expenses associated with the Branded Prescription Drug Fee,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higher headcount and headcount-related costs, higher legal costs primarily in connection with patent enforcement,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higher commercialization-related costs in connection with PRALUENT. In 2014, full year SG&amp;A expenses included a</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$41 million incremental charge related to the Branded Prescription Drug Fee, which was recorded in the third quarter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2014, based on final regulations issued by the Internal Revenue Service (IRS) in July 2014. In 2014, SG&amp;A-related</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non-cash share-based compensation expense was $30 million for the fourth quarter and $120 million for the full year,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compared to $21 million in the fourth quarter and $80 million for the full year 2013.</w:t>
      </w:r>
    </w:p>
    <w:p>
      <w:pPr>
        <w:spacing w:after="0" w:line="234"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In 2014, GAAP other expense included a $23 million loss on extinguishment of debt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and $33 million for the full year, related to the conversion of $170 million and $231 million principal amount, respectively, of the $400 million aggregate principal amount of the Company's 1.875% convertible senior notes.</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2014, GAAP income tax expense was $111 million in the fourth quarter and $428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full year, compared to $101 million in the fourth quarter and $289 million for the full year 2013. In 2014, the effective tax rate was 50.2% for the fourth quarter and 55.1% for full year 2014, compared to 51.1% for the fourth quarter and 40.5% for the full year 2013. The effective tax rate for the full year 2014 was negatively impacted primarily by losses incurred in foreign jurisdictions with rates lower than the federal statutory rate, an increase in income tax expense in connection with uncertain tax positions, and the non-tax deductible Branded Prescription Drug Fee, partly offset by the 2014 federal tax credit for increased research activities. GAAP income tax expense in 2014 and 2013 was principally a non-cash expense, due primarily to the utilization of net operating loss and tax credit carryforwards, and deductions related to employee stock option exercises.</w:t>
      </w:r>
    </w:p>
    <w:p>
      <w:pPr>
        <w:spacing w:after="0" w:line="223"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b w:val="1"/>
          <w:bCs w:val="1"/>
          <w:color w:val="auto"/>
        </w:rPr>
        <w:t xml:space="preserve">Non-GAAP and GAAP Net Income: </w:t>
      </w:r>
      <w:r>
        <w:rPr>
          <w:rFonts w:ascii="Arial" w:cs="Arial" w:eastAsia="Arial" w:hAnsi="Arial"/>
          <w:sz w:val="21"/>
          <w:szCs w:val="21"/>
          <w:color w:val="auto"/>
        </w:rPr>
        <w:t>The Company reported non-GAAP net income of $328 million, or $3.23 per basic</w:t>
      </w:r>
      <w:r>
        <w:rPr>
          <w:rFonts w:ascii="Arial" w:cs="Arial" w:eastAsia="Arial" w:hAnsi="Arial"/>
          <w:sz w:val="21"/>
          <w:szCs w:val="21"/>
          <w:b w:val="1"/>
          <w:bCs w:val="1"/>
          <w:color w:val="auto"/>
        </w:rPr>
        <w:t xml:space="preserve"> </w:t>
      </w:r>
      <w:r>
        <w:rPr>
          <w:rFonts w:ascii="Arial" w:cs="Arial" w:eastAsia="Arial" w:hAnsi="Arial"/>
          <w:sz w:val="21"/>
          <w:szCs w:val="21"/>
          <w:color w:val="auto"/>
        </w:rPr>
        <w:t>share and $2.79 per diluted share, in the fourth quarter of 2014, compared to non-GAAP net income of $259 million, or $2.62 per basic share and $2.24 per diluted share, in the fourth quarter of 2013. The Company reported non-GAAP net income of $1.175 billion, or $11.68 per basic share and $10.00 per diluted share, for the full year 2014, compared to non-GAAP net income of $935 million, or $9.55 per basic share and $8.17 per diluted share, for the full year 2013.</w:t>
      </w:r>
    </w:p>
    <w:p>
      <w:pPr>
        <w:spacing w:after="0" w:line="23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The Company reported GAAP net income of $110 million, or $1.09 per basic share and $0.96 per diluted share, in the fourth quarter of 2014, compared to GAAP net income of $97 million, or $0.98 per basic share and $0.86 per diluted share, in the fourth quarter of 2013. The Company reported GAAP net income of $348 million, or $3.46 per basic share and $3.07 per diluted share, for the full year 2014, compared to GAAP net income of $424 million, or $4.33 per basic share and $3.81 per diluted share, for the full year 2013.</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2015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2015 financial guidance consists of the following components:</w:t>
      </w:r>
    </w:p>
    <w:p>
      <w:pPr>
        <w:spacing w:after="0" w:line="112" w:lineRule="exact"/>
        <w:rPr>
          <w:sz w:val="20"/>
          <w:szCs w:val="20"/>
          <w:color w:val="auto"/>
        </w:rPr>
      </w:pPr>
    </w:p>
    <w:tbl>
      <w:tblPr>
        <w:tblLayout w:type="fixed"/>
        <w:tblInd w:w="1630" w:type="dxa"/>
        <w:tblCellMar>
          <w:top w:w="0" w:type="dxa"/>
          <w:left w:w="0" w:type="dxa"/>
          <w:bottom w:w="0" w:type="dxa"/>
          <w:right w:w="0" w:type="dxa"/>
        </w:tblCellMar>
      </w:tblPr>
      <w:tr>
        <w:trPr>
          <w:trHeight w:val="302"/>
        </w:trPr>
        <w:tc>
          <w:tcPr>
            <w:tcW w:w="4940" w:type="dxa"/>
            <w:vAlign w:val="bottom"/>
            <w:tcBorders>
              <w:top w:val="single" w:sz="8" w:color="auto"/>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89"/>
              </w:rPr>
              <w:t>25%</w:t>
            </w:r>
          </w:p>
        </w:tc>
        <w:tc>
          <w:tcPr>
            <w:tcW w:w="2880" w:type="dxa"/>
            <w:vAlign w:val="bottom"/>
            <w:tcBorders>
              <w:top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- 30% growth over 2014</w:t>
            </w:r>
          </w:p>
        </w:tc>
      </w:tr>
      <w:tr>
        <w:trPr>
          <w:trHeight w:val="277"/>
        </w:trPr>
        <w:tc>
          <w:tcPr>
            <w:tcW w:w="4940" w:type="dxa"/>
            <w:vAlign w:val="bottom"/>
            <w:tcBorders>
              <w:top w:val="single" w:sz="8" w:color="auto"/>
              <w:left w:val="single" w:sz="8" w:color="auto"/>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w:t>
            </w:r>
          </w:p>
        </w:tc>
        <w:tc>
          <w:tcPr>
            <w:tcW w:w="32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$525 million - $575 million</w:t>
            </w:r>
          </w:p>
        </w:tc>
      </w:tr>
      <w:tr>
        <w:trPr>
          <w:trHeight w:val="277"/>
        </w:trPr>
        <w:tc>
          <w:tcPr>
            <w:tcW w:w="4940" w:type="dxa"/>
            <w:vAlign w:val="bottom"/>
            <w:tcBorders>
              <w:left w:val="single" w:sz="8" w:color="auto"/>
              <w:bottom w:val="single" w:sz="8" w:color="auto"/>
              <w:right w:val="single" w:sz="8" w:color="auto"/>
            </w:tcBorders>
            <w:shd w:val="clear" w:color="auto" w:fill="CCEEFF"/>
          </w:tcPr>
          <w:p>
            <w:pPr>
              <w:ind w:left="20"/>
              <w:spacing w:after="0" w:line="27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w:t>
            </w:r>
          </w:p>
        </w:tc>
        <w:tc>
          <w:tcPr>
            <w:tcW w:w="328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20"/>
                <w:szCs w:val="20"/>
                <w:color w:val="auto"/>
              </w:rPr>
              <w:t>$650 million - $725 million</w:t>
            </w:r>
          </w:p>
        </w:tc>
      </w:tr>
      <w:tr>
        <w:trPr>
          <w:trHeight w:val="277"/>
        </w:trPr>
        <w:tc>
          <w:tcPr>
            <w:tcW w:w="4940" w:type="dxa"/>
            <w:vAlign w:val="bottom"/>
            <w:tcBorders>
              <w:left w:val="single" w:sz="8" w:color="auto"/>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Cash tax as a % of non-GAAP pre-tax income</w:t>
            </w:r>
            <w:r>
              <w:rPr>
                <w:rFonts w:ascii="Arial" w:cs="Arial" w:eastAsia="Arial" w:hAnsi="Arial"/>
                <w:sz w:val="25"/>
                <w:szCs w:val="25"/>
                <w:color w:val="auto"/>
                <w:vertAlign w:val="superscript"/>
              </w:rPr>
              <w:t>(2)</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89"/>
              </w:rPr>
              <w:t>10%</w:t>
            </w:r>
          </w:p>
        </w:tc>
        <w:tc>
          <w:tcPr>
            <w:tcW w:w="2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- 20%</w:t>
            </w:r>
          </w:p>
        </w:tc>
      </w:tr>
      <w:tr>
        <w:trPr>
          <w:trHeight w:val="257"/>
        </w:trPr>
        <w:tc>
          <w:tcPr>
            <w:tcW w:w="49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328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20"/>
                <w:szCs w:val="20"/>
                <w:color w:val="auto"/>
              </w:rPr>
              <w:t>$650 million - $800 million</w:t>
            </w:r>
          </w:p>
        </w:tc>
      </w:tr>
      <w:tr>
        <w:trPr>
          <w:trHeight w:val="20"/>
        </w:trPr>
        <w:tc>
          <w:tcPr>
            <w:tcW w:w="4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80" w:right="180" w:hanging="345"/>
        <w:spacing w:after="0" w:line="225" w:lineRule="auto"/>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20"/>
          <w:szCs w:val="20"/>
          <w:color w:val="auto"/>
        </w:rPr>
        <w:t>Regeneron records net product sales of EYLEA in the United States. Outside the United States, EYLEA net product sales comprise sales by Bayer HealthCare LLC in countries other than Japan and sales by Santen Pharmaceutical Co., Ltd. in Japan under a co-promotion agreement with a Japanese subsidiary of Bayer HealthCare LLC.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80" w:hanging="345"/>
        <w:spacing w:after="0" w:line="225" w:lineRule="auto"/>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for 2013 and 2014, which was principally a non-cash expense, due primarily to the utilization of net operating loss and tax credit carry-forwards and deductions related to employee stock option exercises. Prospectively, the Company continues to expect a significant difference between the Company's effective tax rate and actual cash income taxes paid/payable. Consequently,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65" w:lineRule="exact"/>
        <w:rPr>
          <w:rFonts w:ascii="Arial" w:cs="Arial" w:eastAsia="Arial" w:hAnsi="Arial"/>
          <w:sz w:val="22"/>
          <w:szCs w:val="22"/>
          <w:color w:val="auto"/>
          <w:vertAlign w:val="superscript"/>
        </w:rPr>
      </w:pPr>
    </w:p>
    <w:p>
      <w:pPr>
        <w:ind w:left="380" w:right="1000" w:hanging="345"/>
        <w:spacing w:after="0" w:line="225" w:lineRule="auto"/>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20"/>
          <w:szCs w:val="20"/>
          <w:color w:val="auto"/>
        </w:rPr>
        <w:t>The Company's 2015 financial guidance does not assume the completion of any significant business development transactions not completed as of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79" w:right="29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fourth quarter and full year 2014 financial and operating results on Tuesday, February 10, 2015,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colorectal cancer, and a rare inflammatory condition, and has product candidates in development in other areas of high unmet medical need, including hypercholesterolemia, oncology, rheumatoid arthritis, asthma, and atopic dermatitis. Several Regeneron programs are based on human genetics findings.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86"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in additional indications in relevant jurisdictions, PRALUENT, sarilumab, dupilumab, fasinumab, and REGN2222; ongoing regulatory obligations and oversight impacting Regeneron’s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such as the comparative effectiveness study in patients with DME discussed in this news release,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11" w:name="page12"/>
    <w:bookmarkEnd w:id="11"/>
    <w:p>
      <w:pPr>
        <w:spacing w:after="0" w:line="243" w:lineRule="auto"/>
        <w:rPr>
          <w:sz w:val="20"/>
          <w:szCs w:val="20"/>
          <w:color w:val="auto"/>
        </w:rPr>
      </w:pPr>
      <w:r>
        <w:rPr>
          <w:rFonts w:ascii="Arial" w:cs="Arial" w:eastAsia="Arial" w:hAnsi="Arial"/>
          <w:sz w:val="22"/>
          <w:szCs w:val="22"/>
          <w:color w:val="auto"/>
        </w:rPr>
        <w:t>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non-GAAP unreimbursed R&amp;D, non-GAAP SG&amp;A, cash tax as a percentage of non-GAAP pre-tax income,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2013 and its Form 10-Q for the quarterly period ended September 30, 2014.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80"/>
          </w:cols>
          <w:pgMar w:left="240" w:top="606" w:right="27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606"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1,360,634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739,379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Accounts receivable from Sanofi and Bayer HealthCare</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278,020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167,896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316,104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276,555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74,520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38,279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3,871,827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3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620,137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262,226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231,199</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Facility lease obligations</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185,197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3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2,542,325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3,871,827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TABLE 2</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3660" w:type="dxa"/>
            <w:vAlign w:val="bottom"/>
          </w:tcPr>
          <w:p>
            <w:pPr>
              <w:spacing w:after="0"/>
              <w:rPr>
                <w:sz w:val="24"/>
                <w:szCs w:val="24"/>
                <w:color w:val="auto"/>
              </w:rPr>
            </w:pPr>
          </w:p>
        </w:tc>
        <w:tc>
          <w:tcPr>
            <w:tcW w:w="394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900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3460" w:type="dxa"/>
            <w:vAlign w:val="bottom"/>
            <w:gridSpan w:val="4"/>
          </w:tcPr>
          <w:p>
            <w:pPr>
              <w:jc w:val="center"/>
              <w:ind w:left="5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23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521,518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406,088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1,750,762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1,425,839</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430,111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137,095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85,695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495,555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220,289</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28,506</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802,329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610,412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2,819,557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2,104,745</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351,745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268,140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1,271,353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859,947</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329,415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34,491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129,030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118,048</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manufacturing</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37,307</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554,962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398,339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1,981,126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1,344,717</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247,367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212,073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838,431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760,028</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and other income (expense)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(46,437)</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(46,668)</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221,287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198,153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775,747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713,360</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(427,673)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(288,998)</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3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110,176</w:t>
            </w:r>
          </w:p>
        </w:tc>
        <w:tc>
          <w:tcPr>
            <w:tcW w:w="1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96,806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348,074</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424,362</w:t>
            </w:r>
          </w:p>
        </w:tc>
      </w:tr>
      <w:tr>
        <w:trPr>
          <w:trHeight w:val="311"/>
        </w:trPr>
        <w:tc>
          <w:tcPr>
            <w:tcW w:w="3660" w:type="dxa"/>
            <w:vAlign w:val="bottom"/>
            <w:tcBorders>
              <w:top w:val="single" w:sz="8" w:color="CCEEFF"/>
            </w:tcBorders>
            <w:shd w:val="clear" w:color="auto" w:fill="CCEEFF"/>
          </w:tcPr>
          <w:p>
            <w:pPr>
              <w:spacing w:after="0"/>
              <w:rPr>
                <w:sz w:val="24"/>
                <w:szCs w:val="24"/>
                <w:color w:val="auto"/>
              </w:rPr>
            </w:pPr>
          </w:p>
        </w:tc>
        <w:tc>
          <w:tcPr>
            <w:tcW w:w="19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3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30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324"/>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 average shares outstanding - basic</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w w:val="96"/>
              </w:rPr>
              <w:t>Weighted average shares outstanding - diluted</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114,246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113,413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111,290</w:t>
            </w:r>
          </w:p>
        </w:tc>
      </w:tr>
      <w:tr>
        <w:trPr>
          <w:trHeight w:val="702"/>
        </w:trPr>
        <w:tc>
          <w:tcPr>
            <w:tcW w:w="3660" w:type="dxa"/>
            <w:vAlign w:val="bottom"/>
          </w:tcPr>
          <w:p>
            <w:pPr>
              <w:spacing w:after="0"/>
              <w:rPr>
                <w:sz w:val="24"/>
                <w:szCs w:val="24"/>
                <w:color w:val="auto"/>
              </w:rPr>
            </w:pPr>
          </w:p>
        </w:tc>
        <w:tc>
          <w:tcPr>
            <w:tcW w:w="2300" w:type="dxa"/>
            <w:vAlign w:val="bottom"/>
            <w:gridSpan w:val="2"/>
          </w:tcPr>
          <w:p>
            <w:pPr>
              <w:ind w:left="196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TABLE 3</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7600" w:type="dxa"/>
            <w:vAlign w:val="bottom"/>
            <w:gridSpan w:val="5"/>
          </w:tcPr>
          <w:p>
            <w:pPr>
              <w:jc w:val="center"/>
              <w:ind w:left="373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0060" w:type="dxa"/>
            <w:vAlign w:val="bottom"/>
            <w:gridSpan w:val="10"/>
          </w:tcPr>
          <w:p>
            <w:pPr>
              <w:jc w:val="center"/>
              <w:ind w:left="129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120" w:type="dxa"/>
            <w:vAlign w:val="bottom"/>
            <w:gridSpan w:val="4"/>
          </w:tcPr>
          <w:p>
            <w:pPr>
              <w:jc w:val="center"/>
              <w:ind w:left="423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116,520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20,722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120,203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79,966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Branded Prescription Drug Fee incremental charge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COGS: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Interest expense: Non-cash interest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22,682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33,469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427,673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288,998</w:t>
            </w: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327,799</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259,176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1,174,875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934,739</w:t>
            </w: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101,467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98,862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97,917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117,825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117,966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115,343</w:t>
            </w:r>
          </w:p>
        </w:tc>
      </w:tr>
    </w:tbl>
    <w:p>
      <w:pPr>
        <w:spacing w:after="0" w:line="200" w:lineRule="exact"/>
        <w:rPr>
          <w:sz w:val="20"/>
          <w:szCs w:val="20"/>
          <w:color w:val="auto"/>
        </w:rPr>
      </w:pPr>
    </w:p>
    <w:p>
      <w:pPr>
        <w:spacing w:after="0" w:line="380" w:lineRule="exact"/>
        <w:rPr>
          <w:sz w:val="20"/>
          <w:szCs w:val="20"/>
          <w:color w:val="auto"/>
        </w:rPr>
      </w:pPr>
    </w:p>
    <w:p>
      <w:pPr>
        <w:ind w:left="380" w:right="80" w:hanging="345"/>
        <w:spacing w:after="0" w:line="312"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6"/>
          <w:szCs w:val="16"/>
          <w:color w:val="auto"/>
        </w:rPr>
        <w:t>For diluted non-GAAP net income per share calculations, excludes $0.6 million and $1.8 million, respectively, of interest expense for the three-month periods ended December 31, 2014 and 2013, and $5.0 million and $7.2 million, respectively, of interest expense for the years ended December 31, 2014 and 2013, related to the contractual coupon interest rate on the Company's 1.875% convertible senior notes, since these securities were dilutive.</w:t>
      </w:r>
    </w:p>
    <w:p>
      <w:pPr>
        <w:spacing w:after="0" w:line="106" w:lineRule="exact"/>
        <w:rPr>
          <w:rFonts w:ascii="Arial" w:cs="Arial" w:eastAsia="Arial" w:hAnsi="Arial"/>
          <w:sz w:val="11"/>
          <w:szCs w:val="11"/>
          <w:color w:val="auto"/>
        </w:rPr>
      </w:pPr>
    </w:p>
    <w:p>
      <w:pPr>
        <w:ind w:left="380" w:right="40" w:hanging="345"/>
        <w:spacing w:after="0" w:line="277"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TABLE 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4"/>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w w:val="98"/>
              </w:rPr>
              <w:t>COLLABORATION REVENUE (Unaudited)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spacing w:after="0"/>
              <w:rPr>
                <w:sz w:val="20"/>
                <w:szCs w:val="20"/>
                <w:color w:val="auto"/>
              </w:rPr>
            </w:pPr>
          </w:p>
        </w:tc>
        <w:tc>
          <w:tcPr>
            <w:tcW w:w="1980" w:type="dxa"/>
            <w:vAlign w:val="bottom"/>
            <w:gridSpan w:val="4"/>
          </w:tcPr>
          <w:p>
            <w:pPr>
              <w:jc w:val="center"/>
              <w:ind w:right="840"/>
              <w:spacing w:after="0"/>
              <w:rPr>
                <w:sz w:val="20"/>
                <w:szCs w:val="20"/>
                <w:color w:val="auto"/>
              </w:rPr>
            </w:pPr>
            <w:r>
              <w:rPr>
                <w:rFonts w:ascii="Arial" w:cs="Arial" w:eastAsia="Arial" w:hAnsi="Arial"/>
                <w:sz w:val="18"/>
                <w:szCs w:val="18"/>
                <w:b w:val="1"/>
                <w:bCs w:val="1"/>
                <w:i w:val="1"/>
                <w:iCs w:val="1"/>
                <w:color w:val="auto"/>
                <w:w w:val="88"/>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0"/>
              </w:rPr>
              <w:t>Regeneron's share of losses in connection with commercialization of</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5140" w:type="dxa"/>
            <w:vAlign w:val="bottom"/>
          </w:tcPr>
          <w:p>
            <w:pPr>
              <w:ind w:left="340"/>
              <w:spacing w:after="0" w:line="257"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(30,810)</w:t>
            </w: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Regeneron's share of losses in connection with commercialization of</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antibodies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w w:val="91"/>
              </w:rPr>
              <w:t>Reimbursement of Regeneron research and development expenses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143,664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552,567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459,128</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Reimbursement of Regeneron commercialization-related expenses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4"/>
              </w:rPr>
              <w:t>Up-front payments to Sanofi for acquisition of rights related to two</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19,925</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135,271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110,950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541,299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430,111</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Regeneron's net profit in connection with commercialization of EYLEA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outside the United States</w:t>
            </w:r>
          </w:p>
        </w:tc>
        <w:tc>
          <w:tcPr>
            <w:tcW w:w="4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88,011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301,302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101,494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and development milestones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70,000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63,022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27,890</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495,555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220,289</w:t>
            </w:r>
          </w:p>
        </w:tc>
      </w:tr>
      <w:tr>
        <w:trPr>
          <w:trHeight w:val="318"/>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4"/>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272,366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196,645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1,036,854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650,400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140" w:type="dxa"/>
            <w:vAlign w:val="bottom"/>
          </w:tcPr>
          <w:p>
            <w:pPr>
              <w:spacing w:after="0"/>
              <w:rPr>
                <w:sz w:val="24"/>
                <w:szCs w:val="24"/>
                <w:color w:val="auto"/>
              </w:rPr>
            </w:pPr>
          </w:p>
        </w:tc>
        <w:tc>
          <w:tcPr>
            <w:tcW w:w="8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2019-12-06T05:21:06Z</dcterms:created>
  <dcterms:modified xsi:type="dcterms:W3CDTF">2019-12-06T05:21:06Z</dcterms:modified>
</cp:coreProperties>
</file>