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48,501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9,229,543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9,229,543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9.544%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9,229,543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9,229,543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9.544%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9,229,543</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9.544%</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48,501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9,229,543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4,930,223 shares or 5.098% of the total outstanding Common Stock at August 31, 2013.</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09,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7,689,824 shares or 9.339% of the Common Stock outstanding of Regeneron Pharmaceuticals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4,930,223 shares or</w:t>
      </w:r>
    </w:p>
    <w:p>
      <w:pPr>
        <w:ind w:right="4419"/>
        <w:spacing w:after="0" w:line="236" w:lineRule="auto"/>
        <w:rPr>
          <w:sz w:val="20"/>
          <w:szCs w:val="20"/>
          <w:color w:val="auto"/>
        </w:rPr>
      </w:pPr>
      <w:r>
        <w:rPr>
          <w:rFonts w:ascii="Courier New" w:cs="Courier New" w:eastAsia="Courier New" w:hAnsi="Courier New"/>
          <w:sz w:val="18"/>
          <w:szCs w:val="18"/>
          <w:color w:val="auto"/>
        </w:rPr>
        <w:t>5.098% of the Common Stock outstanding. Fidelity Growth Company Fund has its principal business office at 245 Summer Street, Boston, Massachusetts 02210.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7,689,824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1,491,218 shares or 0.154% of the Common Stock outstanding of the Company as a result of acting as investment adviser to various investment companies registered under Section 8 of the Investment Company Act of 1940 (the "Sector Funds").</w:t>
      </w:r>
    </w:p>
    <w:p>
      <w:pPr>
        <w:spacing w:after="0" w:line="214" w:lineRule="exact"/>
        <w:rPr>
          <w:sz w:val="20"/>
          <w:szCs w:val="20"/>
          <w:color w:val="auto"/>
        </w:rPr>
      </w:pPr>
    </w:p>
    <w:p>
      <w:pPr>
        <w:jc w:val="center"/>
        <w:ind w:right="3779"/>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SelectCo, and the Sector Funds each has sole power to dispose of the 1,491,218 shares owned by the Sector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245 Summer Street, Boston, Massachusetts 02210, a wholly-owned subsidiary of FMR LLC and a bank as defined in Section 3(a)(6) of the Securities Exchange Act of 1934, is the beneficial owner of 25,137 shares or 0.026%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25,137 shares and sole power to vote or to direct the voting of 25,137 shares of Common Stock owned by the institutional account(s) as reported above.</w:t>
      </w:r>
    </w:p>
    <w:p>
      <w:pPr>
        <w:spacing w:after="0" w:line="185"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Strategic Advisers, Inc., 245 Summer Street, Boston, MA 02210, a wholly-owned subsidiary of FMR LLC and an investment adviser registered under Section 203 of the Investment Advisers Act of 1940, provides investment advisory services to individuals. As such, FMR LLC's</w:t>
      </w:r>
    </w:p>
    <w:p>
      <w:pPr>
        <w:sectPr>
          <w:pgSz w:w="11900" w:h="16838" w:orient="portrait"/>
          <w:cols w:equalWidth="0" w:num="1">
            <w:col w:w="10219"/>
          </w:cols>
          <w:pgMar w:left="240" w:top="136" w:right="1440" w:bottom="0" w:gutter="0" w:footer="0" w:header="0"/>
        </w:sectPr>
      </w:pPr>
    </w:p>
    <w:bookmarkStart w:id="3" w:name="page4"/>
    <w:bookmarkEnd w:id="3"/>
    <w:p>
      <w:pPr>
        <w:ind w:right="3899"/>
        <w:spacing w:after="0" w:line="237" w:lineRule="auto"/>
        <w:rPr>
          <w:sz w:val="20"/>
          <w:szCs w:val="20"/>
          <w:color w:val="auto"/>
        </w:rPr>
      </w:pPr>
      <w:r>
        <w:rPr>
          <w:rFonts w:ascii="Courier New" w:cs="Courier New" w:eastAsia="Courier New" w:hAnsi="Courier New"/>
          <w:sz w:val="18"/>
          <w:szCs w:val="18"/>
          <w:color w:val="auto"/>
        </w:rPr>
        <w:t>beneficial ownership includes 647 shares, or 0.001%, of the Common Stock outstanding of Regeneron Pharmaceuticals Incorporated, beneficially owned through Strategic Advisers,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22,717 shares or 0.023% of the outstanding Common Stock of the Regeneron Pharmaceuticals Incorporated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22,717 shares and sole power to vote or to direct the voting of 22,717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The undersigned persons, on September 09, 2013, agree and consent to the joint filing on their behalf of this Schedule 13G in connection with their beneficial ownership of the Common Stock of Regeneron Pharmaceuticals Incorporated at August 31,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2019-12-06T04:52:14Z</dcterms:created>
  <dcterms:modified xsi:type="dcterms:W3CDTF">2019-12-06T04:52:14Z</dcterms:modified>
</cp:coreProperties>
</file>