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53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5394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2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00" w:type="dxa"/>
            <w:vAlign w:val="bottom"/>
          </w:tcPr>
          <w:p>
            <w:pPr>
              <w:ind w:left="14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08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REGENERON</w:t>
              </w:r>
            </w:hyperlink>
          </w:p>
        </w:tc>
        <w:tc>
          <w:tcPr>
            <w:tcW w:w="1500" w:type="dxa"/>
            <w:vAlign w:val="bottom"/>
          </w:tcPr>
          <w:p>
            <w:pPr>
              <w:ind w:left="14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080" w:type="dxa"/>
            <w:vAlign w:val="bottom"/>
            <w:gridSpan w:val="2"/>
            <w:vMerge w:val="continue"/>
          </w:tcPr>
          <w:p>
            <w:pPr>
              <w:spacing w:after="0"/>
              <w:rPr>
                <w:sz w:val="14"/>
                <w:szCs w:val="14"/>
                <w:color w:val="auto"/>
              </w:rPr>
            </w:pPr>
          </w:p>
        </w:tc>
        <w:tc>
          <w:tcPr>
            <w:tcW w:w="1500" w:type="dxa"/>
            <w:vAlign w:val="bottom"/>
          </w:tcPr>
          <w:p>
            <w:pPr>
              <w:ind w:left="14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02/11/2021</w:t>
            </w:r>
          </w:p>
        </w:tc>
        <w:tc>
          <w:tcPr>
            <w:tcW w:w="0" w:type="dxa"/>
            <w:vAlign w:val="bottom"/>
          </w:tcPr>
          <w:p>
            <w:pPr>
              <w:spacing w:after="0" w:line="20" w:lineRule="exact"/>
              <w:rPr>
                <w:sz w:val="1"/>
                <w:szCs w:val="1"/>
                <w:color w:val="auto"/>
              </w:rPr>
            </w:pPr>
          </w:p>
        </w:tc>
      </w:tr>
      <w:tr>
        <w:trPr>
          <w:trHeight w:val="307"/>
        </w:trPr>
        <w:tc>
          <w:tcPr>
            <w:tcW w:w="40" w:type="dxa"/>
            <w:vAlign w:val="bottom"/>
          </w:tcPr>
          <w:p>
            <w:pPr>
              <w:spacing w:after="0"/>
              <w:rPr>
                <w:sz w:val="24"/>
                <w:szCs w:val="24"/>
                <w:color w:val="auto"/>
              </w:rPr>
            </w:pPr>
          </w:p>
        </w:tc>
        <w:tc>
          <w:tcPr>
            <w:tcW w:w="3080" w:type="dxa"/>
            <w:vAlign w:val="bottom"/>
            <w:gridSpan w:val="2"/>
          </w:tcPr>
          <w:p>
            <w:pPr>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PHARMACEUTICALS, INC.</w:t>
              </w:r>
            </w:hyperlink>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Decibel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DBTX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4"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REGENERON</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PHARMACEUTICALS, INC.</w:t>
      </w:r>
    </w:p>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777 OLD SAW MILL RIVER ROAD</w:t>
      </w:r>
    </w:p>
    <w:p>
      <w:pPr>
        <w:spacing w:after="0" w:line="345"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190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TARRYTOWN NY</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10591</w:t>
            </w:r>
          </w:p>
        </w:tc>
      </w:tr>
    </w:tbl>
    <w:p>
      <w:pPr>
        <w:spacing w:after="0" w:line="20" w:lineRule="exact"/>
        <w:rPr>
          <w:sz w:val="20"/>
          <w:szCs w:val="20"/>
          <w:color w:val="auto"/>
        </w:rPr>
      </w:pPr>
      <w:r>
        <w:rPr>
          <w:sz w:val="20"/>
          <w:szCs w:val="20"/>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0"/>
          <w:szCs w:val="20"/>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6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71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15135"/>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Expiration</w:t>
            </w:r>
          </w:p>
        </w:tc>
        <w:tc>
          <w:tcPr>
            <w:tcW w:w="16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18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20"/>
                <w:szCs w:val="20"/>
                <w:color w:val="0000FF"/>
              </w:rPr>
              <w:t>989,299</w:t>
            </w:r>
            <w:r>
              <w:rPr>
                <w:rFonts w:ascii="Times New Roman" w:cs="Times New Roman" w:eastAsia="Times New Roman" w:hAnsi="Times New Roman"/>
                <w:sz w:val="25"/>
                <w:szCs w:val="25"/>
                <w:color w:val="008000"/>
                <w:vertAlign w:val="superscript"/>
              </w:rPr>
              <w:t>(2)</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1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rPr>
              <w:t>1,108,015</w:t>
            </w:r>
            <w:r>
              <w:rPr>
                <w:rFonts w:ascii="Times New Roman" w:cs="Times New Roman" w:eastAsia="Times New Roman" w:hAnsi="Times New Roman"/>
                <w:sz w:val="25"/>
                <w:szCs w:val="25"/>
                <w:color w:val="008000"/>
                <w:vertAlign w:val="superscript"/>
              </w:rPr>
              <w:t>(2)</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-654050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ind w:left="40" w:right="1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B Preferred Stock and Series C Preferred Stock are convertible into shares of common stock of Decibel Therapeutics, Inc. ("Decibel") at any time pursuant to the terms of Decibel's Fourth Amended and Restated Certificate of Incorporation, as amended. The Series B Preferred Stock and the Series C Preferred Stock have no expiration date.</w:t>
      </w:r>
    </w:p>
    <w:p>
      <w:pPr>
        <w:spacing w:after="0" w:line="17"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B Preferred Stock and the Series C Preferred Stock are convertible into shares of common stock of Decibel on an approximately one-for-0.079 basis, with any resulting fractional shares of common stock being rounded down to the nearest whole number. The reported number of shares of underlying common stock and the conversion ratio give effect to Decibel's one-for-5.3 reverse stock split, which became effective on February 5, 2021.</w:t>
      </w:r>
    </w:p>
    <w:p>
      <w:pPr>
        <w:spacing w:after="0" w:line="5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Richard Gluckselig,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385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8555" cy="9525"/>
                    </a:xfrm>
                    <a:prstGeom prst="rect">
                      <a:avLst/>
                    </a:prstGeom>
                    <a:noFill/>
                  </pic:spPr>
                </pic:pic>
              </a:graphicData>
            </a:graphic>
          </wp:anchor>
        </w:drawing>
      </w:r>
    </w:p>
    <w:p>
      <w:pPr>
        <w:ind w:left="6580"/>
        <w:spacing w:after="0" w:line="202" w:lineRule="auto"/>
        <w:tabs>
          <w:tab w:leader="none" w:pos="8740" w:val="left"/>
        </w:tabs>
        <w:rPr>
          <w:sz w:val="20"/>
          <w:szCs w:val="20"/>
          <w:color w:val="auto"/>
        </w:rPr>
      </w:pPr>
      <w:r>
        <w:rPr>
          <w:rFonts w:ascii="Times New Roman" w:cs="Times New Roman" w:eastAsia="Times New Roman" w:hAnsi="Times New Roman"/>
          <w:sz w:val="20"/>
          <w:szCs w:val="20"/>
          <w:color w:val="0000FF"/>
        </w:rPr>
        <w:t>Executive Director,</w:t>
      </w:r>
      <w:r>
        <w:rPr>
          <w:sz w:val="20"/>
          <w:szCs w:val="20"/>
          <w:color w:val="auto"/>
        </w:rPr>
        <w:tab/>
      </w:r>
      <w:r>
        <w:rPr>
          <w:rFonts w:ascii="Times New Roman" w:cs="Times New Roman" w:eastAsia="Times New Roman" w:hAnsi="Times New Roman"/>
          <w:sz w:val="28"/>
          <w:szCs w:val="28"/>
          <w:color w:val="0000FF"/>
          <w:vertAlign w:val="subscript"/>
        </w:rPr>
        <w:t>02/11/2021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96456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6456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Assistant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131445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1445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5943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6268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62685" cy="9525"/>
                    </a:xfrm>
                    <a:prstGeom prst="rect">
                      <a:avLst/>
                    </a:prstGeom>
                    <a:noFill/>
                  </pic:spPr>
                </pic:pic>
              </a:graphicData>
            </a:graphic>
          </wp:anchor>
        </w:drawing>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00872589" TargetMode="External"/><Relationship Id="rId11" Type="http://schemas.openxmlformats.org/officeDocument/2006/relationships/hyperlink" Target="http://www.sec.gov/cgi-bin/browse-edgar?action=getcompany&amp;CIK=0001656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2021-02-11T16:06:37Z</dcterms:created>
  <dcterms:modified xsi:type="dcterms:W3CDTF">2021-02-11T16:06:37Z</dcterms:modified>
</cp:coreProperties>
</file>