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250825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 SECURITIES AND EXCHANGE COMMISSION</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Date of Report (Date of earliest event reported) August 3, 2006 (August 3, 2006)</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REGENERON PHARMACEUTICALS, INC.</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80" w:type="dxa"/>
            <w:vAlign w:val="bottom"/>
          </w:tcPr>
          <w:p>
            <w:pPr>
              <w:spacing w:after="0"/>
              <w:rPr>
                <w:sz w:val="20"/>
                <w:szCs w:val="20"/>
                <w:color w:val="auto"/>
              </w:rPr>
            </w:pPr>
          </w:p>
        </w:tc>
        <w:tc>
          <w:tcPr>
            <w:tcW w:w="176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4620" w:type="dxa"/>
            <w:vAlign w:val="bottom"/>
            <w:tcBorders>
              <w:top w:val="single" w:sz="8" w:color="auto"/>
            </w:tcBorders>
            <w:gridSpan w:val="4"/>
          </w:tcPr>
          <w:p>
            <w:pPr>
              <w:jc w:val="center"/>
              <w:ind w:right="340"/>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tc>
        <w:tc>
          <w:tcPr>
            <w:tcW w:w="1740" w:type="dxa"/>
            <w:vAlign w:val="bottom"/>
            <w:tcBorders>
              <w:top w:val="single" w:sz="8" w:color="auto"/>
            </w:tcBorders>
          </w:tcPr>
          <w:p>
            <w:pPr>
              <w:spacing w:after="0"/>
              <w:rPr>
                <w:sz w:val="20"/>
                <w:szCs w:val="20"/>
                <w:color w:val="auto"/>
              </w:rPr>
            </w:pPr>
          </w:p>
        </w:tc>
        <w:tc>
          <w:tcPr>
            <w:tcW w:w="1480" w:type="dxa"/>
            <w:vAlign w:val="bottom"/>
          </w:tcPr>
          <w:p>
            <w:pPr>
              <w:spacing w:after="0"/>
              <w:rPr>
                <w:sz w:val="20"/>
                <w:szCs w:val="20"/>
                <w:color w:val="auto"/>
              </w:rPr>
            </w:pPr>
          </w:p>
        </w:tc>
      </w:tr>
      <w:tr>
        <w:trPr>
          <w:trHeight w:val="407"/>
        </w:trPr>
        <w:tc>
          <w:tcPr>
            <w:tcW w:w="324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9"/>
              </w:rPr>
              <w:t>New York</w:t>
            </w:r>
          </w:p>
        </w:tc>
        <w:tc>
          <w:tcPr>
            <w:tcW w:w="4240" w:type="dxa"/>
            <w:vAlign w:val="bottom"/>
            <w:gridSpan w:val="3"/>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000-19034</w:t>
            </w: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20" w:type="dxa"/>
            <w:vAlign w:val="bottom"/>
            <w:gridSpan w:val="2"/>
          </w:tcPr>
          <w:p>
            <w:pPr>
              <w:jc w:val="right"/>
              <w:ind w:right="1360"/>
              <w:spacing w:after="0"/>
              <w:rPr>
                <w:sz w:val="20"/>
                <w:szCs w:val="20"/>
                <w:color w:val="auto"/>
              </w:rPr>
            </w:pPr>
            <w:r>
              <w:rPr>
                <w:rFonts w:ascii="Times New Roman" w:cs="Times New Roman" w:eastAsia="Times New Roman" w:hAnsi="Times New Roman"/>
                <w:sz w:val="18"/>
                <w:szCs w:val="18"/>
                <w:b w:val="1"/>
                <w:bCs w:val="1"/>
                <w:color w:val="auto"/>
              </w:rPr>
              <w:t>13-3444607</w:t>
            </w:r>
          </w:p>
        </w:tc>
      </w:tr>
      <w:tr>
        <w:trPr>
          <w:trHeight w:val="205"/>
        </w:trPr>
        <w:tc>
          <w:tcPr>
            <w:tcW w:w="3240" w:type="dxa"/>
            <w:vAlign w:val="bottom"/>
            <w:tcBorders>
              <w:top w:val="single" w:sz="8" w:color="auto"/>
            </w:tcBorders>
            <w:gridSpan w:val="2"/>
          </w:tcPr>
          <w:p>
            <w:pPr>
              <w:jc w:val="center"/>
              <w:ind w:left="250"/>
              <w:spacing w:after="0" w:line="205"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34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356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rPr>
              <w:t>(Commission File No.)</w:t>
            </w:r>
          </w:p>
        </w:tc>
        <w:tc>
          <w:tcPr>
            <w:tcW w:w="34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3220" w:type="dxa"/>
            <w:vAlign w:val="bottom"/>
            <w:tcBorders>
              <w:top w:val="single" w:sz="8" w:color="auto"/>
            </w:tcBorders>
            <w:gridSpan w:val="2"/>
          </w:tcPr>
          <w:p>
            <w:pPr>
              <w:jc w:val="center"/>
              <w:ind w:right="380"/>
              <w:spacing w:after="0" w:line="205" w:lineRule="exact"/>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34"/>
        </w:trPr>
        <w:tc>
          <w:tcPr>
            <w:tcW w:w="324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auto"/>
                <w:w w:val="99"/>
              </w:rPr>
              <w:t>Incorporation)</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11"/>
        </w:trPr>
        <w:tc>
          <w:tcPr>
            <w:tcW w:w="14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960" w:type="dxa"/>
            <w:vAlign w:val="bottom"/>
            <w:tcBorders>
              <w:bottom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777 Old Saw Mill River Road, Tarrytown, New York 10591-6707</w:t>
            </w:r>
          </w:p>
        </w:tc>
        <w:tc>
          <w:tcPr>
            <w:tcW w:w="17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28"/>
        </w:trPr>
        <w:tc>
          <w:tcPr>
            <w:tcW w:w="14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20" w:type="dxa"/>
            <w:vAlign w:val="bottom"/>
            <w:gridSpan w:val="4"/>
          </w:tcPr>
          <w:p>
            <w:pPr>
              <w:jc w:val="center"/>
              <w:ind w:right="340"/>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tc>
        <w:tc>
          <w:tcPr>
            <w:tcW w:w="1740" w:type="dxa"/>
            <w:vAlign w:val="bottom"/>
          </w:tcPr>
          <w:p>
            <w:pPr>
              <w:spacing w:after="0"/>
              <w:rPr>
                <w:sz w:val="19"/>
                <w:szCs w:val="19"/>
                <w:color w:val="auto"/>
              </w:rPr>
            </w:pPr>
          </w:p>
        </w:tc>
        <w:tc>
          <w:tcPr>
            <w:tcW w:w="1480" w:type="dxa"/>
            <w:vAlign w:val="bottom"/>
          </w:tcPr>
          <w:p>
            <w:pPr>
              <w:spacing w:after="0"/>
              <w:rPr>
                <w:sz w:val="19"/>
                <w:szCs w:val="19"/>
                <w:color w:val="auto"/>
              </w:rPr>
            </w:pPr>
          </w:p>
        </w:tc>
      </w:tr>
    </w:tbl>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(914) 347-7000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2414905</wp:posOffset>
            </wp:positionH>
            <wp:positionV relativeFrom="paragraph">
              <wp:posOffset>-130810</wp:posOffset>
            </wp:positionV>
            <wp:extent cx="24269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9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0"/>
          <w:szCs w:val="20"/>
          <w:color w:val="auto"/>
        </w:rPr>
      </w:pPr>
    </w:p>
    <w:p>
      <w:pPr>
        <w:ind w:left="220" w:hanging="212"/>
        <w:spacing w:after="0"/>
        <w:tabs>
          <w:tab w:leader="none" w:pos="2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572770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 w:name="page3"/>
    <w:bookmarkEnd w:id="2"/>
    <w:p>
      <w:pPr>
        <w:ind w:left="3980"/>
        <w:spacing w:after="0"/>
        <w:rPr>
          <w:sz w:val="20"/>
          <w:szCs w:val="20"/>
          <w:color w:val="auto"/>
        </w:rPr>
      </w:pPr>
      <w:r>
        <w:rPr>
          <w:rFonts w:ascii="Arial" w:cs="Arial" w:eastAsia="Arial" w:hAnsi="Arial"/>
          <w:sz w:val="21"/>
          <w:szCs w:val="21"/>
          <w:b w:val="1"/>
          <w:bCs w:val="1"/>
          <w:u w:val="single" w:color="auto"/>
          <w:color w:val="auto"/>
        </w:rPr>
        <w:t>TABLE OF CONTENTS</w:t>
      </w:r>
    </w:p>
    <w:p>
      <w:pPr>
        <w:spacing w:after="0" w:line="219" w:lineRule="exact"/>
        <w:rPr>
          <w:sz w:val="20"/>
          <w:szCs w:val="20"/>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2.02 Results of Operations and Financial Condition</w:t>
        </w:r>
      </w:hyperlink>
    </w:p>
    <w:p>
      <w:pPr>
        <w:spacing w:after="0" w:line="8" w:lineRule="exact"/>
        <w:rPr>
          <w:sz w:val="20"/>
          <w:szCs w:val="20"/>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9.01 Financial Statements and Exhibits</w:t>
        </w:r>
      </w:hyperlink>
    </w:p>
    <w:p>
      <w:pPr>
        <w:spacing w:after="0" w:line="230"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SIGNATURES</w:t>
        </w:r>
      </w:hyperlink>
    </w:p>
    <w:p>
      <w:pPr>
        <w:spacing w:after="0" w:line="231"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Exhibit Index</w:t>
        </w:r>
      </w:hyperlink>
    </w:p>
    <w:p>
      <w:pPr>
        <w:spacing w:after="0"/>
        <w:rPr>
          <w:sz w:val="20"/>
          <w:szCs w:val="20"/>
          <w:color w:val="auto"/>
        </w:rPr>
      </w:pPr>
      <w:r>
        <w:rPr>
          <w:rFonts w:ascii="Arial" w:cs="Arial" w:eastAsia="Arial" w:hAnsi="Arial"/>
          <w:sz w:val="22"/>
          <w:szCs w:val="22"/>
          <w:u w:val="single" w:color="auto"/>
          <w:color w:val="0000EE"/>
        </w:rPr>
        <w:t>EX-99.1: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132715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04"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2.02</w:t>
      </w:r>
      <w:r>
        <w:rPr>
          <w:rFonts w:ascii="Arial" w:cs="Arial" w:eastAsia="Arial" w:hAnsi="Arial"/>
          <w:sz w:val="18"/>
          <w:szCs w:val="18"/>
          <w:b w:val="1"/>
          <w:bCs w:val="1"/>
          <w:color w:val="auto"/>
        </w:rPr>
        <w:t xml:space="preserve"> Results of Operations and Financial Condition.</w:t>
      </w:r>
    </w:p>
    <w:p>
      <w:pPr>
        <w:spacing w:after="0" w:line="106" w:lineRule="exact"/>
        <w:rPr>
          <w:sz w:val="20"/>
          <w:szCs w:val="20"/>
          <w:color w:val="auto"/>
        </w:rPr>
      </w:pPr>
    </w:p>
    <w:p>
      <w:pPr>
        <w:jc w:val="both"/>
        <w:ind w:firstLine="250"/>
        <w:spacing w:after="0" w:line="255" w:lineRule="auto"/>
        <w:rPr>
          <w:sz w:val="20"/>
          <w:szCs w:val="20"/>
          <w:color w:val="auto"/>
        </w:rPr>
      </w:pPr>
      <w:r>
        <w:rPr>
          <w:rFonts w:ascii="Arial" w:cs="Arial" w:eastAsia="Arial" w:hAnsi="Arial"/>
          <w:sz w:val="18"/>
          <w:szCs w:val="18"/>
          <w:color w:val="auto"/>
        </w:rPr>
        <w:t>On August 3, 2006, Regeneron Pharmaceuticals, Inc. issued a press release announcing its financial and operating results for the quarter and six months ended June 30, 2006. The press release is being furnished to the Securities and Exchange Commission pursuant to Item 2.02 of Form 8-K and is attached as Exhibit 99.1 to this Form 8-K.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9.01</w:t>
      </w:r>
      <w:r>
        <w:rPr>
          <w:rFonts w:ascii="Arial" w:cs="Arial" w:eastAsia="Arial" w:hAnsi="Arial"/>
          <w:sz w:val="18"/>
          <w:szCs w:val="18"/>
          <w:b w:val="1"/>
          <w:bCs w:val="1"/>
          <w:color w:val="auto"/>
        </w:rPr>
        <w:t xml:space="preserve"> Financial Statements and Exhibits.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104"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7"/>
          <w:szCs w:val="17"/>
          <w:color w:val="auto"/>
        </w:rPr>
        <w:t>Press Release dated August 3,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395605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12" w:right="35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SIGNATURES</w:t>
      </w:r>
    </w:p>
    <w:p>
      <w:pPr>
        <w:spacing w:after="0" w:line="104" w:lineRule="exact"/>
        <w:rPr>
          <w:sz w:val="20"/>
          <w:szCs w:val="20"/>
          <w:color w:val="auto"/>
        </w:rPr>
      </w:pPr>
    </w:p>
    <w:p>
      <w:pPr>
        <w:ind w:firstLine="250"/>
        <w:spacing w:after="0" w:line="27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ectPr>
          <w:pgSz w:w="11900" w:h="16838" w:orient="portrait"/>
          <w:cols w:equalWidth="0" w:num="1">
            <w:col w:w="11380"/>
          </w:cols>
          <w:pgMar w:left="240" w:top="415" w:right="279" w:bottom="1440" w:gutter="0" w:footer="0" w:header="0"/>
        </w:sectPr>
      </w:pP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2006</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jc w:val="center"/>
        <w:ind w:right="3160"/>
        <w:spacing w:after="0"/>
        <w:rPr>
          <w:sz w:val="20"/>
          <w:szCs w:val="20"/>
          <w:color w:val="auto"/>
        </w:rPr>
      </w:pPr>
      <w:r>
        <w:rPr>
          <w:rFonts w:ascii="Arial" w:cs="Arial" w:eastAsia="Arial" w:hAnsi="Arial"/>
          <w:sz w:val="18"/>
          <w:szCs w:val="18"/>
          <w:color w:val="auto"/>
        </w:rPr>
        <w:t>REGENERON PHARMACEUTICALS, INC.</w:t>
      </w:r>
    </w:p>
    <w:p>
      <w:pPr>
        <w:spacing w:after="0" w:line="198" w:lineRule="exact"/>
        <w:rPr>
          <w:sz w:val="20"/>
          <w:szCs w:val="20"/>
          <w:color w:val="auto"/>
        </w:rPr>
      </w:pPr>
    </w:p>
    <w:p>
      <w:pPr>
        <w:sectPr>
          <w:pgSz w:w="11900" w:h="16838" w:orient="portrait"/>
          <w:cols w:equalWidth="0" w:num="2">
            <w:col w:w="4040" w:space="720"/>
            <w:col w:w="6620"/>
          </w:cols>
          <w:pgMar w:left="240" w:top="415" w:right="279" w:bottom="1440" w:gutter="0" w:footer="0" w:header="0"/>
          <w:type w:val="continuous"/>
        </w:sectPr>
      </w:pPr>
    </w:p>
    <w:p>
      <w:pPr>
        <w:ind w:left="47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/s/ Murray A.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wp:posOffset>
            </wp:positionH>
            <wp:positionV relativeFrom="paragraph">
              <wp:posOffset>19050</wp:posOffset>
            </wp:positionV>
            <wp:extent cx="29330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933065" cy="8890"/>
                    </a:xfrm>
                    <a:prstGeom prst="rect">
                      <a:avLst/>
                    </a:prstGeom>
                    <a:noFill/>
                  </pic:spPr>
                </pic:pic>
              </a:graphicData>
            </a:graphic>
          </wp:anchor>
        </w:drawing>
      </w:r>
    </w:p>
    <w:p>
      <w:pPr>
        <w:spacing w:after="0" w:line="47" w:lineRule="exact"/>
        <w:rPr>
          <w:sz w:val="20"/>
          <w:szCs w:val="20"/>
          <w:color w:val="auto"/>
        </w:rPr>
      </w:pPr>
    </w:p>
    <w:p>
      <w:pPr>
        <w:sectPr>
          <w:pgSz w:w="11900" w:h="16838" w:orient="portrait"/>
          <w:cols w:equalWidth="0" w:num="2">
            <w:col w:w="5020" w:space="620"/>
            <w:col w:w="5740"/>
          </w:cols>
          <w:pgMar w:left="240" w:top="415" w:right="279" w:bottom="1440" w:gutter="0" w:footer="0" w:header="0"/>
          <w:type w:val="continuous"/>
        </w:sectPr>
      </w:pPr>
    </w:p>
    <w:p>
      <w:pPr>
        <w:ind w:left="5140"/>
        <w:spacing w:after="0"/>
        <w:rPr>
          <w:sz w:val="20"/>
          <w:szCs w:val="20"/>
          <w:color w:val="auto"/>
        </w:rPr>
      </w:pPr>
      <w:r>
        <w:rPr>
          <w:rFonts w:ascii="Arial" w:cs="Arial" w:eastAsia="Arial" w:hAnsi="Arial"/>
          <w:sz w:val="18"/>
          <w:szCs w:val="18"/>
          <w:color w:val="auto"/>
        </w:rPr>
        <w:t>Name: Murray A. Goldberg</w:t>
      </w:r>
    </w:p>
    <w:p>
      <w:pPr>
        <w:ind w:left="5140"/>
        <w:spacing w:after="0"/>
        <w:rPr>
          <w:sz w:val="20"/>
          <w:szCs w:val="20"/>
          <w:color w:val="auto"/>
        </w:rPr>
      </w:pPr>
      <w:r>
        <w:rPr>
          <w:rFonts w:ascii="Arial" w:cs="Arial" w:eastAsia="Arial" w:hAnsi="Arial"/>
          <w:sz w:val="18"/>
          <w:szCs w:val="18"/>
          <w:color w:val="auto"/>
        </w:rPr>
        <w:t>Title: Senior Vice President, Finance &amp;</w:t>
      </w:r>
    </w:p>
    <w:p>
      <w:pPr>
        <w:ind w:left="5640"/>
        <w:spacing w:after="0"/>
        <w:rPr>
          <w:sz w:val="20"/>
          <w:szCs w:val="20"/>
          <w:color w:val="auto"/>
        </w:rPr>
      </w:pPr>
      <w:r>
        <w:rPr>
          <w:rFonts w:ascii="Arial" w:cs="Arial" w:eastAsia="Arial" w:hAnsi="Arial"/>
          <w:sz w:val="17"/>
          <w:szCs w:val="17"/>
          <w:color w:val="auto"/>
        </w:rPr>
        <w:t>Administration, Chief Financial Officer,</w:t>
      </w:r>
    </w:p>
    <w:p>
      <w:pPr>
        <w:spacing w:after="0" w:line="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Treasurer, and 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381635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5" w:right="279" w:bottom="1440" w:gutter="0" w:footer="0" w:header="0"/>
          <w:type w:val="continuous"/>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32" w:lineRule="exact"/>
        <w:rPr>
          <w:sz w:val="20"/>
          <w:szCs w:val="20"/>
          <w:color w:val="auto"/>
        </w:rPr>
      </w:pPr>
    </w:p>
    <w:p>
      <w:pPr>
        <w:jc w:val="right"/>
        <w:ind w:right="3999"/>
        <w:spacing w:after="0"/>
        <w:rPr>
          <w:sz w:val="20"/>
          <w:szCs w:val="20"/>
          <w:color w:val="auto"/>
        </w:rPr>
      </w:pPr>
      <w:r>
        <w:rPr>
          <w:rFonts w:ascii="Arial" w:cs="Arial" w:eastAsia="Arial" w:hAnsi="Arial"/>
          <w:sz w:val="18"/>
          <w:szCs w:val="18"/>
          <w:color w:val="auto"/>
        </w:rPr>
        <w:t>Exhibit Index</w:t>
      </w:r>
    </w:p>
    <w:p>
      <w:pPr>
        <w:spacing w:after="0" w:line="208" w:lineRule="exact"/>
        <w:rPr>
          <w:sz w:val="20"/>
          <w:szCs w:val="20"/>
          <w:color w:val="auto"/>
        </w:rPr>
      </w:pPr>
    </w:p>
    <w:p>
      <w:pPr>
        <w:spacing w:after="0"/>
        <w:tabs>
          <w:tab w:leader="none" w:pos="940" w:val="left"/>
        </w:tabs>
        <w:rPr>
          <w:sz w:val="20"/>
          <w:szCs w:val="20"/>
          <w:color w:val="auto"/>
        </w:rPr>
      </w:pPr>
      <w:r>
        <w:rPr>
          <w:rFonts w:ascii="Arial" w:cs="Arial" w:eastAsia="Arial" w:hAnsi="Arial"/>
          <w:sz w:val="14"/>
          <w:szCs w:val="14"/>
          <w:u w:val="single" w:color="auto"/>
          <w:color w:val="auto"/>
        </w:rPr>
        <w:t>Number</w:t>
      </w:r>
      <w:r>
        <w:rPr>
          <w:sz w:val="20"/>
          <w:szCs w:val="20"/>
          <w:color w:val="auto"/>
        </w:rPr>
        <w:tab/>
      </w:r>
      <w:r>
        <w:rPr>
          <w:rFonts w:ascii="Arial" w:cs="Arial" w:eastAsia="Arial" w:hAnsi="Arial"/>
          <w:sz w:val="14"/>
          <w:szCs w:val="14"/>
          <w:u w:val="single" w:color="auto"/>
          <w:color w:val="auto"/>
        </w:rPr>
        <w:t>Description</w:t>
      </w:r>
    </w:p>
    <w:p>
      <w:pPr>
        <w:spacing w:after="0" w:line="27"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7"/>
          <w:szCs w:val="17"/>
          <w:color w:val="auto"/>
        </w:rPr>
        <w:t>Press Release dated August 3, 2006.</w:t>
      </w:r>
    </w:p>
    <w:p>
      <w:pPr>
        <w:sectPr>
          <w:pgSz w:w="11900" w:h="16838" w:orient="portrait"/>
          <w:cols w:equalWidth="0" w:num="1">
            <w:col w:w="10219"/>
          </w:cols>
          <w:pgMar w:left="240" w:top="415" w:right="1440"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color w:val="auto"/>
        </w:rPr>
        <w:t>Exhibit 99.1</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REPORTS SECOND QUARTER</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AND OPERATING RESULTS</w:t>
      </w:r>
    </w:p>
    <w:p>
      <w:pPr>
        <w:spacing w:after="0" w:line="8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BLA Filing for Auto-Inflammatory Diseases Planned for Early 2007</w:t>
      </w:r>
    </w:p>
    <w:p>
      <w:pPr>
        <w:spacing w:after="0" w:line="104"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Two Antibody Candidates from VelocImmune</w:t>
      </w:r>
      <w:r>
        <w:rPr>
          <w:rFonts w:ascii="Arial" w:cs="Arial" w:eastAsia="Arial" w:hAnsi="Arial"/>
          <w:sz w:val="15"/>
          <w:szCs w:val="15"/>
          <w:b w:val="1"/>
          <w:bCs w:val="1"/>
          <w:color w:val="auto"/>
        </w:rPr>
        <w:t>®</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Program to Enter Clinical Trials Each Year Beginning in 2007</w:t>
      </w:r>
    </w:p>
    <w:p>
      <w:pPr>
        <w:spacing w:after="0" w:line="80"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 xml:space="preserve">Tarrytown, New York (August 3, 2006) — Regeneron Pharmaceuticals, Inc. (Nasdaq: </w:t>
      </w:r>
      <w:r>
        <w:rPr>
          <w:rFonts w:ascii="Arial" w:cs="Arial" w:eastAsia="Arial" w:hAnsi="Arial"/>
          <w:sz w:val="18"/>
          <w:szCs w:val="18"/>
          <w:b w:val="1"/>
          <w:bCs w:val="1"/>
          <w:color w:val="auto"/>
        </w:rPr>
        <w:t>REGN</w:t>
      </w:r>
      <w:r>
        <w:rPr>
          <w:rFonts w:ascii="Arial" w:cs="Arial" w:eastAsia="Arial" w:hAnsi="Arial"/>
          <w:sz w:val="18"/>
          <w:szCs w:val="18"/>
          <w:color w:val="auto"/>
        </w:rPr>
        <w:t>) today announced financial and operating results for the second quarter of 2006. The Company reported a net loss of $23.6 million, or $0.41 per share (basic and diluted), for the second quarter of 2006 compared with a net loss of $27.0 million, or $0.48 per share (basic and diluted), for the second quarter of 2005. The Company reported a net loss of $44.0 million, or $ 0.77 per share (basic and diluted), for the six months ended June 30, 2006 compared with a net loss of $31.1 million, or $0.56 per share (basic and diluted), for the same period in 2005. Results for the first six months of 2005 included other contract income of $30.6 million resulting from one-time, non-recurring payments of $25.0 million from the sanofi-aventis Group and</w:t>
      </w:r>
    </w:p>
    <w:p>
      <w:pPr>
        <w:spacing w:after="0" w:line="3" w:lineRule="exact"/>
        <w:rPr>
          <w:sz w:val="20"/>
          <w:szCs w:val="20"/>
          <w:color w:val="auto"/>
        </w:rPr>
      </w:pPr>
    </w:p>
    <w:p>
      <w:pPr>
        <w:ind w:right="380"/>
        <w:spacing w:after="0" w:line="251" w:lineRule="auto"/>
        <w:rPr>
          <w:sz w:val="20"/>
          <w:szCs w:val="20"/>
          <w:color w:val="auto"/>
        </w:rPr>
      </w:pPr>
      <w:r>
        <w:rPr>
          <w:rFonts w:ascii="Arial" w:cs="Arial" w:eastAsia="Arial" w:hAnsi="Arial"/>
          <w:sz w:val="18"/>
          <w:szCs w:val="18"/>
          <w:color w:val="auto"/>
        </w:rPr>
        <w:t>$5.6 million from The Procter &amp; Gamble Company in connection with amendments to the Company’s collaboration agreements with sanofi-aventis and Procter &amp; Gamble.</w:t>
      </w:r>
    </w:p>
    <w:p>
      <w:pPr>
        <w:spacing w:after="0" w:line="58" w:lineRule="exact"/>
        <w:rPr>
          <w:sz w:val="20"/>
          <w:szCs w:val="20"/>
          <w:color w:val="auto"/>
        </w:rPr>
      </w:pPr>
    </w:p>
    <w:p>
      <w:pPr>
        <w:ind w:right="140"/>
        <w:spacing w:after="0" w:line="276" w:lineRule="auto"/>
        <w:rPr>
          <w:sz w:val="20"/>
          <w:szCs w:val="20"/>
          <w:color w:val="auto"/>
        </w:rPr>
      </w:pPr>
      <w:r>
        <w:rPr>
          <w:rFonts w:ascii="Arial" w:cs="Arial" w:eastAsia="Arial" w:hAnsi="Arial"/>
          <w:sz w:val="18"/>
          <w:szCs w:val="18"/>
          <w:color w:val="auto"/>
        </w:rPr>
        <w:t>At June 30, 2006, cash and marketable securities totaled $304.1 million compared with $316.7 million at December 31, 2005. The Company’s $200.0 million of convertible notes, which bear interest at 5.5% per annum, mature in October 2008.</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Business Highlights</w:t>
      </w:r>
    </w:p>
    <w:p>
      <w:pPr>
        <w:spacing w:after="0" w:line="106" w:lineRule="exact"/>
        <w:rPr>
          <w:sz w:val="20"/>
          <w:szCs w:val="20"/>
          <w:color w:val="auto"/>
        </w:rPr>
      </w:pPr>
    </w:p>
    <w:p>
      <w:pPr>
        <w:ind w:right="60"/>
        <w:spacing w:after="0" w:line="276" w:lineRule="auto"/>
        <w:rPr>
          <w:sz w:val="20"/>
          <w:szCs w:val="20"/>
          <w:color w:val="auto"/>
        </w:rPr>
      </w:pPr>
      <w:r>
        <w:rPr>
          <w:rFonts w:ascii="Arial" w:cs="Arial" w:eastAsia="Arial" w:hAnsi="Arial"/>
          <w:sz w:val="18"/>
          <w:szCs w:val="18"/>
          <w:color w:val="auto"/>
        </w:rPr>
        <w:t>In the second quarter of 2006, Regeneron reported clinical development progress for its lead product candidates in oncology, eye disease, and inflammatory indications. In oncology, Regeneron’s Vascular Endothelial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353060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7" w:name="page8"/>
    <w:bookmarkEnd w:id="7"/>
    <w:p>
      <w:pPr>
        <w:ind w:right="160"/>
        <w:spacing w:after="0" w:line="255" w:lineRule="auto"/>
        <w:rPr>
          <w:sz w:val="20"/>
          <w:szCs w:val="20"/>
          <w:color w:val="auto"/>
        </w:rPr>
      </w:pPr>
      <w:r>
        <w:rPr>
          <w:rFonts w:ascii="Arial" w:cs="Arial" w:eastAsia="Arial" w:hAnsi="Arial"/>
          <w:sz w:val="18"/>
          <w:szCs w:val="18"/>
          <w:color w:val="auto"/>
        </w:rPr>
        <w:t>Factor (VEGF) Trap is being developed in collaboration with sanofi -aventis. The Company is independently developing the VEGF Trap-Eye, a specially purified and formulated form of the VEGF Trap, for use in intraocular applications, and the Interleukin-1 (IL-1) Trap for certain inflammatory indications.</w:t>
      </w:r>
    </w:p>
    <w:p>
      <w:pPr>
        <w:spacing w:after="0" w:line="56"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In the second quarter of 2006, Regeneron and sanofi-aventis expanded their phase 2 single-agent program for the VEGF Trap in cancer patients. Patient enrollment is now underway in studies in advanced ovarian cancer (AOC), non-small cell lung adenocarcinoma (NSCLA), and AOC patients with symptomatic malignant ascites (SMA). In addition, the companies intend to conduct three phase 3 trials evaluating the safety and efficacy of the VEGF Trap in combination with standard chemotherapy regimens, the first of which is planned to begin in late 2006 or early 2007. The companies are working to finalize plans with the National Cancer Institute (NCI) Cancer Therapy Evaluation Program (CTEP) to conduct at least ten other cancer trials, several of which are planned to initiate in 2006.</w:t>
      </w:r>
    </w:p>
    <w:p>
      <w:pPr>
        <w:spacing w:after="0" w:line="66" w:lineRule="exact"/>
        <w:rPr>
          <w:sz w:val="20"/>
          <w:szCs w:val="20"/>
          <w:color w:val="auto"/>
        </w:rPr>
      </w:pPr>
    </w:p>
    <w:p>
      <w:pPr>
        <w:ind w:right="60"/>
        <w:spacing w:after="0"/>
        <w:rPr>
          <w:sz w:val="20"/>
          <w:szCs w:val="20"/>
          <w:color w:val="auto"/>
        </w:rPr>
      </w:pPr>
      <w:r>
        <w:rPr>
          <w:rFonts w:ascii="Arial" w:cs="Arial" w:eastAsia="Arial" w:hAnsi="Arial"/>
          <w:sz w:val="18"/>
          <w:szCs w:val="18"/>
          <w:color w:val="auto"/>
        </w:rPr>
        <w:t xml:space="preserve">Currently, sanofi-aventis and Regeneron are conducting five safety and tolerability studies for the VEGF Trap in combination with standard chemotherapy regimens designed to support subsequent phase 3 clinical trials in a variety of cancer types. At the annual meeting of the American Society of Clinical Oncology (ASCO) in May 2006, the companies reported abstracts summarizing information from two of these studies. The first study is evaluating the VEGF Trap plus oxaliplatin, 5-flourouracil, and leucovorin (FOLFOX4) in a phase 1 trial of patients with advanced solid tumors. The second study is evaluating the VEGF Trap plus irinotecan, 5-fluorouracil, and leucovorin (LV5FU2-CPT11) in a phase 1 trial of patients with advanced solid tumors. In both trials, patients have been treated in combination with chemotherapy in doses ranging up to 4.0 milligrams per kilogram (mg/kg) of the VEGF Trap. The abstracts, published in the </w:t>
      </w:r>
      <w:r>
        <w:rPr>
          <w:rFonts w:ascii="Arial" w:cs="Arial" w:eastAsia="Arial" w:hAnsi="Arial"/>
          <w:sz w:val="18"/>
          <w:szCs w:val="18"/>
          <w:u w:val="single" w:color="auto"/>
          <w:color w:val="auto"/>
        </w:rPr>
        <w:t>2006 ASCO Annual Meeting Proceedings</w:t>
      </w:r>
      <w:r>
        <w:rPr>
          <w:rFonts w:ascii="Arial" w:cs="Arial" w:eastAsia="Arial" w:hAnsi="Arial"/>
          <w:sz w:val="18"/>
          <w:szCs w:val="18"/>
          <w:color w:val="auto"/>
        </w:rPr>
        <w:t>, reported that the VEGF Trap could be safely combined with either FOLFOX4 or LV5FU2-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375920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8" w:name="page9"/>
    <w:bookmarkEnd w:id="8"/>
    <w:p>
      <w:pPr>
        <w:ind w:right="840"/>
        <w:spacing w:after="0" w:line="276" w:lineRule="auto"/>
        <w:rPr>
          <w:sz w:val="20"/>
          <w:szCs w:val="20"/>
          <w:color w:val="auto"/>
        </w:rPr>
      </w:pPr>
      <w:r>
        <w:rPr>
          <w:rFonts w:ascii="Arial" w:cs="Arial" w:eastAsia="Arial" w:hAnsi="Arial"/>
          <w:sz w:val="18"/>
          <w:szCs w:val="18"/>
          <w:color w:val="auto"/>
        </w:rPr>
        <w:t>CPT11 at the dose levels studied. The maximum tolerated doses in these studies have not yet been reached, and dose escalation is continuing.</w:t>
      </w:r>
    </w:p>
    <w:p>
      <w:pPr>
        <w:spacing w:after="0" w:line="37" w:lineRule="exact"/>
        <w:rPr>
          <w:sz w:val="20"/>
          <w:szCs w:val="20"/>
          <w:color w:val="auto"/>
        </w:rPr>
      </w:pPr>
    </w:p>
    <w:p>
      <w:pPr>
        <w:ind w:right="220"/>
        <w:spacing w:after="0" w:line="245" w:lineRule="auto"/>
        <w:rPr>
          <w:sz w:val="20"/>
          <w:szCs w:val="20"/>
          <w:color w:val="auto"/>
        </w:rPr>
      </w:pPr>
      <w:r>
        <w:rPr>
          <w:rFonts w:ascii="Arial" w:cs="Arial" w:eastAsia="Arial" w:hAnsi="Arial"/>
          <w:sz w:val="18"/>
          <w:szCs w:val="18"/>
          <w:color w:val="auto"/>
        </w:rPr>
        <w:t>In the clinical development program for the treatment of eye diseases, the Company has initiated a 150 patient, 12 week, phase 2 trial of the VEGF Trap-Eye in the neovascular form of age-related macular degeneration (wet AMD). This trial follows positive results from the phase 1 study, which were presented at the May 2006 Annual Meeting of the Association for Research in Vision and Ophthalmology (ARVO). The phase 2 trial is evaluating the safety and biological effect of repeated intravitreal (ITV) administration of the VEGF Trap-Eye using different doses and different dosing regimens. A phase 3 trial of the VEGF Trap-Eye in wet AMD is planned to begin in early 2007.</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Regeneron recently completed enrollment in the pivotal study of the IL-1 Trap in adult patients with </w:t>
      </w:r>
      <w:r>
        <w:rPr>
          <w:rFonts w:ascii="Arial" w:cs="Arial" w:eastAsia="Arial" w:hAnsi="Arial"/>
          <w:sz w:val="18"/>
          <w:szCs w:val="18"/>
          <w:i w:val="1"/>
          <w:iCs w:val="1"/>
          <w:color w:val="auto"/>
        </w:rPr>
        <w:t>CIAS</w:t>
      </w:r>
      <w:r>
        <w:rPr>
          <w:rFonts w:ascii="Arial" w:cs="Arial" w:eastAsia="Arial" w:hAnsi="Arial"/>
          <w:sz w:val="18"/>
          <w:szCs w:val="18"/>
          <w:color w:val="auto"/>
        </w:rPr>
        <w:t xml:space="preserve">1-Associated Periodic Syndrome (CAPS), a spectrum of rare auto-inflammatory diseases associated with mutations in the </w:t>
      </w:r>
      <w:r>
        <w:rPr>
          <w:rFonts w:ascii="Arial" w:cs="Arial" w:eastAsia="Arial" w:hAnsi="Arial"/>
          <w:sz w:val="18"/>
          <w:szCs w:val="18"/>
          <w:i w:val="1"/>
          <w:iCs w:val="1"/>
          <w:color w:val="auto"/>
        </w:rPr>
        <w:t>CIAS</w:t>
      </w:r>
      <w:r>
        <w:rPr>
          <w:rFonts w:ascii="Arial" w:cs="Arial" w:eastAsia="Arial" w:hAnsi="Arial"/>
          <w:sz w:val="18"/>
          <w:szCs w:val="18"/>
          <w:color w:val="auto"/>
        </w:rPr>
        <w:t>1 gene. Interleukin-1 (IL-1) appears to play a significant role in these diseases. Participants in the trial are receiving a 160 milligram dose of the IL-1 Trap once a week through subcutaneous self-administration. The six-month placebo-controlled, double-blind, efficacy phase of the study is expected to be completed and preliminary data available by the end of 2006. The efficacy phase will be followed by a six-month open-label extension phase. The Company plans to file a Biologics License Application (BLA) for CAPS in early 2007. Regeneron also has ongoing proof-of-concept studies in other indications in which IL-1 may play a significant role, such as systemic juvenile idiopathic arthritis (SJIA). The U.S. Food and Drug Administration has granted Orphan Drug and Fast Track designations for the IL-1 Trap in CAPS.</w:t>
      </w:r>
    </w:p>
    <w:p>
      <w:pPr>
        <w:spacing w:after="0" w:line="72"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The Company has made significant progress in its VelocImmune</w:t>
      </w:r>
      <w:r>
        <w:rPr>
          <w:rFonts w:ascii="Arial" w:cs="Arial" w:eastAsia="Arial" w:hAnsi="Arial"/>
          <w:sz w:val="15"/>
          <w:szCs w:val="15"/>
          <w:color w:val="auto"/>
        </w:rPr>
        <w:t>®</w:t>
      </w:r>
      <w:r>
        <w:rPr>
          <w:rFonts w:ascii="Arial" w:cs="Arial" w:eastAsia="Arial" w:hAnsi="Arial"/>
          <w:sz w:val="18"/>
          <w:szCs w:val="18"/>
          <w:color w:val="auto"/>
        </w:rPr>
        <w:t xml:space="preserve"> program, Regeneron’s proprietary technology platform for producing fully human monoclonal antibodies. Based on the strength of the VelocImmune platform; which, in conjunction with Regeneron’s other proprietary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27" w:right="299" w:bottom="1440" w:gutter="0" w:footer="0" w:header="0"/>
        </w:sectPr>
      </w:pPr>
    </w:p>
    <w:bookmarkStart w:id="9" w:name="page10"/>
    <w:bookmarkEnd w:id="9"/>
    <w:p>
      <w:pPr>
        <w:ind w:right="20"/>
        <w:spacing w:after="0" w:line="276" w:lineRule="auto"/>
        <w:rPr>
          <w:sz w:val="20"/>
          <w:szCs w:val="20"/>
          <w:color w:val="auto"/>
        </w:rPr>
      </w:pPr>
      <w:r>
        <w:rPr>
          <w:rFonts w:ascii="Arial" w:cs="Arial" w:eastAsia="Arial" w:hAnsi="Arial"/>
          <w:sz w:val="18"/>
          <w:szCs w:val="18"/>
          <w:color w:val="auto"/>
        </w:rPr>
        <w:t>accelerates the development of fully human monoclonal antibodies, the Company plans to move two new antibody candidates into clinical trials each year going forward beginning in 2007.</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w:t>
      </w:r>
    </w:p>
    <w:p>
      <w:pPr>
        <w:spacing w:after="0" w:line="106" w:lineRule="exact"/>
        <w:rPr>
          <w:sz w:val="20"/>
          <w:szCs w:val="20"/>
          <w:color w:val="auto"/>
        </w:rPr>
      </w:pPr>
    </w:p>
    <w:p>
      <w:pPr>
        <w:ind w:right="220"/>
        <w:spacing w:after="0" w:line="241" w:lineRule="auto"/>
        <w:rPr>
          <w:sz w:val="20"/>
          <w:szCs w:val="20"/>
          <w:color w:val="auto"/>
        </w:rPr>
      </w:pPr>
      <w:r>
        <w:rPr>
          <w:rFonts w:ascii="Arial" w:cs="Arial" w:eastAsia="Arial" w:hAnsi="Arial"/>
          <w:sz w:val="18"/>
          <w:szCs w:val="18"/>
          <w:color w:val="auto"/>
        </w:rPr>
        <w:t>Regeneron’s total revenue increased to $19.3 million in the second quarter of 2006 from $16.4 million in the same quarter of 2005 and to $37.5 million for the first six months of 2006 from $ 32.6 million for the same period of 2005 due to increases in contract research and development and contract manufacturing revenue. Contract research and development revenue in 2006 principally related to the Company’s VEGF Trap collaboration with sanofi-aventis in cancer indications. In 2005, contract research and development revenue related both to the Company’s collaboration with sanofi-aventis and the Company’s collaboration with Procter &amp; Gamble, which ended in June 2005. Contract manufacturing revenue relates to Regeneron’s long-term manufacturing agreement with Merck &amp; Co., Inc., which will expire in the fourth quarter of 2006.</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Regeneron recognized contract research and development revenue of $14.8 million in the second quarter of 2006 and $28.7 million for the first six months of 2006 related to the Company’s collaboration with sanofi-aventis, compared with $ 9.4 million and $19.2 million, respectively, for the same periods of 2005. Contract research and development revenue from the sanofi-aventis collaboration consists of reimbursement of VEGF Trap development expenses plus recognition of amounts related to $105.0 million of previously received and deferred up-front, non-refundable payments. Reimbursement of expenses increased to $11.8 million in the second quarter of 2006 from $7.1 million in the comparable quarter of 2005, and to $22.6 million in the first six months of 2006 from $14.5 million in the same period of 2005, primarily due to higher costs in 2006 related to the Company’s manufacture of VEGF Trap clinical supplies. With respect to the up-front payments from sanofi-aventis, $3.0 million was recognized in the second quarter of 2006 compared to $2.3 million in the same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375920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27" w:right="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quarter of 2005, and $6.1 million was recognized in the first six months of 2006 compared to $4.7 million in the same period of 2005.</w:t>
      </w:r>
    </w:p>
    <w:p>
      <w:pPr>
        <w:spacing w:after="0" w:line="104"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Sanofi-aventis also incurs VEGF Trap development expenses which are increasing because of the growing number of clinical trials sanofi-aventis is overseeing in the VEGF Trap oncology program. During the term of the collaboration, sanofi-aventis pays 100% of agreed-upon VEGF Trap development expenses incurred by both companies. Following commercialization of a VEGF Trap product by the collaboration, the Company will repay out of VEGF Trap profits 50% of these VEGF Trap development expenses previously paid by sanofi-aventis.</w:t>
      </w:r>
    </w:p>
    <w:p>
      <w:pPr>
        <w:spacing w:after="0" w:line="63" w:lineRule="exact"/>
        <w:rPr>
          <w:sz w:val="20"/>
          <w:szCs w:val="20"/>
          <w:color w:val="auto"/>
        </w:rPr>
      </w:pPr>
    </w:p>
    <w:p>
      <w:pPr>
        <w:ind w:right="300"/>
        <w:spacing w:after="0" w:line="248" w:lineRule="auto"/>
        <w:rPr>
          <w:sz w:val="20"/>
          <w:szCs w:val="20"/>
          <w:color w:val="auto"/>
        </w:rPr>
      </w:pPr>
      <w:r>
        <w:rPr>
          <w:rFonts w:ascii="Arial" w:cs="Arial" w:eastAsia="Arial" w:hAnsi="Arial"/>
          <w:sz w:val="18"/>
          <w:szCs w:val="18"/>
          <w:color w:val="auto"/>
        </w:rPr>
        <w:t>Total operating expenses for the second quarter of 2006 were $43.5 million, 10 percent lower than the comparable quarter in 2005, and $83.4 million for the first six months of 2006, 10 percent lower than the same period in 2005, due, in part, to lower Company headcount. Average Company headcount declined to 583 in the first half of 2006 from 731 in the same period of 2005, primarily as a result of workforce reductions made in the fourth quarter of 2005.</w:t>
      </w:r>
    </w:p>
    <w:p>
      <w:pPr>
        <w:spacing w:after="0" w:line="63" w:lineRule="exact"/>
        <w:rPr>
          <w:sz w:val="20"/>
          <w:szCs w:val="20"/>
          <w:color w:val="auto"/>
        </w:rPr>
      </w:pPr>
    </w:p>
    <w:p>
      <w:pPr>
        <w:jc w:val="both"/>
        <w:ind w:right="260"/>
        <w:spacing w:after="0" w:line="248" w:lineRule="auto"/>
        <w:rPr>
          <w:sz w:val="20"/>
          <w:szCs w:val="20"/>
          <w:color w:val="auto"/>
        </w:rPr>
      </w:pPr>
      <w:r>
        <w:rPr>
          <w:rFonts w:ascii="Arial" w:cs="Arial" w:eastAsia="Arial" w:hAnsi="Arial"/>
          <w:sz w:val="18"/>
          <w:szCs w:val="18"/>
          <w:color w:val="auto"/>
        </w:rPr>
        <w:t>The Company recognized non-cash compensation expense related to employee stock option awards (Stock Option Expense) in accordance with Statement of Financial Accounting Standards No. (SFAS) 123 in 2005, and in accordance with SFAS 123R (which is a revision of SFAS 123), effective January 1, 2006. Operating expenses in the second quarter of 2006 and 2005 include a total of $4.6 million and $5.3 million, respectively, of Stock Option Expense, as follows: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 the three months ended June 30,</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millions)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6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color w:val="auto"/>
                <w:w w:val="96"/>
              </w:rPr>
              <w:t>2006</w:t>
            </w:r>
          </w:p>
        </w:tc>
        <w:tc>
          <w:tcPr>
            <w:tcW w:w="3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740" w:type="dxa"/>
            <w:vAlign w:val="bottom"/>
            <w:gridSpan w:val="4"/>
          </w:tcPr>
          <w:p>
            <w:pPr>
              <w:ind w:left="20"/>
              <w:spacing w:after="0" w:line="143" w:lineRule="exact"/>
              <w:rPr>
                <w:sz w:val="20"/>
                <w:szCs w:val="20"/>
                <w:color w:val="auto"/>
              </w:rPr>
            </w:pPr>
            <w:r>
              <w:rPr>
                <w:rFonts w:ascii="Arial" w:cs="Arial" w:eastAsia="Arial" w:hAnsi="Arial"/>
                <w:sz w:val="14"/>
                <w:szCs w:val="14"/>
                <w:color w:val="auto"/>
              </w:rPr>
              <w:t>Expenses before</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40" w:type="dxa"/>
            <w:vAlign w:val="bottom"/>
            <w:gridSpan w:val="4"/>
          </w:tcPr>
          <w:p>
            <w:pPr>
              <w:spacing w:after="0"/>
              <w:rPr>
                <w:sz w:val="20"/>
                <w:szCs w:val="20"/>
                <w:color w:val="auto"/>
              </w:rPr>
            </w:pPr>
            <w:r>
              <w:rPr>
                <w:rFonts w:ascii="Arial" w:cs="Arial" w:eastAsia="Arial" w:hAnsi="Arial"/>
                <w:sz w:val="14"/>
                <w:szCs w:val="14"/>
                <w:color w:val="auto"/>
              </w:rPr>
              <w:t>inclusion of Stock</w:t>
            </w:r>
          </w:p>
        </w:tc>
        <w:tc>
          <w:tcPr>
            <w:tcW w:w="1160" w:type="dxa"/>
            <w:vAlign w:val="bottom"/>
            <w:gridSpan w:val="3"/>
          </w:tcPr>
          <w:p>
            <w:pPr>
              <w:jc w:val="right"/>
              <w:ind w:right="320"/>
              <w:spacing w:after="0"/>
              <w:rPr>
                <w:sz w:val="20"/>
                <w:szCs w:val="20"/>
                <w:color w:val="auto"/>
              </w:rPr>
            </w:pPr>
            <w:r>
              <w:rPr>
                <w:rFonts w:ascii="Arial" w:cs="Arial" w:eastAsia="Arial" w:hAnsi="Arial"/>
                <w:sz w:val="14"/>
                <w:szCs w:val="14"/>
                <w:color w:val="auto"/>
              </w:rPr>
              <w:t>Stock Option</w:t>
            </w:r>
          </w:p>
        </w:tc>
        <w:tc>
          <w:tcPr>
            <w:tcW w:w="1240" w:type="dxa"/>
            <w:vAlign w:val="bottom"/>
            <w:gridSpan w:val="4"/>
          </w:tcPr>
          <w:p>
            <w:pPr>
              <w:ind w:left="300"/>
              <w:spacing w:after="0"/>
              <w:rPr>
                <w:sz w:val="20"/>
                <w:szCs w:val="20"/>
                <w:color w:val="auto"/>
              </w:rPr>
            </w:pPr>
            <w:r>
              <w:rPr>
                <w:rFonts w:ascii="Arial" w:cs="Arial" w:eastAsia="Arial" w:hAnsi="Arial"/>
                <w:sz w:val="14"/>
                <w:szCs w:val="14"/>
                <w:color w:val="auto"/>
              </w:rPr>
              <w:t>Expenses as</w:t>
            </w:r>
          </w:p>
        </w:tc>
      </w:tr>
      <w:tr>
        <w:trPr>
          <w:trHeight w:val="175"/>
        </w:trPr>
        <w:tc>
          <w:tcPr>
            <w:tcW w:w="7280" w:type="dxa"/>
            <w:vAlign w:val="bottom"/>
            <w:gridSpan w:val="3"/>
          </w:tcPr>
          <w:p>
            <w:pPr>
              <w:spacing w:after="0"/>
              <w:rPr>
                <w:sz w:val="20"/>
                <w:szCs w:val="20"/>
                <w:color w:val="auto"/>
              </w:rPr>
            </w:pPr>
            <w:r>
              <w:rPr>
                <w:rFonts w:ascii="Arial" w:cs="Arial" w:eastAsia="Arial" w:hAnsi="Arial"/>
                <w:sz w:val="14"/>
                <w:szCs w:val="14"/>
                <w:color w:val="auto"/>
              </w:rPr>
              <w:t>Expenses</w:t>
            </w:r>
          </w:p>
        </w:tc>
        <w:tc>
          <w:tcPr>
            <w:tcW w:w="1740" w:type="dxa"/>
            <w:vAlign w:val="bottom"/>
            <w:gridSpan w:val="4"/>
          </w:tcPr>
          <w:p>
            <w:pPr>
              <w:ind w:left="40"/>
              <w:spacing w:after="0"/>
              <w:rPr>
                <w:sz w:val="20"/>
                <w:szCs w:val="20"/>
                <w:color w:val="auto"/>
              </w:rPr>
            </w:pPr>
            <w:r>
              <w:rPr>
                <w:rFonts w:ascii="Arial" w:cs="Arial" w:eastAsia="Arial" w:hAnsi="Arial"/>
                <w:sz w:val="14"/>
                <w:szCs w:val="14"/>
                <w:color w:val="auto"/>
              </w:rPr>
              <w:t>Option Expense</w:t>
            </w:r>
          </w:p>
        </w:tc>
        <w:tc>
          <w:tcPr>
            <w:tcW w:w="120" w:type="dxa"/>
            <w:vAlign w:val="bottom"/>
          </w:tcPr>
          <w:p>
            <w:pPr>
              <w:spacing w:after="0"/>
              <w:rPr>
                <w:sz w:val="15"/>
                <w:szCs w:val="15"/>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Expense</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Arial" w:cs="Arial" w:eastAsia="Arial" w:hAnsi="Arial"/>
                <w:sz w:val="14"/>
                <w:szCs w:val="14"/>
                <w:color w:val="auto"/>
              </w:rPr>
              <w:t>Reported</w:t>
            </w:r>
          </w:p>
        </w:tc>
      </w:tr>
      <w:tr>
        <w:trPr>
          <w:trHeight w:val="196"/>
        </w:trPr>
        <w:tc>
          <w:tcPr>
            <w:tcW w:w="20" w:type="dxa"/>
            <w:vAlign w:val="bottom"/>
          </w:tcPr>
          <w:p>
            <w:pPr>
              <w:spacing w:after="0"/>
              <w:rPr>
                <w:sz w:val="17"/>
                <w:szCs w:val="17"/>
                <w:color w:val="auto"/>
              </w:rPr>
            </w:pPr>
          </w:p>
        </w:tc>
        <w:tc>
          <w:tcPr>
            <w:tcW w:w="67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Research and development</w:t>
            </w:r>
          </w:p>
        </w:tc>
        <w:tc>
          <w:tcPr>
            <w:tcW w:w="520" w:type="dxa"/>
            <w:vAlign w:val="bottom"/>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31.8</w:t>
            </w: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w:t>
            </w: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34.4</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60" w:type="dxa"/>
            <w:vAlign w:val="bottom"/>
            <w:gridSpan w:val="2"/>
          </w:tcPr>
          <w:p>
            <w:pPr>
              <w:spacing w:after="0" w:line="202" w:lineRule="exact"/>
              <w:rPr>
                <w:sz w:val="20"/>
                <w:szCs w:val="20"/>
                <w:color w:val="auto"/>
              </w:rPr>
            </w:pPr>
            <w:r>
              <w:rPr>
                <w:rFonts w:ascii="Arial" w:cs="Arial" w:eastAsia="Arial" w:hAnsi="Arial"/>
                <w:sz w:val="18"/>
                <w:szCs w:val="18"/>
                <w:color w:val="auto"/>
              </w:rPr>
              <w:t>Contract manufacturing</w:t>
            </w:r>
          </w:p>
        </w:tc>
        <w:tc>
          <w:tcPr>
            <w:tcW w:w="440" w:type="dxa"/>
            <w:vAlign w:val="bottom"/>
          </w:tcPr>
          <w:p>
            <w:pPr>
              <w:spacing w:after="0"/>
              <w:rPr>
                <w:sz w:val="17"/>
                <w:szCs w:val="17"/>
                <w:color w:val="auto"/>
              </w:rPr>
            </w:pPr>
          </w:p>
        </w:tc>
        <w:tc>
          <w:tcPr>
            <w:tcW w:w="1300" w:type="dxa"/>
            <w:vAlign w:val="bottom"/>
            <w:gridSpan w:val="3"/>
          </w:tcPr>
          <w:p>
            <w:pPr>
              <w:jc w:val="right"/>
              <w:ind w:right="620"/>
              <w:spacing w:after="0" w:line="202" w:lineRule="exact"/>
              <w:rPr>
                <w:sz w:val="20"/>
                <w:szCs w:val="20"/>
                <w:color w:val="auto"/>
              </w:rPr>
            </w:pPr>
            <w:r>
              <w:rPr>
                <w:rFonts w:ascii="Arial" w:cs="Arial" w:eastAsia="Arial" w:hAnsi="Arial"/>
                <w:sz w:val="18"/>
                <w:szCs w:val="18"/>
                <w:color w:val="auto"/>
              </w:rPr>
              <w:t>2.7</w:t>
            </w:r>
          </w:p>
        </w:tc>
        <w:tc>
          <w:tcPr>
            <w:tcW w:w="120" w:type="dxa"/>
            <w:vAlign w:val="bottom"/>
          </w:tcPr>
          <w:p>
            <w:pPr>
              <w:spacing w:after="0"/>
              <w:rPr>
                <w:sz w:val="17"/>
                <w:szCs w:val="17"/>
                <w:color w:val="auto"/>
              </w:rPr>
            </w:pPr>
          </w:p>
        </w:tc>
        <w:tc>
          <w:tcPr>
            <w:tcW w:w="10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0.1</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2.8</w:t>
            </w:r>
          </w:p>
        </w:tc>
      </w:tr>
      <w:tr>
        <w:trPr>
          <w:trHeight w:val="203"/>
        </w:trPr>
        <w:tc>
          <w:tcPr>
            <w:tcW w:w="20" w:type="dxa"/>
            <w:vAlign w:val="bottom"/>
          </w:tcPr>
          <w:p>
            <w:pPr>
              <w:spacing w:after="0"/>
              <w:rPr>
                <w:sz w:val="17"/>
                <w:szCs w:val="17"/>
                <w:color w:val="auto"/>
              </w:rPr>
            </w:pPr>
          </w:p>
        </w:tc>
        <w:tc>
          <w:tcPr>
            <w:tcW w:w="72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General and administrative</w:t>
            </w:r>
          </w:p>
        </w:tc>
        <w:tc>
          <w:tcPr>
            <w:tcW w:w="44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1.9</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6.3</w:t>
            </w:r>
          </w:p>
        </w:tc>
      </w:tr>
      <w:tr>
        <w:trPr>
          <w:trHeight w:val="210"/>
        </w:trPr>
        <w:tc>
          <w:tcPr>
            <w:tcW w:w="20" w:type="dxa"/>
            <w:vAlign w:val="bottom"/>
          </w:tcPr>
          <w:p>
            <w:pPr>
              <w:spacing w:after="0"/>
              <w:rPr>
                <w:sz w:val="18"/>
                <w:szCs w:val="18"/>
                <w:color w:val="auto"/>
              </w:rPr>
            </w:pPr>
          </w:p>
        </w:tc>
        <w:tc>
          <w:tcPr>
            <w:tcW w:w="7260" w:type="dxa"/>
            <w:vAlign w:val="bottom"/>
            <w:gridSpan w:val="2"/>
          </w:tcPr>
          <w:p>
            <w:pPr>
              <w:ind w:left="200"/>
              <w:spacing w:after="0"/>
              <w:rPr>
                <w:sz w:val="20"/>
                <w:szCs w:val="20"/>
                <w:color w:val="auto"/>
              </w:rPr>
            </w:pPr>
            <w:r>
              <w:rPr>
                <w:rFonts w:ascii="Arial" w:cs="Arial" w:eastAsia="Arial" w:hAnsi="Arial"/>
                <w:sz w:val="18"/>
                <w:szCs w:val="18"/>
                <w:color w:val="auto"/>
              </w:rPr>
              <w:t>Total operating expenses</w:t>
            </w: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w:t>
            </w:r>
          </w:p>
        </w:tc>
        <w:tc>
          <w:tcPr>
            <w:tcW w:w="20" w:type="dxa"/>
            <w:vAlign w:val="bottom"/>
            <w:tcBorders>
              <w:bottom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12"/>
        </w:trPr>
        <w:tc>
          <w:tcPr>
            <w:tcW w:w="20" w:type="dxa"/>
            <w:vAlign w:val="bottom"/>
          </w:tcPr>
          <w:p>
            <w:pPr>
              <w:spacing w:after="0"/>
              <w:rPr>
                <w:sz w:val="24"/>
                <w:szCs w:val="24"/>
                <w:color w:val="auto"/>
              </w:rPr>
            </w:pPr>
          </w:p>
        </w:tc>
        <w:tc>
          <w:tcPr>
            <w:tcW w:w="674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auto"/>
        </w:rPr>
        <w:t>For the three months ended June 30,</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millions)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6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color w:val="auto"/>
                <w:w w:val="96"/>
              </w:rPr>
              <w:t>2005</w:t>
            </w:r>
          </w:p>
        </w:tc>
        <w:tc>
          <w:tcPr>
            <w:tcW w:w="3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740" w:type="dxa"/>
            <w:vAlign w:val="bottom"/>
            <w:gridSpan w:val="4"/>
          </w:tcPr>
          <w:p>
            <w:pPr>
              <w:ind w:left="20"/>
              <w:spacing w:after="0" w:line="143" w:lineRule="exact"/>
              <w:rPr>
                <w:sz w:val="20"/>
                <w:szCs w:val="20"/>
                <w:color w:val="auto"/>
              </w:rPr>
            </w:pPr>
            <w:r>
              <w:rPr>
                <w:rFonts w:ascii="Arial" w:cs="Arial" w:eastAsia="Arial" w:hAnsi="Arial"/>
                <w:sz w:val="14"/>
                <w:szCs w:val="14"/>
                <w:color w:val="auto"/>
              </w:rPr>
              <w:t>Expenses before</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40" w:type="dxa"/>
            <w:vAlign w:val="bottom"/>
            <w:gridSpan w:val="4"/>
          </w:tcPr>
          <w:p>
            <w:pPr>
              <w:spacing w:after="0"/>
              <w:rPr>
                <w:sz w:val="20"/>
                <w:szCs w:val="20"/>
                <w:color w:val="auto"/>
              </w:rPr>
            </w:pPr>
            <w:r>
              <w:rPr>
                <w:rFonts w:ascii="Arial" w:cs="Arial" w:eastAsia="Arial" w:hAnsi="Arial"/>
                <w:sz w:val="14"/>
                <w:szCs w:val="14"/>
                <w:color w:val="auto"/>
              </w:rPr>
              <w:t>inclusion of Stock</w:t>
            </w:r>
          </w:p>
        </w:tc>
        <w:tc>
          <w:tcPr>
            <w:tcW w:w="1160" w:type="dxa"/>
            <w:vAlign w:val="bottom"/>
            <w:gridSpan w:val="3"/>
          </w:tcPr>
          <w:p>
            <w:pPr>
              <w:jc w:val="right"/>
              <w:ind w:right="320"/>
              <w:spacing w:after="0"/>
              <w:rPr>
                <w:sz w:val="20"/>
                <w:szCs w:val="20"/>
                <w:color w:val="auto"/>
              </w:rPr>
            </w:pPr>
            <w:r>
              <w:rPr>
                <w:rFonts w:ascii="Arial" w:cs="Arial" w:eastAsia="Arial" w:hAnsi="Arial"/>
                <w:sz w:val="14"/>
                <w:szCs w:val="14"/>
                <w:color w:val="auto"/>
              </w:rPr>
              <w:t>Stock Option</w:t>
            </w:r>
          </w:p>
        </w:tc>
        <w:tc>
          <w:tcPr>
            <w:tcW w:w="1240" w:type="dxa"/>
            <w:vAlign w:val="bottom"/>
            <w:gridSpan w:val="4"/>
          </w:tcPr>
          <w:p>
            <w:pPr>
              <w:ind w:left="300"/>
              <w:spacing w:after="0"/>
              <w:rPr>
                <w:sz w:val="20"/>
                <w:szCs w:val="20"/>
                <w:color w:val="auto"/>
              </w:rPr>
            </w:pPr>
            <w:r>
              <w:rPr>
                <w:rFonts w:ascii="Arial" w:cs="Arial" w:eastAsia="Arial" w:hAnsi="Arial"/>
                <w:sz w:val="14"/>
                <w:szCs w:val="14"/>
                <w:color w:val="auto"/>
              </w:rPr>
              <w:t>Expenses as</w:t>
            </w:r>
          </w:p>
        </w:tc>
      </w:tr>
      <w:tr>
        <w:trPr>
          <w:trHeight w:val="175"/>
        </w:trPr>
        <w:tc>
          <w:tcPr>
            <w:tcW w:w="7280" w:type="dxa"/>
            <w:vAlign w:val="bottom"/>
            <w:gridSpan w:val="3"/>
          </w:tcPr>
          <w:p>
            <w:pPr>
              <w:spacing w:after="0"/>
              <w:rPr>
                <w:sz w:val="20"/>
                <w:szCs w:val="20"/>
                <w:color w:val="auto"/>
              </w:rPr>
            </w:pPr>
            <w:r>
              <w:rPr>
                <w:rFonts w:ascii="Arial" w:cs="Arial" w:eastAsia="Arial" w:hAnsi="Arial"/>
                <w:sz w:val="14"/>
                <w:szCs w:val="14"/>
                <w:color w:val="auto"/>
              </w:rPr>
              <w:t>Expenses</w:t>
            </w:r>
          </w:p>
        </w:tc>
        <w:tc>
          <w:tcPr>
            <w:tcW w:w="1740" w:type="dxa"/>
            <w:vAlign w:val="bottom"/>
            <w:gridSpan w:val="4"/>
          </w:tcPr>
          <w:p>
            <w:pPr>
              <w:ind w:left="40"/>
              <w:spacing w:after="0"/>
              <w:rPr>
                <w:sz w:val="20"/>
                <w:szCs w:val="20"/>
                <w:color w:val="auto"/>
              </w:rPr>
            </w:pPr>
            <w:r>
              <w:rPr>
                <w:rFonts w:ascii="Arial" w:cs="Arial" w:eastAsia="Arial" w:hAnsi="Arial"/>
                <w:sz w:val="14"/>
                <w:szCs w:val="14"/>
                <w:color w:val="auto"/>
              </w:rPr>
              <w:t>Option Expense</w:t>
            </w:r>
          </w:p>
        </w:tc>
        <w:tc>
          <w:tcPr>
            <w:tcW w:w="120" w:type="dxa"/>
            <w:vAlign w:val="bottom"/>
          </w:tcPr>
          <w:p>
            <w:pPr>
              <w:spacing w:after="0"/>
              <w:rPr>
                <w:sz w:val="15"/>
                <w:szCs w:val="15"/>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Expense</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Arial" w:cs="Arial" w:eastAsia="Arial" w:hAnsi="Arial"/>
                <w:sz w:val="14"/>
                <w:szCs w:val="14"/>
                <w:color w:val="auto"/>
              </w:rPr>
              <w:t>Reported</w:t>
            </w:r>
          </w:p>
        </w:tc>
      </w:tr>
      <w:tr>
        <w:trPr>
          <w:trHeight w:val="196"/>
        </w:trPr>
        <w:tc>
          <w:tcPr>
            <w:tcW w:w="20" w:type="dxa"/>
            <w:vAlign w:val="bottom"/>
          </w:tcPr>
          <w:p>
            <w:pPr>
              <w:spacing w:after="0"/>
              <w:rPr>
                <w:sz w:val="17"/>
                <w:szCs w:val="17"/>
                <w:color w:val="auto"/>
              </w:rPr>
            </w:pPr>
          </w:p>
        </w:tc>
        <w:tc>
          <w:tcPr>
            <w:tcW w:w="67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Research and development</w:t>
            </w:r>
          </w:p>
        </w:tc>
        <w:tc>
          <w:tcPr>
            <w:tcW w:w="520" w:type="dxa"/>
            <w:vAlign w:val="bottom"/>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37.3</w:t>
            </w: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w:t>
            </w: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40.6</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60" w:type="dxa"/>
            <w:vAlign w:val="bottom"/>
            <w:gridSpan w:val="2"/>
          </w:tcPr>
          <w:p>
            <w:pPr>
              <w:spacing w:after="0" w:line="202" w:lineRule="exact"/>
              <w:rPr>
                <w:sz w:val="20"/>
                <w:szCs w:val="20"/>
                <w:color w:val="auto"/>
              </w:rPr>
            </w:pPr>
            <w:r>
              <w:rPr>
                <w:rFonts w:ascii="Arial" w:cs="Arial" w:eastAsia="Arial" w:hAnsi="Arial"/>
                <w:sz w:val="18"/>
                <w:szCs w:val="18"/>
                <w:color w:val="auto"/>
              </w:rPr>
              <w:t>Contract manufacturing</w:t>
            </w:r>
          </w:p>
        </w:tc>
        <w:tc>
          <w:tcPr>
            <w:tcW w:w="440" w:type="dxa"/>
            <w:vAlign w:val="bottom"/>
          </w:tcPr>
          <w:p>
            <w:pPr>
              <w:spacing w:after="0"/>
              <w:rPr>
                <w:sz w:val="17"/>
                <w:szCs w:val="17"/>
                <w:color w:val="auto"/>
              </w:rPr>
            </w:pPr>
          </w:p>
        </w:tc>
        <w:tc>
          <w:tcPr>
            <w:tcW w:w="1300" w:type="dxa"/>
            <w:vAlign w:val="bottom"/>
            <w:gridSpan w:val="3"/>
          </w:tcPr>
          <w:p>
            <w:pPr>
              <w:jc w:val="right"/>
              <w:ind w:right="620"/>
              <w:spacing w:after="0" w:line="202" w:lineRule="exact"/>
              <w:rPr>
                <w:sz w:val="20"/>
                <w:szCs w:val="20"/>
                <w:color w:val="auto"/>
              </w:rPr>
            </w:pPr>
            <w:r>
              <w:rPr>
                <w:rFonts w:ascii="Arial" w:cs="Arial" w:eastAsia="Arial" w:hAnsi="Arial"/>
                <w:sz w:val="18"/>
                <w:szCs w:val="18"/>
                <w:color w:val="auto"/>
              </w:rPr>
              <w:t>1.6</w:t>
            </w:r>
          </w:p>
        </w:tc>
        <w:tc>
          <w:tcPr>
            <w:tcW w:w="120" w:type="dxa"/>
            <w:vAlign w:val="bottom"/>
          </w:tcPr>
          <w:p>
            <w:pPr>
              <w:spacing w:after="0"/>
              <w:rPr>
                <w:sz w:val="17"/>
                <w:szCs w:val="17"/>
                <w:color w:val="auto"/>
              </w:rPr>
            </w:pPr>
          </w:p>
        </w:tc>
        <w:tc>
          <w:tcPr>
            <w:tcW w:w="10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0.1</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1.7</w:t>
            </w:r>
          </w:p>
        </w:tc>
      </w:tr>
      <w:tr>
        <w:trPr>
          <w:trHeight w:val="203"/>
        </w:trPr>
        <w:tc>
          <w:tcPr>
            <w:tcW w:w="20" w:type="dxa"/>
            <w:vAlign w:val="bottom"/>
          </w:tcPr>
          <w:p>
            <w:pPr>
              <w:spacing w:after="0"/>
              <w:rPr>
                <w:sz w:val="17"/>
                <w:szCs w:val="17"/>
                <w:color w:val="auto"/>
              </w:rPr>
            </w:pPr>
          </w:p>
        </w:tc>
        <w:tc>
          <w:tcPr>
            <w:tcW w:w="72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General and administrative</w:t>
            </w:r>
          </w:p>
        </w:tc>
        <w:tc>
          <w:tcPr>
            <w:tcW w:w="44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1.9</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6.2</w:t>
            </w:r>
          </w:p>
        </w:tc>
      </w:tr>
      <w:tr>
        <w:trPr>
          <w:trHeight w:val="210"/>
        </w:trPr>
        <w:tc>
          <w:tcPr>
            <w:tcW w:w="20" w:type="dxa"/>
            <w:vAlign w:val="bottom"/>
          </w:tcPr>
          <w:p>
            <w:pPr>
              <w:spacing w:after="0"/>
              <w:rPr>
                <w:sz w:val="18"/>
                <w:szCs w:val="18"/>
                <w:color w:val="auto"/>
              </w:rPr>
            </w:pPr>
          </w:p>
        </w:tc>
        <w:tc>
          <w:tcPr>
            <w:tcW w:w="7260" w:type="dxa"/>
            <w:vAlign w:val="bottom"/>
            <w:gridSpan w:val="2"/>
          </w:tcPr>
          <w:p>
            <w:pPr>
              <w:ind w:left="200"/>
              <w:spacing w:after="0"/>
              <w:rPr>
                <w:sz w:val="20"/>
                <w:szCs w:val="20"/>
                <w:color w:val="auto"/>
              </w:rPr>
            </w:pPr>
            <w:r>
              <w:rPr>
                <w:rFonts w:ascii="Arial" w:cs="Arial" w:eastAsia="Arial" w:hAnsi="Arial"/>
                <w:sz w:val="18"/>
                <w:szCs w:val="18"/>
                <w:color w:val="auto"/>
              </w:rPr>
              <w:t>Total operating expenses</w:t>
            </w: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43.2</w:t>
            </w:r>
          </w:p>
        </w:tc>
        <w:tc>
          <w:tcPr>
            <w:tcW w:w="20" w:type="dxa"/>
            <w:vAlign w:val="bottom"/>
            <w:tcBorders>
              <w:bottom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9" w:lineRule="exact"/>
        <w:rPr>
          <w:sz w:val="20"/>
          <w:szCs w:val="20"/>
          <w:color w:val="auto"/>
        </w:rPr>
      </w:pPr>
    </w:p>
    <w:p>
      <w:pPr>
        <w:ind w:right="260"/>
        <w:spacing w:after="0" w:line="276" w:lineRule="auto"/>
        <w:rPr>
          <w:sz w:val="20"/>
          <w:szCs w:val="20"/>
          <w:color w:val="auto"/>
        </w:rPr>
      </w:pPr>
      <w:r>
        <w:rPr>
          <w:rFonts w:ascii="Arial" w:cs="Arial" w:eastAsia="Arial" w:hAnsi="Arial"/>
          <w:sz w:val="18"/>
          <w:szCs w:val="18"/>
          <w:color w:val="auto"/>
        </w:rPr>
        <w:t>Operating expenses for first half of 2006 and 2005 include a total of $8.5 million and $10.7 million, respectively, of Stock Option Expense, as follows: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 the six months ended June 30,</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millions)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2006</w:t>
            </w:r>
          </w:p>
        </w:tc>
        <w:tc>
          <w:tcPr>
            <w:tcW w:w="3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740" w:type="dxa"/>
            <w:vAlign w:val="bottom"/>
            <w:gridSpan w:val="4"/>
          </w:tcPr>
          <w:p>
            <w:pPr>
              <w:ind w:left="20"/>
              <w:spacing w:after="0" w:line="143" w:lineRule="exact"/>
              <w:rPr>
                <w:sz w:val="20"/>
                <w:szCs w:val="20"/>
                <w:color w:val="auto"/>
              </w:rPr>
            </w:pPr>
            <w:r>
              <w:rPr>
                <w:rFonts w:ascii="Arial" w:cs="Arial" w:eastAsia="Arial" w:hAnsi="Arial"/>
                <w:sz w:val="14"/>
                <w:szCs w:val="14"/>
                <w:color w:val="auto"/>
              </w:rPr>
              <w:t>Expenses before</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40" w:type="dxa"/>
            <w:vAlign w:val="bottom"/>
            <w:gridSpan w:val="4"/>
          </w:tcPr>
          <w:p>
            <w:pPr>
              <w:spacing w:after="0"/>
              <w:rPr>
                <w:sz w:val="20"/>
                <w:szCs w:val="20"/>
                <w:color w:val="auto"/>
              </w:rPr>
            </w:pPr>
            <w:r>
              <w:rPr>
                <w:rFonts w:ascii="Arial" w:cs="Arial" w:eastAsia="Arial" w:hAnsi="Arial"/>
                <w:sz w:val="14"/>
                <w:szCs w:val="14"/>
                <w:color w:val="auto"/>
              </w:rPr>
              <w:t>inclusion of Stock</w:t>
            </w:r>
          </w:p>
        </w:tc>
        <w:tc>
          <w:tcPr>
            <w:tcW w:w="1160" w:type="dxa"/>
            <w:vAlign w:val="bottom"/>
            <w:gridSpan w:val="3"/>
          </w:tcPr>
          <w:p>
            <w:pPr>
              <w:spacing w:after="0"/>
              <w:rPr>
                <w:sz w:val="20"/>
                <w:szCs w:val="20"/>
                <w:color w:val="auto"/>
              </w:rPr>
            </w:pPr>
            <w:r>
              <w:rPr>
                <w:rFonts w:ascii="Arial" w:cs="Arial" w:eastAsia="Arial" w:hAnsi="Arial"/>
                <w:sz w:val="14"/>
                <w:szCs w:val="14"/>
                <w:color w:val="auto"/>
              </w:rPr>
              <w:t>Stock Option</w:t>
            </w:r>
          </w:p>
        </w:tc>
        <w:tc>
          <w:tcPr>
            <w:tcW w:w="1240" w:type="dxa"/>
            <w:vAlign w:val="bottom"/>
            <w:gridSpan w:val="4"/>
          </w:tcPr>
          <w:p>
            <w:pPr>
              <w:ind w:left="300"/>
              <w:spacing w:after="0"/>
              <w:rPr>
                <w:sz w:val="20"/>
                <w:szCs w:val="20"/>
                <w:color w:val="auto"/>
              </w:rPr>
            </w:pPr>
            <w:r>
              <w:rPr>
                <w:rFonts w:ascii="Arial" w:cs="Arial" w:eastAsia="Arial" w:hAnsi="Arial"/>
                <w:sz w:val="14"/>
                <w:szCs w:val="14"/>
                <w:color w:val="auto"/>
              </w:rPr>
              <w:t>Expenses as</w:t>
            </w:r>
          </w:p>
        </w:tc>
        <w:tc>
          <w:tcPr>
            <w:tcW w:w="0" w:type="dxa"/>
            <w:vAlign w:val="bottom"/>
          </w:tcPr>
          <w:p>
            <w:pPr>
              <w:spacing w:after="0"/>
              <w:rPr>
                <w:sz w:val="1"/>
                <w:szCs w:val="1"/>
                <w:color w:val="auto"/>
              </w:rPr>
            </w:pPr>
          </w:p>
        </w:tc>
      </w:tr>
      <w:tr>
        <w:trPr>
          <w:trHeight w:val="175"/>
        </w:trPr>
        <w:tc>
          <w:tcPr>
            <w:tcW w:w="7280" w:type="dxa"/>
            <w:vAlign w:val="bottom"/>
            <w:gridSpan w:val="4"/>
          </w:tcPr>
          <w:p>
            <w:pPr>
              <w:spacing w:after="0"/>
              <w:rPr>
                <w:sz w:val="20"/>
                <w:szCs w:val="20"/>
                <w:color w:val="auto"/>
              </w:rPr>
            </w:pPr>
            <w:r>
              <w:rPr>
                <w:rFonts w:ascii="Arial" w:cs="Arial" w:eastAsia="Arial" w:hAnsi="Arial"/>
                <w:sz w:val="14"/>
                <w:szCs w:val="14"/>
                <w:color w:val="auto"/>
              </w:rPr>
              <w:t>Expenses</w:t>
            </w:r>
          </w:p>
        </w:tc>
        <w:tc>
          <w:tcPr>
            <w:tcW w:w="1740" w:type="dxa"/>
            <w:vAlign w:val="bottom"/>
            <w:gridSpan w:val="4"/>
          </w:tcPr>
          <w:p>
            <w:pPr>
              <w:ind w:left="40"/>
              <w:spacing w:after="0"/>
              <w:rPr>
                <w:sz w:val="20"/>
                <w:szCs w:val="20"/>
                <w:color w:val="auto"/>
              </w:rPr>
            </w:pPr>
            <w:r>
              <w:rPr>
                <w:rFonts w:ascii="Arial" w:cs="Arial" w:eastAsia="Arial" w:hAnsi="Arial"/>
                <w:sz w:val="14"/>
                <w:szCs w:val="14"/>
                <w:color w:val="auto"/>
              </w:rPr>
              <w:t>Option Expense</w:t>
            </w:r>
          </w:p>
        </w:tc>
        <w:tc>
          <w:tcPr>
            <w:tcW w:w="120" w:type="dxa"/>
            <w:vAlign w:val="bottom"/>
          </w:tcPr>
          <w:p>
            <w:pPr>
              <w:spacing w:after="0"/>
              <w:rPr>
                <w:sz w:val="15"/>
                <w:szCs w:val="15"/>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Expense</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Arial" w:cs="Arial" w:eastAsia="Arial" w:hAnsi="Arial"/>
                <w:sz w:val="14"/>
                <w:szCs w:val="14"/>
                <w:color w:val="auto"/>
              </w:rPr>
              <w:t>Reported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4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Research and development</w:t>
            </w:r>
          </w:p>
        </w:tc>
        <w:tc>
          <w:tcPr>
            <w:tcW w:w="520" w:type="dxa"/>
            <w:vAlign w:val="bottom"/>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61.9</w:t>
            </w: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4.6</w:t>
            </w: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66.5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60" w:type="dxa"/>
            <w:vAlign w:val="bottom"/>
            <w:gridSpan w:val="3"/>
          </w:tcPr>
          <w:p>
            <w:pPr>
              <w:spacing w:after="0" w:line="202" w:lineRule="exact"/>
              <w:rPr>
                <w:sz w:val="20"/>
                <w:szCs w:val="20"/>
                <w:color w:val="auto"/>
              </w:rPr>
            </w:pPr>
            <w:r>
              <w:rPr>
                <w:rFonts w:ascii="Arial" w:cs="Arial" w:eastAsia="Arial" w:hAnsi="Arial"/>
                <w:sz w:val="18"/>
                <w:szCs w:val="18"/>
                <w:color w:val="auto"/>
              </w:rPr>
              <w:t>Contract manufacturing</w:t>
            </w:r>
          </w:p>
        </w:tc>
        <w:tc>
          <w:tcPr>
            <w:tcW w:w="440" w:type="dxa"/>
            <w:vAlign w:val="bottom"/>
          </w:tcPr>
          <w:p>
            <w:pPr>
              <w:spacing w:after="0"/>
              <w:rPr>
                <w:sz w:val="17"/>
                <w:szCs w:val="17"/>
                <w:color w:val="auto"/>
              </w:rPr>
            </w:pPr>
          </w:p>
        </w:tc>
        <w:tc>
          <w:tcPr>
            <w:tcW w:w="1300" w:type="dxa"/>
            <w:vAlign w:val="bottom"/>
            <w:gridSpan w:val="3"/>
          </w:tcPr>
          <w:p>
            <w:pPr>
              <w:jc w:val="right"/>
              <w:ind w:right="620"/>
              <w:spacing w:after="0" w:line="202" w:lineRule="exact"/>
              <w:rPr>
                <w:sz w:val="20"/>
                <w:szCs w:val="20"/>
                <w:color w:val="auto"/>
              </w:rPr>
            </w:pPr>
            <w:r>
              <w:rPr>
                <w:rFonts w:ascii="Arial" w:cs="Arial" w:eastAsia="Arial" w:hAnsi="Arial"/>
                <w:sz w:val="18"/>
                <w:szCs w:val="18"/>
                <w:color w:val="auto"/>
              </w:rPr>
              <w:t>4.5</w:t>
            </w:r>
          </w:p>
        </w:tc>
        <w:tc>
          <w:tcPr>
            <w:tcW w:w="120" w:type="dxa"/>
            <w:vAlign w:val="bottom"/>
          </w:tcPr>
          <w:p>
            <w:pPr>
              <w:spacing w:after="0"/>
              <w:rPr>
                <w:sz w:val="17"/>
                <w:szCs w:val="17"/>
                <w:color w:val="auto"/>
              </w:rPr>
            </w:pPr>
          </w:p>
        </w:tc>
        <w:tc>
          <w:tcPr>
            <w:tcW w:w="10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0.2</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General and administrative</w:t>
            </w:r>
          </w:p>
        </w:tc>
        <w:tc>
          <w:tcPr>
            <w:tcW w:w="44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3.7</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gridSpan w:val="3"/>
          </w:tcPr>
          <w:p>
            <w:pPr>
              <w:ind w:left="200"/>
              <w:spacing w:after="0"/>
              <w:rPr>
                <w:sz w:val="20"/>
                <w:szCs w:val="20"/>
                <w:color w:val="auto"/>
              </w:rPr>
            </w:pPr>
            <w:r>
              <w:rPr>
                <w:rFonts w:ascii="Arial" w:cs="Arial" w:eastAsia="Arial" w:hAnsi="Arial"/>
                <w:sz w:val="18"/>
                <w:szCs w:val="18"/>
                <w:color w:val="auto"/>
              </w:rPr>
              <w:t>Total operating expenses</w:t>
            </w: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74.9</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80" w:type="dxa"/>
            <w:vAlign w:val="bottom"/>
            <w:gridSpan w:val="4"/>
            <w:vMerge w:val="restart"/>
          </w:tcPr>
          <w:p>
            <w:pPr>
              <w:spacing w:after="0"/>
              <w:rPr>
                <w:sz w:val="20"/>
                <w:szCs w:val="20"/>
                <w:color w:val="auto"/>
              </w:rPr>
            </w:pPr>
            <w:r>
              <w:rPr>
                <w:rFonts w:ascii="Arial" w:cs="Arial" w:eastAsia="Arial" w:hAnsi="Arial"/>
                <w:sz w:val="18"/>
                <w:szCs w:val="18"/>
                <w:color w:val="auto"/>
              </w:rPr>
              <w:t>For the six months ended June 30,</w:t>
            </w: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7280" w:type="dxa"/>
            <w:vAlign w:val="bottom"/>
            <w:gridSpan w:val="4"/>
            <w:vMerge w:val="continue"/>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780" w:type="dxa"/>
            <w:vAlign w:val="bottom"/>
            <w:tcBorders>
              <w:top w:val="single" w:sz="8" w:color="auto"/>
            </w:tcBorders>
            <w:gridSpan w:val="2"/>
          </w:tcPr>
          <w:p>
            <w:pPr>
              <w:spacing w:after="0"/>
              <w:rPr>
                <w:sz w:val="20"/>
                <w:szCs w:val="20"/>
                <w:color w:val="auto"/>
              </w:rPr>
            </w:pPr>
            <w:r>
              <w:rPr>
                <w:rFonts w:ascii="Arial" w:cs="Arial" w:eastAsia="Arial" w:hAnsi="Arial"/>
                <w:sz w:val="18"/>
                <w:szCs w:val="18"/>
                <w:i w:val="1"/>
                <w:iCs w:val="1"/>
                <w:color w:val="auto"/>
              </w:rPr>
              <w:t>(in millions)</w:t>
            </w:r>
          </w:p>
        </w:tc>
        <w:tc>
          <w:tcPr>
            <w:tcW w:w="4500" w:type="dxa"/>
            <w:vAlign w:val="bottom"/>
            <w:gridSpan w:val="2"/>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2005</w:t>
            </w:r>
          </w:p>
        </w:tc>
        <w:tc>
          <w:tcPr>
            <w:tcW w:w="3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740" w:type="dxa"/>
            <w:vAlign w:val="bottom"/>
            <w:gridSpan w:val="4"/>
          </w:tcPr>
          <w:p>
            <w:pPr>
              <w:ind w:left="20"/>
              <w:spacing w:after="0" w:line="143" w:lineRule="exact"/>
              <w:rPr>
                <w:sz w:val="20"/>
                <w:szCs w:val="20"/>
                <w:color w:val="auto"/>
              </w:rPr>
            </w:pPr>
            <w:r>
              <w:rPr>
                <w:rFonts w:ascii="Arial" w:cs="Arial" w:eastAsia="Arial" w:hAnsi="Arial"/>
                <w:sz w:val="14"/>
                <w:szCs w:val="14"/>
                <w:color w:val="auto"/>
              </w:rPr>
              <w:t>Expenses before</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40" w:type="dxa"/>
            <w:vAlign w:val="bottom"/>
            <w:gridSpan w:val="4"/>
          </w:tcPr>
          <w:p>
            <w:pPr>
              <w:spacing w:after="0"/>
              <w:rPr>
                <w:sz w:val="20"/>
                <w:szCs w:val="20"/>
                <w:color w:val="auto"/>
              </w:rPr>
            </w:pPr>
            <w:r>
              <w:rPr>
                <w:rFonts w:ascii="Arial" w:cs="Arial" w:eastAsia="Arial" w:hAnsi="Arial"/>
                <w:sz w:val="14"/>
                <w:szCs w:val="14"/>
                <w:color w:val="auto"/>
              </w:rPr>
              <w:t>inclusion of Stock</w:t>
            </w:r>
          </w:p>
        </w:tc>
        <w:tc>
          <w:tcPr>
            <w:tcW w:w="1160" w:type="dxa"/>
            <w:vAlign w:val="bottom"/>
            <w:gridSpan w:val="3"/>
          </w:tcPr>
          <w:p>
            <w:pPr>
              <w:spacing w:after="0"/>
              <w:rPr>
                <w:sz w:val="20"/>
                <w:szCs w:val="20"/>
                <w:color w:val="auto"/>
              </w:rPr>
            </w:pPr>
            <w:r>
              <w:rPr>
                <w:rFonts w:ascii="Arial" w:cs="Arial" w:eastAsia="Arial" w:hAnsi="Arial"/>
                <w:sz w:val="14"/>
                <w:szCs w:val="14"/>
                <w:color w:val="auto"/>
              </w:rPr>
              <w:t>Stock Option</w:t>
            </w:r>
          </w:p>
        </w:tc>
        <w:tc>
          <w:tcPr>
            <w:tcW w:w="1240" w:type="dxa"/>
            <w:vAlign w:val="bottom"/>
            <w:gridSpan w:val="4"/>
          </w:tcPr>
          <w:p>
            <w:pPr>
              <w:ind w:left="300"/>
              <w:spacing w:after="0"/>
              <w:rPr>
                <w:sz w:val="20"/>
                <w:szCs w:val="20"/>
                <w:color w:val="auto"/>
              </w:rPr>
            </w:pPr>
            <w:r>
              <w:rPr>
                <w:rFonts w:ascii="Arial" w:cs="Arial" w:eastAsia="Arial" w:hAnsi="Arial"/>
                <w:sz w:val="14"/>
                <w:szCs w:val="14"/>
                <w:color w:val="auto"/>
              </w:rPr>
              <w:t>Expenses as</w:t>
            </w:r>
          </w:p>
        </w:tc>
        <w:tc>
          <w:tcPr>
            <w:tcW w:w="0" w:type="dxa"/>
            <w:vAlign w:val="bottom"/>
          </w:tcPr>
          <w:p>
            <w:pPr>
              <w:spacing w:after="0"/>
              <w:rPr>
                <w:sz w:val="1"/>
                <w:szCs w:val="1"/>
                <w:color w:val="auto"/>
              </w:rPr>
            </w:pPr>
          </w:p>
        </w:tc>
      </w:tr>
      <w:tr>
        <w:trPr>
          <w:trHeight w:val="175"/>
        </w:trPr>
        <w:tc>
          <w:tcPr>
            <w:tcW w:w="7280" w:type="dxa"/>
            <w:vAlign w:val="bottom"/>
            <w:gridSpan w:val="4"/>
          </w:tcPr>
          <w:p>
            <w:pPr>
              <w:spacing w:after="0"/>
              <w:rPr>
                <w:sz w:val="20"/>
                <w:szCs w:val="20"/>
                <w:color w:val="auto"/>
              </w:rPr>
            </w:pPr>
            <w:r>
              <w:rPr>
                <w:rFonts w:ascii="Arial" w:cs="Arial" w:eastAsia="Arial" w:hAnsi="Arial"/>
                <w:sz w:val="14"/>
                <w:szCs w:val="14"/>
                <w:color w:val="auto"/>
              </w:rPr>
              <w:t>Expenses</w:t>
            </w:r>
          </w:p>
        </w:tc>
        <w:tc>
          <w:tcPr>
            <w:tcW w:w="1740" w:type="dxa"/>
            <w:vAlign w:val="bottom"/>
            <w:gridSpan w:val="4"/>
          </w:tcPr>
          <w:p>
            <w:pPr>
              <w:ind w:left="40"/>
              <w:spacing w:after="0"/>
              <w:rPr>
                <w:sz w:val="20"/>
                <w:szCs w:val="20"/>
                <w:color w:val="auto"/>
              </w:rPr>
            </w:pPr>
            <w:r>
              <w:rPr>
                <w:rFonts w:ascii="Arial" w:cs="Arial" w:eastAsia="Arial" w:hAnsi="Arial"/>
                <w:sz w:val="14"/>
                <w:szCs w:val="14"/>
                <w:color w:val="auto"/>
              </w:rPr>
              <w:t>Option Expense</w:t>
            </w:r>
          </w:p>
        </w:tc>
        <w:tc>
          <w:tcPr>
            <w:tcW w:w="120" w:type="dxa"/>
            <w:vAlign w:val="bottom"/>
          </w:tcPr>
          <w:p>
            <w:pPr>
              <w:spacing w:after="0"/>
              <w:rPr>
                <w:sz w:val="15"/>
                <w:szCs w:val="15"/>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Expense</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Arial" w:cs="Arial" w:eastAsia="Arial" w:hAnsi="Arial"/>
                <w:sz w:val="14"/>
                <w:szCs w:val="14"/>
                <w:color w:val="auto"/>
              </w:rPr>
              <w:t>Reported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4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Research and development</w:t>
            </w:r>
          </w:p>
        </w:tc>
        <w:tc>
          <w:tcPr>
            <w:tcW w:w="520" w:type="dxa"/>
            <w:vAlign w:val="bottom"/>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69.8</w:t>
            </w: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6.7</w:t>
            </w: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76.5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60" w:type="dxa"/>
            <w:vAlign w:val="bottom"/>
            <w:gridSpan w:val="3"/>
          </w:tcPr>
          <w:p>
            <w:pPr>
              <w:spacing w:after="0" w:line="202" w:lineRule="exact"/>
              <w:rPr>
                <w:sz w:val="20"/>
                <w:szCs w:val="20"/>
                <w:color w:val="auto"/>
              </w:rPr>
            </w:pPr>
            <w:r>
              <w:rPr>
                <w:rFonts w:ascii="Arial" w:cs="Arial" w:eastAsia="Arial" w:hAnsi="Arial"/>
                <w:sz w:val="18"/>
                <w:szCs w:val="18"/>
                <w:color w:val="auto"/>
              </w:rPr>
              <w:t>Contract manufacturing</w:t>
            </w:r>
          </w:p>
        </w:tc>
        <w:tc>
          <w:tcPr>
            <w:tcW w:w="440" w:type="dxa"/>
            <w:vAlign w:val="bottom"/>
          </w:tcPr>
          <w:p>
            <w:pPr>
              <w:spacing w:after="0"/>
              <w:rPr>
                <w:sz w:val="17"/>
                <w:szCs w:val="17"/>
                <w:color w:val="auto"/>
              </w:rPr>
            </w:pPr>
          </w:p>
        </w:tc>
        <w:tc>
          <w:tcPr>
            <w:tcW w:w="1300" w:type="dxa"/>
            <w:vAlign w:val="bottom"/>
            <w:gridSpan w:val="3"/>
          </w:tcPr>
          <w:p>
            <w:pPr>
              <w:jc w:val="right"/>
              <w:ind w:right="620"/>
              <w:spacing w:after="0" w:line="202" w:lineRule="exact"/>
              <w:rPr>
                <w:sz w:val="20"/>
                <w:szCs w:val="20"/>
                <w:color w:val="auto"/>
              </w:rPr>
            </w:pPr>
            <w:r>
              <w:rPr>
                <w:rFonts w:ascii="Arial" w:cs="Arial" w:eastAsia="Arial" w:hAnsi="Arial"/>
                <w:sz w:val="18"/>
                <w:szCs w:val="18"/>
                <w:color w:val="auto"/>
              </w:rPr>
              <w:t>4.1</w:t>
            </w:r>
          </w:p>
        </w:tc>
        <w:tc>
          <w:tcPr>
            <w:tcW w:w="120" w:type="dxa"/>
            <w:vAlign w:val="bottom"/>
          </w:tcPr>
          <w:p>
            <w:pPr>
              <w:spacing w:after="0"/>
              <w:rPr>
                <w:sz w:val="17"/>
                <w:szCs w:val="17"/>
                <w:color w:val="auto"/>
              </w:rPr>
            </w:pPr>
          </w:p>
        </w:tc>
        <w:tc>
          <w:tcPr>
            <w:tcW w:w="10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0.1</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General and administrative</w:t>
            </w:r>
          </w:p>
        </w:tc>
        <w:tc>
          <w:tcPr>
            <w:tcW w:w="44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3.9</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gridSpan w:val="3"/>
          </w:tcPr>
          <w:p>
            <w:pPr>
              <w:ind w:left="200"/>
              <w:spacing w:after="0"/>
              <w:rPr>
                <w:sz w:val="20"/>
                <w:szCs w:val="20"/>
                <w:color w:val="auto"/>
              </w:rPr>
            </w:pPr>
            <w:r>
              <w:rPr>
                <w:rFonts w:ascii="Arial" w:cs="Arial" w:eastAsia="Arial" w:hAnsi="Arial"/>
                <w:sz w:val="18"/>
                <w:szCs w:val="18"/>
                <w:color w:val="auto"/>
              </w:rPr>
              <w:t>Total operating expenses</w:t>
            </w: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82.4</w:t>
            </w:r>
          </w:p>
        </w:tc>
        <w:tc>
          <w:tcPr>
            <w:tcW w:w="20" w:type="dxa"/>
            <w:vAlign w:val="bottom"/>
            <w:tcBorders>
              <w:bottom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right="160"/>
        <w:spacing w:after="0" w:line="248" w:lineRule="auto"/>
        <w:rPr>
          <w:sz w:val="20"/>
          <w:szCs w:val="20"/>
          <w:color w:val="auto"/>
        </w:rPr>
      </w:pPr>
      <w:r>
        <w:rPr>
          <w:rFonts w:ascii="Arial" w:cs="Arial" w:eastAsia="Arial" w:hAnsi="Arial"/>
          <w:sz w:val="18"/>
          <w:szCs w:val="18"/>
          <w:color w:val="auto"/>
        </w:rPr>
        <w:t>Research and development (R&amp;D) expenses decreased to $34.4 million in the second quarter of 2006 from $40.6 million in the comparable quarter of 2005, and to $66.5 million in the first six months of 2006 from $76.5 million in the same period of 2005. In addition to the impact of lower Company headcount, as described above, in the first half of 2006, the Company incurred lower development expenses for the IL-1 Trap and other clinical development programs, which were partly offset by higher development expenses for the VEGF Trap.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369570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12" w:name="page13"/>
    <w:bookmarkEnd w:id="12"/>
    <w:p>
      <w:pPr>
        <w:spacing w:after="0" w:line="241" w:lineRule="auto"/>
        <w:rPr>
          <w:sz w:val="20"/>
          <w:szCs w:val="20"/>
          <w:color w:val="auto"/>
        </w:rPr>
      </w:pPr>
      <w:r>
        <w:rPr>
          <w:rFonts w:ascii="Arial" w:cs="Arial" w:eastAsia="Arial" w:hAnsi="Arial"/>
          <w:sz w:val="18"/>
          <w:szCs w:val="18"/>
          <w:color w:val="auto"/>
        </w:rPr>
        <w:t xml:space="preserve">Effective January 1, 2005, the Company adopted the fair value based method of accounting for stock-based employee compensation under the provisions of SFAS 123, </w:t>
      </w:r>
      <w:r>
        <w:rPr>
          <w:rFonts w:ascii="Arial" w:cs="Arial" w:eastAsia="Arial" w:hAnsi="Arial"/>
          <w:sz w:val="18"/>
          <w:szCs w:val="18"/>
          <w:i w:val="1"/>
          <w:iCs w:val="1"/>
          <w:color w:val="auto"/>
        </w:rPr>
        <w:t>Accounting for Stock-Based Compensation</w:t>
      </w:r>
      <w:r>
        <w:rPr>
          <w:rFonts w:ascii="Arial" w:cs="Arial" w:eastAsia="Arial" w:hAnsi="Arial"/>
          <w:sz w:val="18"/>
          <w:szCs w:val="18"/>
          <w:color w:val="auto"/>
        </w:rPr>
        <w:t xml:space="preserve">, using the modified prospective method described in SFAS 148, </w:t>
      </w:r>
      <w:r>
        <w:rPr>
          <w:rFonts w:ascii="Arial" w:cs="Arial" w:eastAsia="Arial" w:hAnsi="Arial"/>
          <w:sz w:val="18"/>
          <w:szCs w:val="18"/>
          <w:i w:val="1"/>
          <w:iCs w:val="1"/>
          <w:color w:val="auto"/>
        </w:rPr>
        <w:t>Accounting for Stock-Based Compensation — Transition and Disclosure</w:t>
      </w:r>
      <w:r>
        <w:rPr>
          <w:rFonts w:ascii="Arial" w:cs="Arial" w:eastAsia="Arial" w:hAnsi="Arial"/>
          <w:sz w:val="18"/>
          <w:szCs w:val="18"/>
          <w:color w:val="auto"/>
        </w:rPr>
        <w:t>. As a result, in 2005, the Company recognized compensation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in an amount equal to the fair market value of share-based payments (including stock option awards) on their date of grant over the vesting period of the awards using the multiple-option approach. Under the modified prospective method, compensation expense for the Company is recognized for (a) all share-based payments granted on or after January 1, 2005 and (b) all awards granted to employees prior to January 1, 2005 that were unvested on that date.</w:t>
      </w:r>
    </w:p>
    <w:p>
      <w:pPr>
        <w:spacing w:after="0" w:line="71" w:lineRule="exact"/>
        <w:rPr>
          <w:sz w:val="20"/>
          <w:szCs w:val="20"/>
          <w:color w:val="auto"/>
        </w:rPr>
      </w:pPr>
    </w:p>
    <w:p>
      <w:pPr>
        <w:ind w:right="20"/>
        <w:spacing w:after="0"/>
        <w:rPr>
          <w:sz w:val="20"/>
          <w:szCs w:val="20"/>
          <w:color w:val="auto"/>
        </w:rPr>
      </w:pPr>
      <w:r>
        <w:rPr>
          <w:rFonts w:ascii="Arial" w:cs="Arial" w:eastAsia="Arial" w:hAnsi="Arial"/>
          <w:sz w:val="18"/>
          <w:szCs w:val="18"/>
          <w:color w:val="auto"/>
        </w:rPr>
        <w:t xml:space="preserve">Effective January 1, 2006, the Company adopted the provisions of SFAS 123R, </w:t>
      </w:r>
      <w:r>
        <w:rPr>
          <w:rFonts w:ascii="Arial" w:cs="Arial" w:eastAsia="Arial" w:hAnsi="Arial"/>
          <w:sz w:val="18"/>
          <w:szCs w:val="18"/>
          <w:i w:val="1"/>
          <w:iCs w:val="1"/>
          <w:color w:val="auto"/>
        </w:rPr>
        <w:t>Share-Based Payment</w:t>
      </w:r>
      <w:r>
        <w:rPr>
          <w:rFonts w:ascii="Arial" w:cs="Arial" w:eastAsia="Arial" w:hAnsi="Arial"/>
          <w:sz w:val="18"/>
          <w:szCs w:val="18"/>
          <w:color w:val="auto"/>
        </w:rPr>
        <w:t>, which is a revision of SFAS 123. SFAS 123R requires companies to estimate the number of awards that are expected to be forfeited at the time of grant and to revise this estimate, if necessary, in subsequent periods if actual forfeitures differ from those estimates. Prior to the adoption of SFAS 123R, the Company recognized the effect of forfeitures in stock-based compensation cost in the period when they occurred, in accordance with SFAS 123. Upon adoption of SFAS 123R effective January 1, 2006, the Company was required to record a cumulative effect adjustment to reflect the effect of estimated forfeitures related to outstanding awards that are not expected to vest as of the SFAS 123R adoption date. This adjustment reduced the Company’s loss by $0.8 million and is included in the Company’s operating results for the first six months of 2006 as a cumulative-effect adjustment of a change in accounting principle.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Regeneron Pharmaceuticals</w:t>
      </w:r>
    </w:p>
    <w:p>
      <w:pPr>
        <w:spacing w:after="0" w:line="106" w:lineRule="exact"/>
        <w:rPr>
          <w:sz w:val="20"/>
          <w:szCs w:val="20"/>
          <w:color w:val="auto"/>
        </w:rPr>
      </w:pPr>
    </w:p>
    <w:p>
      <w:pPr>
        <w:ind w:right="100"/>
        <w:spacing w:after="0" w:line="276" w:lineRule="auto"/>
        <w:rPr>
          <w:sz w:val="20"/>
          <w:szCs w:val="20"/>
          <w:color w:val="auto"/>
        </w:rPr>
      </w:pPr>
      <w:r>
        <w:rPr>
          <w:rFonts w:ascii="Arial" w:cs="Arial" w:eastAsia="Arial" w:hAnsi="Arial"/>
          <w:sz w:val="18"/>
          <w:szCs w:val="18"/>
          <w:color w:val="auto"/>
        </w:rPr>
        <w:t>Regeneron is a biopharmaceutical company that discovers, develops, and intends to commercialize therapeutic medicines for the treatment of serious medical conditions. Regeneron has therapeutic candidates in clinical trials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353060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27" w:right="25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the potential treatment of cancer, eye diseases, and inflammatory diseases, and has preclinical programs in other diseases and disorders.</w:t>
      </w:r>
    </w:p>
    <w:p>
      <w:pPr>
        <w:spacing w:after="0" w:line="106"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i w:val="1"/>
          <w:iCs w:val="1"/>
          <w:color w:val="auto"/>
        </w:rPr>
        <w:t>This news release discusses historical information and includes forward-looking statements about Regeneron and its products, programs, finances, and business, all of which involve a number of risks and uncertainties, such as risks associated with preclinical and clinical development of our drug candidates, determinations by regulatory and administrative governmental authorities which may delay or restrict our ability to continue to develop or commercialize our drug candidates, competing drugs that are superior to our product candidates, unanticipated expenses, the availability and cost of capital, the costs of developing, producing, and selling products, the potential for any collaboration agreement, including our agreement with the sanofi-aventis Group, to be canceled or to terminate without any product success, risks associated with third party intellectual property, and other material risks. A more complete description of these and other material risks can be found in Regeneron’s filings with the United States Securities and Exchange Commission (SEC), including its Form 10-K for the year ended December 31, 2005 and</w:t>
      </w:r>
    </w:p>
    <w:p>
      <w:pPr>
        <w:spacing w:after="0" w:line="4" w:lineRule="exact"/>
        <w:rPr>
          <w:sz w:val="20"/>
          <w:szCs w:val="20"/>
          <w:color w:val="auto"/>
        </w:rPr>
      </w:pPr>
    </w:p>
    <w:p>
      <w:pPr>
        <w:ind w:right="700"/>
        <w:spacing w:after="0" w:line="251" w:lineRule="auto"/>
        <w:rPr>
          <w:sz w:val="20"/>
          <w:szCs w:val="20"/>
          <w:color w:val="auto"/>
        </w:rPr>
      </w:pPr>
      <w:r>
        <w:rPr>
          <w:rFonts w:ascii="Arial" w:cs="Arial" w:eastAsia="Arial" w:hAnsi="Arial"/>
          <w:sz w:val="18"/>
          <w:szCs w:val="18"/>
          <w:i w:val="1"/>
          <w:iCs w:val="1"/>
          <w:color w:val="auto"/>
        </w:rPr>
        <w:t>Form 10-Q for the quarter ended March 31, 2006. Regeneron does not undertake any obligation to update publicly any forward-looking statement, whether as a result of new information, future events, or otherwise unless required by law.</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76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2100" w:type="dxa"/>
            <w:vAlign w:val="bottom"/>
          </w:tcPr>
          <w:p>
            <w:pPr>
              <w:ind w:left="400"/>
              <w:spacing w:after="0"/>
              <w:rPr>
                <w:sz w:val="20"/>
                <w:szCs w:val="20"/>
                <w:color w:val="auto"/>
              </w:rPr>
            </w:pPr>
            <w:r>
              <w:rPr>
                <w:rFonts w:ascii="Arial" w:cs="Arial" w:eastAsia="Arial" w:hAnsi="Arial"/>
                <w:sz w:val="18"/>
                <w:szCs w:val="18"/>
                <w:color w:val="auto"/>
              </w:rPr>
              <w:t>###</w:t>
            </w:r>
          </w:p>
        </w:tc>
        <w:tc>
          <w:tcPr>
            <w:tcW w:w="4160" w:type="dxa"/>
            <w:vAlign w:val="bottom"/>
          </w:tcPr>
          <w:p>
            <w:pPr>
              <w:spacing w:after="0"/>
              <w:rPr>
                <w:sz w:val="21"/>
                <w:szCs w:val="21"/>
                <w:color w:val="auto"/>
              </w:rPr>
            </w:pPr>
          </w:p>
        </w:tc>
      </w:tr>
      <w:tr>
        <w:trPr>
          <w:trHeight w:val="365"/>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Contacts:</w:t>
            </w:r>
          </w:p>
        </w:tc>
        <w:tc>
          <w:tcPr>
            <w:tcW w:w="2100" w:type="dxa"/>
            <w:vAlign w:val="bottom"/>
          </w:tcPr>
          <w:p>
            <w:pPr>
              <w:spacing w:after="0"/>
              <w:rPr>
                <w:sz w:val="24"/>
                <w:szCs w:val="24"/>
                <w:color w:val="auto"/>
              </w:rPr>
            </w:pPr>
          </w:p>
        </w:tc>
        <w:tc>
          <w:tcPr>
            <w:tcW w:w="4160" w:type="dxa"/>
            <w:vAlign w:val="bottom"/>
          </w:tcPr>
          <w:p>
            <w:pPr>
              <w:spacing w:after="0"/>
              <w:rPr>
                <w:sz w:val="24"/>
                <w:szCs w:val="24"/>
                <w:color w:val="auto"/>
              </w:rPr>
            </w:pPr>
          </w:p>
        </w:tc>
      </w:tr>
      <w:tr>
        <w:trPr>
          <w:trHeight w:val="203"/>
        </w:trPr>
        <w:tc>
          <w:tcPr>
            <w:tcW w:w="5160" w:type="dxa"/>
            <w:vAlign w:val="bottom"/>
            <w:gridSpan w:val="2"/>
          </w:tcPr>
          <w:p>
            <w:pPr>
              <w:spacing w:after="0" w:line="202" w:lineRule="exact"/>
              <w:rPr>
                <w:sz w:val="20"/>
                <w:szCs w:val="20"/>
                <w:color w:val="auto"/>
              </w:rPr>
            </w:pPr>
            <w:r>
              <w:rPr>
                <w:rFonts w:ascii="Arial" w:cs="Arial" w:eastAsia="Arial" w:hAnsi="Arial"/>
                <w:sz w:val="18"/>
                <w:szCs w:val="18"/>
                <w:color w:val="auto"/>
              </w:rPr>
              <w:t>Investors:</w:t>
            </w:r>
          </w:p>
        </w:tc>
        <w:tc>
          <w:tcPr>
            <w:tcW w:w="6260" w:type="dxa"/>
            <w:vAlign w:val="bottom"/>
            <w:gridSpan w:val="2"/>
          </w:tcPr>
          <w:p>
            <w:pPr>
              <w:spacing w:after="0" w:line="202" w:lineRule="exact"/>
              <w:rPr>
                <w:sz w:val="20"/>
                <w:szCs w:val="20"/>
                <w:color w:val="auto"/>
              </w:rPr>
            </w:pPr>
            <w:r>
              <w:rPr>
                <w:rFonts w:ascii="Arial" w:cs="Arial" w:eastAsia="Arial" w:hAnsi="Arial"/>
                <w:sz w:val="18"/>
                <w:szCs w:val="18"/>
                <w:color w:val="auto"/>
              </w:rPr>
              <w:t>Media:</w:t>
            </w:r>
          </w:p>
        </w:tc>
      </w:tr>
      <w:tr>
        <w:trPr>
          <w:trHeight w:val="203"/>
        </w:trPr>
        <w:tc>
          <w:tcPr>
            <w:tcW w:w="5160" w:type="dxa"/>
            <w:vAlign w:val="bottom"/>
            <w:gridSpan w:val="2"/>
          </w:tcPr>
          <w:p>
            <w:pPr>
              <w:spacing w:after="0" w:line="202" w:lineRule="exact"/>
              <w:rPr>
                <w:sz w:val="20"/>
                <w:szCs w:val="20"/>
                <w:color w:val="auto"/>
              </w:rPr>
            </w:pPr>
            <w:r>
              <w:rPr>
                <w:rFonts w:ascii="Arial" w:cs="Arial" w:eastAsia="Arial" w:hAnsi="Arial"/>
                <w:sz w:val="18"/>
                <w:szCs w:val="18"/>
                <w:color w:val="auto"/>
              </w:rPr>
              <w:t>Charles Poole</w:t>
            </w:r>
          </w:p>
        </w:tc>
        <w:tc>
          <w:tcPr>
            <w:tcW w:w="6260" w:type="dxa"/>
            <w:vAlign w:val="bottom"/>
            <w:gridSpan w:val="2"/>
          </w:tcPr>
          <w:p>
            <w:pPr>
              <w:spacing w:after="0" w:line="202" w:lineRule="exact"/>
              <w:rPr>
                <w:sz w:val="20"/>
                <w:szCs w:val="20"/>
                <w:color w:val="auto"/>
              </w:rPr>
            </w:pPr>
            <w:r>
              <w:rPr>
                <w:rFonts w:ascii="Arial" w:cs="Arial" w:eastAsia="Arial" w:hAnsi="Arial"/>
                <w:sz w:val="18"/>
                <w:szCs w:val="18"/>
                <w:color w:val="auto"/>
              </w:rPr>
              <w:t>Lauren Tortorete</w:t>
            </w:r>
          </w:p>
        </w:tc>
      </w:tr>
      <w:tr>
        <w:trPr>
          <w:trHeight w:val="203"/>
        </w:trPr>
        <w:tc>
          <w:tcPr>
            <w:tcW w:w="2760" w:type="dxa"/>
            <w:vAlign w:val="bottom"/>
          </w:tcPr>
          <w:p>
            <w:pPr>
              <w:spacing w:after="0" w:line="202" w:lineRule="exact"/>
              <w:rPr>
                <w:sz w:val="20"/>
                <w:szCs w:val="20"/>
                <w:color w:val="auto"/>
              </w:rPr>
            </w:pPr>
            <w:r>
              <w:rPr>
                <w:rFonts w:ascii="Arial" w:cs="Arial" w:eastAsia="Arial" w:hAnsi="Arial"/>
                <w:sz w:val="18"/>
                <w:szCs w:val="18"/>
                <w:color w:val="auto"/>
              </w:rPr>
              <w:t>914.345.7640</w:t>
            </w:r>
          </w:p>
        </w:tc>
        <w:tc>
          <w:tcPr>
            <w:tcW w:w="2400" w:type="dxa"/>
            <w:vAlign w:val="bottom"/>
          </w:tcPr>
          <w:p>
            <w:pPr>
              <w:spacing w:after="0"/>
              <w:rPr>
                <w:sz w:val="17"/>
                <w:szCs w:val="17"/>
                <w:color w:val="auto"/>
              </w:rPr>
            </w:pPr>
          </w:p>
        </w:tc>
        <w:tc>
          <w:tcPr>
            <w:tcW w:w="2100" w:type="dxa"/>
            <w:vAlign w:val="bottom"/>
          </w:tcPr>
          <w:p>
            <w:pPr>
              <w:spacing w:after="0" w:line="202" w:lineRule="exact"/>
              <w:rPr>
                <w:sz w:val="20"/>
                <w:szCs w:val="20"/>
                <w:color w:val="auto"/>
              </w:rPr>
            </w:pPr>
            <w:r>
              <w:rPr>
                <w:rFonts w:ascii="Arial" w:cs="Arial" w:eastAsia="Arial" w:hAnsi="Arial"/>
                <w:sz w:val="18"/>
                <w:szCs w:val="18"/>
                <w:color w:val="auto"/>
              </w:rPr>
              <w:t>212.845.5609</w:t>
            </w:r>
          </w:p>
        </w:tc>
        <w:tc>
          <w:tcPr>
            <w:tcW w:w="4160" w:type="dxa"/>
            <w:vAlign w:val="bottom"/>
          </w:tcPr>
          <w:p>
            <w:pPr>
              <w:spacing w:after="0"/>
              <w:rPr>
                <w:sz w:val="17"/>
                <w:szCs w:val="17"/>
                <w:color w:val="auto"/>
              </w:rPr>
            </w:pPr>
          </w:p>
        </w:tc>
      </w:tr>
      <w:tr>
        <w:trPr>
          <w:trHeight w:val="198"/>
        </w:trPr>
        <w:tc>
          <w:tcPr>
            <w:tcW w:w="5160" w:type="dxa"/>
            <w:vAlign w:val="bottom"/>
            <w:gridSpan w:val="2"/>
          </w:tcPr>
          <w:p>
            <w:pPr>
              <w:spacing w:after="0" w:line="199" w:lineRule="exact"/>
              <w:rPr>
                <w:sz w:val="20"/>
                <w:szCs w:val="20"/>
                <w:color w:val="auto"/>
              </w:rPr>
            </w:pPr>
            <w:r>
              <w:rPr>
                <w:rFonts w:ascii="Arial" w:cs="Arial" w:eastAsia="Arial" w:hAnsi="Arial"/>
                <w:sz w:val="18"/>
                <w:szCs w:val="18"/>
                <w:color w:val="auto"/>
              </w:rPr>
              <w:t>Investor.relations@regeneron.com</w:t>
            </w:r>
          </w:p>
        </w:tc>
        <w:tc>
          <w:tcPr>
            <w:tcW w:w="6260" w:type="dxa"/>
            <w:vAlign w:val="bottom"/>
            <w:gridSpan w:val="2"/>
          </w:tcPr>
          <w:p>
            <w:pPr>
              <w:spacing w:after="0" w:line="199" w:lineRule="exact"/>
              <w:rPr>
                <w:sz w:val="20"/>
                <w:szCs w:val="20"/>
                <w:color w:val="auto"/>
              </w:rPr>
            </w:pPr>
            <w:r>
              <w:rPr>
                <w:rFonts w:ascii="Arial" w:cs="Arial" w:eastAsia="Arial" w:hAnsi="Arial"/>
                <w:sz w:val="18"/>
                <w:szCs w:val="18"/>
                <w:color w:val="auto"/>
              </w:rPr>
              <w:t>ltortorete@biosector2.com</w:t>
            </w:r>
          </w:p>
        </w:tc>
      </w:tr>
      <w:tr>
        <w:trPr>
          <w:trHeight w:val="625"/>
        </w:trPr>
        <w:tc>
          <w:tcPr>
            <w:tcW w:w="2760" w:type="dxa"/>
            <w:vAlign w:val="bottom"/>
            <w:tcBorders>
              <w:top w:val="single" w:sz="8" w:color="auto"/>
              <w:bottom w:val="single" w:sz="8" w:color="808080"/>
            </w:tcBorders>
          </w:tcPr>
          <w:p>
            <w:pPr>
              <w:spacing w:after="0"/>
              <w:rPr>
                <w:sz w:val="24"/>
                <w:szCs w:val="24"/>
                <w:color w:val="auto"/>
              </w:rPr>
            </w:pPr>
          </w:p>
        </w:tc>
        <w:tc>
          <w:tcPr>
            <w:tcW w:w="2400" w:type="dxa"/>
            <w:vAlign w:val="bottom"/>
            <w:tcBorders>
              <w:bottom w:val="single" w:sz="8" w:color="808080"/>
            </w:tcBorders>
          </w:tcPr>
          <w:p>
            <w:pPr>
              <w:spacing w:after="0"/>
              <w:rPr>
                <w:sz w:val="24"/>
                <w:szCs w:val="24"/>
                <w:color w:val="auto"/>
              </w:rPr>
            </w:pPr>
          </w:p>
        </w:tc>
        <w:tc>
          <w:tcPr>
            <w:tcW w:w="2100" w:type="dxa"/>
            <w:vAlign w:val="bottom"/>
            <w:tcBorders>
              <w:top w:val="single" w:sz="8" w:color="auto"/>
              <w:bottom w:val="single" w:sz="8" w:color="808080"/>
            </w:tcBorders>
          </w:tcPr>
          <w:p>
            <w:pPr>
              <w:spacing w:after="0"/>
              <w:rPr>
                <w:sz w:val="24"/>
                <w:szCs w:val="24"/>
                <w:color w:val="auto"/>
              </w:rPr>
            </w:pPr>
          </w:p>
        </w:tc>
        <w:tc>
          <w:tcPr>
            <w:tcW w:w="41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 (Unaudited)</w:t>
      </w: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940" w:type="dxa"/>
            <w:vAlign w:val="bottom"/>
          </w:tcPr>
          <w:p>
            <w:pPr>
              <w:spacing w:after="0"/>
              <w:rPr>
                <w:sz w:val="14"/>
                <w:szCs w:val="14"/>
                <w:color w:val="auto"/>
              </w:rPr>
            </w:pPr>
          </w:p>
        </w:tc>
        <w:tc>
          <w:tcPr>
            <w:tcW w:w="1100" w:type="dxa"/>
            <w:vAlign w:val="bottom"/>
            <w:gridSpan w:val="3"/>
          </w:tcPr>
          <w:p>
            <w:pPr>
              <w:ind w:left="100"/>
              <w:spacing w:after="0"/>
              <w:rPr>
                <w:sz w:val="20"/>
                <w:szCs w:val="20"/>
                <w:color w:val="auto"/>
              </w:rPr>
            </w:pPr>
            <w:r>
              <w:rPr>
                <w:rFonts w:ascii="Arial" w:cs="Arial" w:eastAsia="Arial" w:hAnsi="Arial"/>
                <w:sz w:val="14"/>
                <w:szCs w:val="14"/>
                <w:b w:val="1"/>
                <w:bCs w:val="1"/>
                <w:color w:val="auto"/>
              </w:rPr>
              <w:t>June 30,</w:t>
            </w:r>
          </w:p>
        </w:tc>
        <w:tc>
          <w:tcPr>
            <w:tcW w:w="1380" w:type="dxa"/>
            <w:vAlign w:val="bottom"/>
            <w:gridSpan w:val="4"/>
          </w:tcPr>
          <w:p>
            <w:pPr>
              <w:ind w:left="3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7"/>
        </w:trPr>
        <w:tc>
          <w:tcPr>
            <w:tcW w:w="89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2006</w:t>
            </w: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40" w:type="dxa"/>
            <w:vAlign w:val="bottom"/>
          </w:tcPr>
          <w:p>
            <w:pPr>
              <w:spacing w:after="0" w:line="202" w:lineRule="exact"/>
              <w:rPr>
                <w:sz w:val="20"/>
                <w:szCs w:val="20"/>
                <w:color w:val="auto"/>
              </w:rPr>
            </w:pPr>
            <w:r>
              <w:rPr>
                <w:rFonts w:ascii="Arial" w:cs="Arial" w:eastAsia="Arial" w:hAnsi="Arial"/>
                <w:sz w:val="18"/>
                <w:szCs w:val="18"/>
                <w:color w:val="auto"/>
              </w:rPr>
              <w:t>Cash and marketable securities</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w w:val="98"/>
              </w:rPr>
              <w:t>304,083</w:t>
            </w:r>
          </w:p>
        </w:tc>
        <w:tc>
          <w:tcPr>
            <w:tcW w:w="54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316,654</w:t>
            </w:r>
          </w:p>
        </w:tc>
        <w:tc>
          <w:tcPr>
            <w:tcW w:w="0" w:type="dxa"/>
            <w:vAlign w:val="bottom"/>
          </w:tcPr>
          <w:p>
            <w:pPr>
              <w:spacing w:after="0"/>
              <w:rPr>
                <w:sz w:val="1"/>
                <w:szCs w:val="1"/>
                <w:color w:val="auto"/>
              </w:rPr>
            </w:pPr>
          </w:p>
        </w:tc>
      </w:tr>
      <w:tr>
        <w:trPr>
          <w:trHeight w:val="203"/>
        </w:trPr>
        <w:tc>
          <w:tcPr>
            <w:tcW w:w="8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Receivables</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12,141</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36,521</w:t>
            </w:r>
          </w:p>
        </w:tc>
        <w:tc>
          <w:tcPr>
            <w:tcW w:w="0" w:type="dxa"/>
            <w:vAlign w:val="bottom"/>
          </w:tcPr>
          <w:p>
            <w:pPr>
              <w:spacing w:after="0"/>
              <w:rPr>
                <w:sz w:val="1"/>
                <w:szCs w:val="1"/>
                <w:color w:val="auto"/>
              </w:rPr>
            </w:pPr>
          </w:p>
        </w:tc>
      </w:tr>
      <w:tr>
        <w:trPr>
          <w:trHeight w:val="203"/>
        </w:trPr>
        <w:tc>
          <w:tcPr>
            <w:tcW w:w="8940" w:type="dxa"/>
            <w:vAlign w:val="bottom"/>
          </w:tcPr>
          <w:p>
            <w:pPr>
              <w:spacing w:after="0" w:line="202" w:lineRule="exact"/>
              <w:rPr>
                <w:sz w:val="20"/>
                <w:szCs w:val="20"/>
                <w:color w:val="auto"/>
              </w:rPr>
            </w:pPr>
            <w:r>
              <w:rPr>
                <w:rFonts w:ascii="Arial" w:cs="Arial" w:eastAsia="Arial" w:hAnsi="Arial"/>
                <w:sz w:val="18"/>
                <w:szCs w:val="18"/>
                <w:color w:val="auto"/>
              </w:rPr>
              <w:t>Inventory</w:t>
            </w:r>
          </w:p>
        </w:tc>
        <w:tc>
          <w:tcPr>
            <w:tcW w:w="120" w:type="dxa"/>
            <w:vAlign w:val="bottom"/>
          </w:tcPr>
          <w:p>
            <w:pPr>
              <w:spacing w:after="0"/>
              <w:rPr>
                <w:sz w:val="17"/>
                <w:szCs w:val="17"/>
                <w:color w:val="auto"/>
              </w:rPr>
            </w:pPr>
          </w:p>
        </w:tc>
        <w:tc>
          <w:tcPr>
            <w:tcW w:w="9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2,128</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2,904</w:t>
            </w:r>
          </w:p>
        </w:tc>
        <w:tc>
          <w:tcPr>
            <w:tcW w:w="0" w:type="dxa"/>
            <w:vAlign w:val="bottom"/>
          </w:tcPr>
          <w:p>
            <w:pPr>
              <w:spacing w:after="0"/>
              <w:rPr>
                <w:sz w:val="1"/>
                <w:szCs w:val="1"/>
                <w:color w:val="auto"/>
              </w:rPr>
            </w:pPr>
          </w:p>
        </w:tc>
      </w:tr>
      <w:tr>
        <w:trPr>
          <w:trHeight w:val="203"/>
        </w:trPr>
        <w:tc>
          <w:tcPr>
            <w:tcW w:w="8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plant, and equipment, net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53,854</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60,535</w:t>
            </w:r>
          </w:p>
        </w:tc>
        <w:tc>
          <w:tcPr>
            <w:tcW w:w="0" w:type="dxa"/>
            <w:vAlign w:val="bottom"/>
          </w:tcPr>
          <w:p>
            <w:pPr>
              <w:spacing w:after="0"/>
              <w:rPr>
                <w:sz w:val="1"/>
                <w:szCs w:val="1"/>
                <w:color w:val="auto"/>
              </w:rPr>
            </w:pPr>
          </w:p>
        </w:tc>
      </w:tr>
      <w:tr>
        <w:trPr>
          <w:trHeight w:val="203"/>
        </w:trPr>
        <w:tc>
          <w:tcPr>
            <w:tcW w:w="8940" w:type="dxa"/>
            <w:vAlign w:val="bottom"/>
          </w:tcPr>
          <w:p>
            <w:pPr>
              <w:spacing w:after="0" w:line="202" w:lineRule="exact"/>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7"/>
                <w:szCs w:val="17"/>
                <w:color w:val="auto"/>
              </w:rPr>
            </w:pPr>
          </w:p>
        </w:tc>
        <w:tc>
          <w:tcPr>
            <w:tcW w:w="9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6,126</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6,887</w:t>
            </w:r>
          </w:p>
        </w:tc>
        <w:tc>
          <w:tcPr>
            <w:tcW w:w="0" w:type="dxa"/>
            <w:vAlign w:val="bottom"/>
          </w:tcPr>
          <w:p>
            <w:pPr>
              <w:spacing w:after="0"/>
              <w:rPr>
                <w:sz w:val="1"/>
                <w:szCs w:val="1"/>
                <w:color w:val="auto"/>
              </w:rPr>
            </w:pPr>
          </w:p>
        </w:tc>
      </w:tr>
      <w:tr>
        <w:trPr>
          <w:trHeight w:val="210"/>
        </w:trPr>
        <w:tc>
          <w:tcPr>
            <w:tcW w:w="89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9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9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w w:val="98"/>
              </w:rPr>
              <w:t>378,332</w:t>
            </w:r>
          </w:p>
        </w:tc>
        <w:tc>
          <w:tcPr>
            <w:tcW w:w="54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423,501</w:t>
            </w:r>
          </w:p>
        </w:tc>
        <w:tc>
          <w:tcPr>
            <w:tcW w:w="0" w:type="dxa"/>
            <w:vAlign w:val="bottom"/>
          </w:tcPr>
          <w:p>
            <w:pPr>
              <w:spacing w:after="0"/>
              <w:rPr>
                <w:sz w:val="1"/>
                <w:szCs w:val="1"/>
                <w:color w:val="auto"/>
              </w:rPr>
            </w:pPr>
          </w:p>
        </w:tc>
      </w:tr>
      <w:tr>
        <w:trPr>
          <w:trHeight w:val="20"/>
        </w:trPr>
        <w:tc>
          <w:tcPr>
            <w:tcW w:w="8940" w:type="dxa"/>
            <w:vAlign w:val="bottom"/>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9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Accounts payable and accrued expenses</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16,466</w:t>
            </w:r>
          </w:p>
        </w:tc>
        <w:tc>
          <w:tcPr>
            <w:tcW w:w="54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23,337</w:t>
            </w:r>
          </w:p>
        </w:tc>
        <w:tc>
          <w:tcPr>
            <w:tcW w:w="0" w:type="dxa"/>
            <w:vAlign w:val="bottom"/>
          </w:tcPr>
          <w:p>
            <w:pPr>
              <w:spacing w:after="0"/>
              <w:rPr>
                <w:sz w:val="1"/>
                <w:szCs w:val="1"/>
                <w:color w:val="auto"/>
              </w:rPr>
            </w:pPr>
          </w:p>
        </w:tc>
      </w:tr>
      <w:tr>
        <w:trPr>
          <w:trHeight w:val="203"/>
        </w:trPr>
        <w:tc>
          <w:tcPr>
            <w:tcW w:w="8940" w:type="dxa"/>
            <w:vAlign w:val="bottom"/>
          </w:tcPr>
          <w:p>
            <w:pPr>
              <w:spacing w:after="0" w:line="202" w:lineRule="exact"/>
              <w:rPr>
                <w:sz w:val="20"/>
                <w:szCs w:val="20"/>
                <w:color w:val="auto"/>
              </w:rPr>
            </w:pPr>
            <w:r>
              <w:rPr>
                <w:rFonts w:ascii="Arial" w:cs="Arial" w:eastAsia="Arial" w:hAnsi="Arial"/>
                <w:sz w:val="18"/>
                <w:szCs w:val="18"/>
                <w:color w:val="auto"/>
              </w:rPr>
              <w:t>Deferred revenue</w:t>
            </w:r>
          </w:p>
        </w:tc>
        <w:tc>
          <w:tcPr>
            <w:tcW w:w="120" w:type="dxa"/>
            <w:vAlign w:val="bottom"/>
          </w:tcPr>
          <w:p>
            <w:pPr>
              <w:spacing w:after="0"/>
              <w:rPr>
                <w:sz w:val="17"/>
                <w:szCs w:val="17"/>
                <w:color w:val="auto"/>
              </w:rPr>
            </w:pPr>
          </w:p>
        </w:tc>
        <w:tc>
          <w:tcPr>
            <w:tcW w:w="9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78,099</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86,162</w:t>
            </w:r>
          </w:p>
        </w:tc>
        <w:tc>
          <w:tcPr>
            <w:tcW w:w="0" w:type="dxa"/>
            <w:vAlign w:val="bottom"/>
          </w:tcPr>
          <w:p>
            <w:pPr>
              <w:spacing w:after="0"/>
              <w:rPr>
                <w:sz w:val="1"/>
                <w:szCs w:val="1"/>
                <w:color w:val="auto"/>
              </w:rPr>
            </w:pPr>
          </w:p>
        </w:tc>
      </w:tr>
      <w:tr>
        <w:trPr>
          <w:trHeight w:val="203"/>
        </w:trPr>
        <w:tc>
          <w:tcPr>
            <w:tcW w:w="8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Notes payable</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w w:val="98"/>
              </w:rPr>
              <w:t>200,000</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03"/>
        </w:trPr>
        <w:tc>
          <w:tcPr>
            <w:tcW w:w="8940" w:type="dxa"/>
            <w:vAlign w:val="bottom"/>
          </w:tcPr>
          <w:p>
            <w:pPr>
              <w:spacing w:after="0" w:line="202" w:lineRule="exact"/>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7"/>
                <w:szCs w:val="17"/>
                <w:color w:val="auto"/>
              </w:rPr>
            </w:pPr>
          </w:p>
        </w:tc>
        <w:tc>
          <w:tcPr>
            <w:tcW w:w="9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83,767</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114,002</w:t>
            </w:r>
          </w:p>
        </w:tc>
        <w:tc>
          <w:tcPr>
            <w:tcW w:w="0" w:type="dxa"/>
            <w:vAlign w:val="bottom"/>
          </w:tcPr>
          <w:p>
            <w:pPr>
              <w:spacing w:after="0"/>
              <w:rPr>
                <w:sz w:val="1"/>
                <w:szCs w:val="1"/>
                <w:color w:val="auto"/>
              </w:rPr>
            </w:pPr>
          </w:p>
        </w:tc>
      </w:tr>
      <w:tr>
        <w:trPr>
          <w:trHeight w:val="210"/>
        </w:trPr>
        <w:tc>
          <w:tcPr>
            <w:tcW w:w="89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9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Total liabilities and stockholders’ equity</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9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w w:val="98"/>
              </w:rPr>
              <w:t>378,332</w:t>
            </w:r>
          </w:p>
        </w:tc>
        <w:tc>
          <w:tcPr>
            <w:tcW w:w="54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423,501</w:t>
            </w:r>
          </w:p>
        </w:tc>
        <w:tc>
          <w:tcPr>
            <w:tcW w:w="0" w:type="dxa"/>
            <w:vAlign w:val="bottom"/>
          </w:tcPr>
          <w:p>
            <w:pPr>
              <w:spacing w:after="0"/>
              <w:rPr>
                <w:sz w:val="1"/>
                <w:szCs w:val="1"/>
                <w:color w:val="auto"/>
              </w:rPr>
            </w:pPr>
          </w:p>
        </w:tc>
      </w:tr>
      <w:tr>
        <w:trPr>
          <w:trHeight w:val="20"/>
        </w:trPr>
        <w:tc>
          <w:tcPr>
            <w:tcW w:w="8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2"/>
        </w:trPr>
        <w:tc>
          <w:tcPr>
            <w:tcW w:w="89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2"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 (Unaudited)</w:t>
      </w:r>
    </w:p>
    <w:p>
      <w:pPr>
        <w:jc w:val="center"/>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40" w:type="dxa"/>
            <w:vAlign w:val="bottom"/>
            <w:gridSpan w:val="6"/>
          </w:tcPr>
          <w:p>
            <w:pPr>
              <w:jc w:val="center"/>
              <w:ind w:right="820"/>
              <w:spacing w:after="0"/>
              <w:rPr>
                <w:sz w:val="20"/>
                <w:szCs w:val="20"/>
                <w:color w:val="auto"/>
              </w:rPr>
            </w:pPr>
            <w:r>
              <w:rPr>
                <w:rFonts w:ascii="Arial" w:cs="Arial" w:eastAsia="Arial" w:hAnsi="Arial"/>
                <w:sz w:val="14"/>
                <w:szCs w:val="14"/>
                <w:b w:val="1"/>
                <w:bCs w:val="1"/>
                <w:color w:val="auto"/>
              </w:rPr>
              <w:t>For the three months</w:t>
            </w:r>
          </w:p>
        </w:tc>
        <w:tc>
          <w:tcPr>
            <w:tcW w:w="200" w:type="dxa"/>
            <w:vAlign w:val="bottom"/>
          </w:tcPr>
          <w:p>
            <w:pPr>
              <w:spacing w:after="0"/>
              <w:rPr>
                <w:sz w:val="14"/>
                <w:szCs w:val="14"/>
                <w:color w:val="auto"/>
              </w:rPr>
            </w:pPr>
          </w:p>
        </w:tc>
        <w:tc>
          <w:tcPr>
            <w:tcW w:w="22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rPr>
              <w:t>For the six months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4"/>
          </w:tcPr>
          <w:p>
            <w:pPr>
              <w:jc w:val="center"/>
              <w:ind w:left="353"/>
              <w:spacing w:after="0"/>
              <w:rPr>
                <w:sz w:val="20"/>
                <w:szCs w:val="20"/>
                <w:color w:val="auto"/>
              </w:rPr>
            </w:pPr>
            <w:r>
              <w:rPr>
                <w:rFonts w:ascii="Arial" w:cs="Arial" w:eastAsia="Arial" w:hAnsi="Arial"/>
                <w:sz w:val="14"/>
                <w:szCs w:val="14"/>
                <w:b w:val="1"/>
                <w:bCs w:val="1"/>
                <w:color w:val="auto"/>
              </w:rPr>
              <w:t>ended June 30,</w:t>
            </w: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3"/>
          </w:tcPr>
          <w:p>
            <w:pPr>
              <w:jc w:val="center"/>
              <w:ind w:left="353"/>
              <w:spacing w:after="0"/>
              <w:rPr>
                <w:sz w:val="20"/>
                <w:szCs w:val="20"/>
                <w:color w:val="auto"/>
              </w:rPr>
            </w:pPr>
            <w:r>
              <w:rPr>
                <w:rFonts w:ascii="Arial" w:cs="Arial" w:eastAsia="Arial" w:hAnsi="Arial"/>
                <w:sz w:val="14"/>
                <w:szCs w:val="14"/>
                <w:b w:val="1"/>
                <w:bCs w:val="1"/>
                <w:color w:val="auto"/>
              </w:rPr>
              <w:t>ended June 30,</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0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2005</w:t>
            </w:r>
          </w:p>
        </w:tc>
        <w:tc>
          <w:tcPr>
            <w:tcW w:w="6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2006</w:t>
            </w:r>
          </w:p>
        </w:tc>
        <w:tc>
          <w:tcPr>
            <w:tcW w:w="6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40" w:type="dxa"/>
            <w:vAlign w:val="bottom"/>
          </w:tcPr>
          <w:p>
            <w:pPr>
              <w:ind w:left="200"/>
              <w:spacing w:after="0" w:line="202" w:lineRule="exact"/>
              <w:rPr>
                <w:sz w:val="20"/>
                <w:szCs w:val="20"/>
                <w:color w:val="auto"/>
              </w:rPr>
            </w:pPr>
            <w:r>
              <w:rPr>
                <w:rFonts w:ascii="Arial" w:cs="Arial" w:eastAsia="Arial" w:hAnsi="Arial"/>
                <w:sz w:val="18"/>
                <w:szCs w:val="18"/>
                <w:color w:val="auto"/>
              </w:rPr>
              <w:t>Contract research and development</w:t>
            </w:r>
          </w:p>
        </w:tc>
        <w:tc>
          <w:tcPr>
            <w:tcW w:w="20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14,991</w:t>
            </w:r>
          </w:p>
        </w:tc>
        <w:tc>
          <w:tcPr>
            <w:tcW w:w="50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13,545</w:t>
            </w:r>
          </w:p>
        </w:tc>
        <w:tc>
          <w:tcPr>
            <w:tcW w:w="20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29,578</w:t>
            </w:r>
          </w:p>
        </w:tc>
        <w:tc>
          <w:tcPr>
            <w:tcW w:w="20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27,047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Contract manufacturing</w:t>
            </w: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4,267</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2,821</w:t>
            </w:r>
          </w:p>
        </w:tc>
        <w:tc>
          <w:tcPr>
            <w:tcW w:w="2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7,899</w:t>
            </w:r>
          </w:p>
        </w:tc>
        <w:tc>
          <w:tcPr>
            <w:tcW w:w="2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5,528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19,258</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16,366</w:t>
            </w:r>
          </w:p>
        </w:tc>
        <w:tc>
          <w:tcPr>
            <w:tcW w:w="6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37,477</w:t>
            </w:r>
          </w:p>
        </w:tc>
        <w:tc>
          <w:tcPr>
            <w:tcW w:w="6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Expenses</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40" w:type="dxa"/>
            <w:vAlign w:val="bottom"/>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17"/>
                <w:szCs w:val="17"/>
                <w:color w:val="auto"/>
              </w:rPr>
            </w:pPr>
          </w:p>
        </w:tc>
        <w:tc>
          <w:tcPr>
            <w:tcW w:w="9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34,398</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40,642</w:t>
            </w:r>
          </w:p>
        </w:tc>
        <w:tc>
          <w:tcPr>
            <w:tcW w:w="200" w:type="dxa"/>
            <w:vAlign w:val="bottom"/>
          </w:tcPr>
          <w:p>
            <w:pPr>
              <w:spacing w:after="0"/>
              <w:rPr>
                <w:sz w:val="17"/>
                <w:szCs w:val="17"/>
                <w:color w:val="auto"/>
              </w:rPr>
            </w:pPr>
          </w:p>
        </w:tc>
        <w:tc>
          <w:tcPr>
            <w:tcW w:w="128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66,482</w:t>
            </w:r>
          </w:p>
        </w:tc>
        <w:tc>
          <w:tcPr>
            <w:tcW w:w="200" w:type="dxa"/>
            <w:vAlign w:val="bottom"/>
          </w:tcPr>
          <w:p>
            <w:pPr>
              <w:spacing w:after="0"/>
              <w:rPr>
                <w:sz w:val="17"/>
                <w:szCs w:val="17"/>
                <w:color w:val="auto"/>
              </w:rPr>
            </w:pPr>
          </w:p>
        </w:tc>
        <w:tc>
          <w:tcPr>
            <w:tcW w:w="7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76,554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Contract manufacturing</w:t>
            </w: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2,810</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1,675</w:t>
            </w:r>
          </w:p>
        </w:tc>
        <w:tc>
          <w:tcPr>
            <w:tcW w:w="2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4,662</w:t>
            </w:r>
          </w:p>
        </w:tc>
        <w:tc>
          <w:tcPr>
            <w:tcW w:w="2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4,166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40" w:type="dxa"/>
            <w:vAlign w:val="bottom"/>
          </w:tcPr>
          <w:p>
            <w:pPr>
              <w:ind w:left="200"/>
              <w:spacing w:after="0" w:line="202" w:lineRule="exact"/>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6,299</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6,216</w:t>
            </w:r>
          </w:p>
        </w:tc>
        <w:tc>
          <w:tcPr>
            <w:tcW w:w="200" w:type="dxa"/>
            <w:vAlign w:val="bottom"/>
          </w:tcPr>
          <w:p>
            <w:pPr>
              <w:spacing w:after="0"/>
              <w:rPr>
                <w:sz w:val="17"/>
                <w:szCs w:val="17"/>
                <w:color w:val="auto"/>
              </w:rPr>
            </w:pPr>
          </w:p>
        </w:tc>
        <w:tc>
          <w:tcPr>
            <w:tcW w:w="128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12,245</w:t>
            </w:r>
          </w:p>
        </w:tc>
        <w:tc>
          <w:tcPr>
            <w:tcW w:w="200" w:type="dxa"/>
            <w:vAlign w:val="bottom"/>
          </w:tcPr>
          <w:p>
            <w:pPr>
              <w:spacing w:after="0"/>
              <w:rPr>
                <w:sz w:val="17"/>
                <w:szCs w:val="17"/>
                <w:color w:val="auto"/>
              </w:rPr>
            </w:pPr>
          </w:p>
        </w:tc>
        <w:tc>
          <w:tcPr>
            <w:tcW w:w="7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12,362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43,507</w:t>
            </w: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48,533</w:t>
            </w:r>
          </w:p>
        </w:tc>
        <w:tc>
          <w:tcPr>
            <w:tcW w:w="2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83,389</w:t>
            </w:r>
          </w:p>
        </w:tc>
        <w:tc>
          <w:tcPr>
            <w:tcW w:w="2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93,082</w:t>
            </w:r>
          </w:p>
        </w:tc>
        <w:tc>
          <w:tcPr>
            <w:tcW w:w="0" w:type="dxa"/>
            <w:vAlign w:val="bottom"/>
          </w:tcPr>
          <w:p>
            <w:pPr>
              <w:spacing w:after="0"/>
              <w:rPr>
                <w:sz w:val="1"/>
                <w:szCs w:val="1"/>
                <w:color w:val="auto"/>
              </w:rPr>
            </w:pPr>
          </w:p>
        </w:tc>
      </w:tr>
      <w:tr>
        <w:trPr>
          <w:trHeight w:val="20"/>
        </w:trPr>
        <w:tc>
          <w:tcPr>
            <w:tcW w:w="606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6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200" w:type="dxa"/>
            <w:vAlign w:val="bottom"/>
          </w:tcPr>
          <w:p>
            <w:pPr>
              <w:spacing w:after="0"/>
              <w:rPr>
                <w:sz w:val="24"/>
                <w:szCs w:val="24"/>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(24,249)</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w w:val="98"/>
              </w:rPr>
              <w:t>(32,167)</w:t>
            </w:r>
          </w:p>
        </w:tc>
        <w:tc>
          <w:tcPr>
            <w:tcW w:w="200" w:type="dxa"/>
            <w:vAlign w:val="bottom"/>
          </w:tcPr>
          <w:p>
            <w:pPr>
              <w:spacing w:after="0"/>
              <w:rPr>
                <w:sz w:val="24"/>
                <w:szCs w:val="24"/>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(45,912)</w:t>
            </w:r>
          </w:p>
        </w:tc>
        <w:tc>
          <w:tcPr>
            <w:tcW w:w="20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(60,507)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income (expense)</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40" w:type="dxa"/>
            <w:vAlign w:val="bottom"/>
          </w:tcPr>
          <w:p>
            <w:pPr>
              <w:ind w:left="200"/>
              <w:spacing w:after="0" w:line="202" w:lineRule="exact"/>
              <w:rPr>
                <w:sz w:val="20"/>
                <w:szCs w:val="20"/>
                <w:color w:val="auto"/>
              </w:rPr>
            </w:pPr>
            <w:r>
              <w:rPr>
                <w:rFonts w:ascii="Arial" w:cs="Arial" w:eastAsia="Arial" w:hAnsi="Arial"/>
                <w:sz w:val="18"/>
                <w:szCs w:val="18"/>
                <w:color w:val="auto"/>
              </w:rPr>
              <w:t>Other contract income</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5,640</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30,640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Investment income</w:t>
            </w: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3,684</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2,539</w:t>
            </w:r>
          </w:p>
        </w:tc>
        <w:tc>
          <w:tcPr>
            <w:tcW w:w="2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7,165</w:t>
            </w:r>
          </w:p>
        </w:tc>
        <w:tc>
          <w:tcPr>
            <w:tcW w:w="2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4,769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40" w:type="dxa"/>
            <w:vAlign w:val="bottom"/>
          </w:tcPr>
          <w:p>
            <w:pPr>
              <w:ind w:left="200"/>
              <w:spacing w:after="0" w:line="202" w:lineRule="exact"/>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7"/>
                <w:szCs w:val="17"/>
                <w:color w:val="auto"/>
              </w:rPr>
            </w:pPr>
          </w:p>
        </w:tc>
        <w:tc>
          <w:tcPr>
            <w:tcW w:w="9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(3,011)</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(3,011)</w:t>
            </w:r>
          </w:p>
        </w:tc>
        <w:tc>
          <w:tcPr>
            <w:tcW w:w="200" w:type="dxa"/>
            <w:vAlign w:val="bottom"/>
          </w:tcPr>
          <w:p>
            <w:pPr>
              <w:spacing w:after="0"/>
              <w:rPr>
                <w:sz w:val="17"/>
                <w:szCs w:val="17"/>
                <w:color w:val="auto"/>
              </w:rPr>
            </w:pPr>
          </w:p>
        </w:tc>
        <w:tc>
          <w:tcPr>
            <w:tcW w:w="128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(6,022)</w:t>
            </w:r>
          </w:p>
        </w:tc>
        <w:tc>
          <w:tcPr>
            <w:tcW w:w="200" w:type="dxa"/>
            <w:vAlign w:val="bottom"/>
          </w:tcPr>
          <w:p>
            <w:pPr>
              <w:spacing w:after="0"/>
              <w:rPr>
                <w:sz w:val="17"/>
                <w:szCs w:val="17"/>
                <w:color w:val="auto"/>
              </w:rPr>
            </w:pPr>
          </w:p>
        </w:tc>
        <w:tc>
          <w:tcPr>
            <w:tcW w:w="7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(6,024)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673</w:t>
            </w: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5,168</w:t>
            </w:r>
          </w:p>
        </w:tc>
        <w:tc>
          <w:tcPr>
            <w:tcW w:w="2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1,143</w:t>
            </w:r>
          </w:p>
        </w:tc>
        <w:tc>
          <w:tcPr>
            <w:tcW w:w="2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29,385</w:t>
            </w:r>
          </w:p>
        </w:tc>
        <w:tc>
          <w:tcPr>
            <w:tcW w:w="0" w:type="dxa"/>
            <w:vAlign w:val="bottom"/>
          </w:tcPr>
          <w:p>
            <w:pPr>
              <w:spacing w:after="0"/>
              <w:rPr>
                <w:sz w:val="1"/>
                <w:szCs w:val="1"/>
                <w:color w:val="auto"/>
              </w:rPr>
            </w:pPr>
          </w:p>
        </w:tc>
      </w:tr>
      <w:tr>
        <w:trPr>
          <w:trHeight w:val="20"/>
        </w:trPr>
        <w:tc>
          <w:tcPr>
            <w:tcW w:w="606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60" w:type="dxa"/>
            <w:vAlign w:val="bottom"/>
            <w:gridSpan w:val="2"/>
          </w:tcPr>
          <w:p>
            <w:pPr>
              <w:spacing w:after="0"/>
              <w:rPr>
                <w:sz w:val="20"/>
                <w:szCs w:val="20"/>
                <w:color w:val="auto"/>
              </w:rPr>
            </w:pPr>
            <w:r>
              <w:rPr>
                <w:rFonts w:ascii="Arial" w:cs="Arial" w:eastAsia="Arial" w:hAnsi="Arial"/>
                <w:sz w:val="18"/>
                <w:szCs w:val="18"/>
                <w:color w:val="auto"/>
              </w:rPr>
              <w:t>Net loss before cumulative effect of a change in accounting principle</w:t>
            </w:r>
          </w:p>
        </w:tc>
        <w:tc>
          <w:tcPr>
            <w:tcW w:w="200" w:type="dxa"/>
            <w:vAlign w:val="bottom"/>
          </w:tcPr>
          <w:p>
            <w:pPr>
              <w:spacing w:after="0"/>
              <w:rPr>
                <w:sz w:val="24"/>
                <w:szCs w:val="24"/>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(23,576)</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w w:val="98"/>
              </w:rPr>
              <w:t>(26,999)</w:t>
            </w:r>
          </w:p>
        </w:tc>
        <w:tc>
          <w:tcPr>
            <w:tcW w:w="200" w:type="dxa"/>
            <w:vAlign w:val="bottom"/>
          </w:tcPr>
          <w:p>
            <w:pPr>
              <w:spacing w:after="0"/>
              <w:rPr>
                <w:sz w:val="24"/>
                <w:szCs w:val="24"/>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(44,769)</w:t>
            </w:r>
          </w:p>
        </w:tc>
        <w:tc>
          <w:tcPr>
            <w:tcW w:w="20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(31,122)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040" w:type="dxa"/>
            <w:vAlign w:val="bottom"/>
            <w:shd w:val="clear" w:color="auto" w:fill="CCEEFF"/>
          </w:tcPr>
          <w:p>
            <w:pPr>
              <w:spacing w:after="0" w:line="180" w:lineRule="exact"/>
              <w:rPr>
                <w:sz w:val="20"/>
                <w:szCs w:val="20"/>
                <w:color w:val="auto"/>
              </w:rPr>
            </w:pPr>
            <w:r>
              <w:rPr>
                <w:rFonts w:ascii="Arial" w:cs="Arial" w:eastAsia="Arial" w:hAnsi="Arial"/>
                <w:sz w:val="18"/>
                <w:szCs w:val="18"/>
                <w:color w:val="auto"/>
              </w:rPr>
              <w:t>Cumulative effect of adopting Statement of Financial Accounting</w:t>
            </w: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Standards No. 123R (“SFAS 123R”)</w:t>
            </w: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6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12"/>
        </w:trPr>
        <w:tc>
          <w:tcPr>
            <w:tcW w:w="60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00" w:type="dxa"/>
            <w:vAlign w:val="bottom"/>
          </w:tcPr>
          <w:p>
            <w:pP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23,576)</w:t>
            </w:r>
          </w:p>
        </w:tc>
        <w:tc>
          <w:tcPr>
            <w:tcW w:w="500" w:type="dxa"/>
            <w:vAlign w:val="bottom"/>
            <w:gridSpan w:val="2"/>
          </w:tcPr>
          <w:p>
            <w:pPr>
              <w:ind w:lef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w:t>
            </w: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26,999)</w:t>
            </w:r>
          </w:p>
        </w:tc>
        <w:tc>
          <w:tcPr>
            <w:tcW w:w="200" w:type="dxa"/>
            <w:vAlign w:val="bottom"/>
          </w:tcPr>
          <w:p>
            <w:pP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w:t>
            </w: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43,956)</w:t>
            </w:r>
          </w:p>
        </w:tc>
        <w:tc>
          <w:tcPr>
            <w:tcW w:w="200" w:type="dxa"/>
            <w:vAlign w:val="bottom"/>
          </w:tcPr>
          <w:p>
            <w:pP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31,122)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per share amounts, basic and diluted:</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040" w:type="dxa"/>
            <w:vAlign w:val="bottom"/>
          </w:tcPr>
          <w:p>
            <w:pPr>
              <w:ind w:left="200"/>
              <w:spacing w:after="0" w:line="180" w:lineRule="exact"/>
              <w:rPr>
                <w:sz w:val="20"/>
                <w:szCs w:val="20"/>
                <w:color w:val="auto"/>
              </w:rPr>
            </w:pPr>
            <w:r>
              <w:rPr>
                <w:rFonts w:ascii="Arial" w:cs="Arial" w:eastAsia="Arial" w:hAnsi="Arial"/>
                <w:sz w:val="18"/>
                <w:szCs w:val="18"/>
                <w:color w:val="auto"/>
              </w:rPr>
              <w:t>Net loss before cumulative effect of a change in accounting</w:t>
            </w: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040" w:type="dxa"/>
            <w:vAlign w:val="bottom"/>
          </w:tcPr>
          <w:p>
            <w:pPr>
              <w:ind w:left="400"/>
              <w:spacing w:after="0"/>
              <w:rPr>
                <w:sz w:val="20"/>
                <w:szCs w:val="20"/>
                <w:color w:val="auto"/>
              </w:rPr>
            </w:pPr>
            <w:r>
              <w:rPr>
                <w:rFonts w:ascii="Arial" w:cs="Arial" w:eastAsia="Arial" w:hAnsi="Arial"/>
                <w:sz w:val="18"/>
                <w:szCs w:val="18"/>
                <w:color w:val="auto"/>
              </w:rPr>
              <w:t>principle</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0.41)</w:t>
            </w:r>
          </w:p>
        </w:tc>
        <w:tc>
          <w:tcPr>
            <w:tcW w:w="5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0.48)</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0.79)</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Cumulative effect of adopting SFAS 123R</w:t>
            </w:r>
          </w:p>
        </w:tc>
        <w:tc>
          <w:tcPr>
            <w:tcW w:w="2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0.02</w:t>
            </w:r>
          </w:p>
        </w:tc>
        <w:tc>
          <w:tcPr>
            <w:tcW w:w="6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Net loss</w:t>
            </w:r>
          </w:p>
        </w:tc>
        <w:tc>
          <w:tcPr>
            <w:tcW w:w="200" w:type="dxa"/>
            <w:vAlign w:val="bottom"/>
          </w:tcPr>
          <w:p>
            <w:pP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0.41)</w:t>
            </w:r>
          </w:p>
        </w:tc>
        <w:tc>
          <w:tcPr>
            <w:tcW w:w="500" w:type="dxa"/>
            <w:vAlign w:val="bottom"/>
            <w:gridSpan w:val="2"/>
          </w:tcPr>
          <w:p>
            <w:pPr>
              <w:ind w:lef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w:t>
            </w: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0.48)</w:t>
            </w:r>
          </w:p>
        </w:tc>
        <w:tc>
          <w:tcPr>
            <w:tcW w:w="200" w:type="dxa"/>
            <w:vAlign w:val="bottom"/>
          </w:tcPr>
          <w:p>
            <w:pP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w:t>
            </w: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0.77)</w:t>
            </w:r>
          </w:p>
        </w:tc>
        <w:tc>
          <w:tcPr>
            <w:tcW w:w="200" w:type="dxa"/>
            <w:vAlign w:val="bottom"/>
          </w:tcPr>
          <w:p>
            <w:pP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Weighted average shares outstanding, basic and diluted</w:t>
            </w: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56,915</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55,917</w:t>
            </w:r>
          </w:p>
        </w:tc>
        <w:tc>
          <w:tcPr>
            <w:tcW w:w="2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56,821</w:t>
            </w:r>
          </w:p>
        </w:tc>
        <w:tc>
          <w:tcPr>
            <w:tcW w:w="2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55,866</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95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2019-12-20T02:56:26Z</dcterms:created>
  <dcterms:modified xsi:type="dcterms:W3CDTF">2019-12-20T02:56:26Z</dcterms:modified>
</cp:coreProperties>
</file>