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Regeneron Pharmaceuticals Inc.</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75886F10</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1257" w:right="1440" w:bottom="1440" w:gutter="0" w:footer="0" w:header="0"/>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75886F10</w:t>
      </w:r>
    </w:p>
    <w:p>
      <w:pPr>
        <w:spacing w:after="0" w:line="201" w:lineRule="exact"/>
        <w:rPr>
          <w:sz w:val="20"/>
          <w:szCs w:val="20"/>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2480" w:type="dxa"/>
            <w:vAlign w:val="bottom"/>
          </w:tcPr>
          <w:p>
            <w:pPr>
              <w:ind w:left="860"/>
              <w:spacing w:after="0"/>
              <w:rPr>
                <w:sz w:val="20"/>
                <w:szCs w:val="20"/>
                <w:color w:val="auto"/>
              </w:rPr>
            </w:pPr>
            <w:r>
              <w:rPr>
                <w:rFonts w:ascii="Courier New" w:cs="Courier New" w:eastAsia="Courier New" w:hAnsi="Courier New"/>
                <w:sz w:val="18"/>
                <w:szCs w:val="18"/>
                <w:color w:val="auto"/>
                <w:w w:val="98"/>
              </w:rPr>
              <w:t>Warburg, Pincus</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Counsellors, Inc.</w:t>
            </w:r>
          </w:p>
        </w:tc>
        <w:tc>
          <w:tcPr>
            <w:tcW w:w="10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2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13-2673503</w:t>
            </w:r>
          </w:p>
        </w:tc>
        <w:tc>
          <w:tcPr>
            <w:tcW w:w="3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2480" w:type="dxa"/>
            <w:vAlign w:val="bottom"/>
          </w:tcPr>
          <w:p>
            <w:pPr>
              <w:ind w:left="220"/>
              <w:spacing w:after="0"/>
              <w:rPr>
                <w:sz w:val="20"/>
                <w:szCs w:val="20"/>
                <w:color w:val="auto"/>
              </w:rPr>
            </w:pPr>
            <w:r>
              <w:rPr>
                <w:rFonts w:ascii="Courier New" w:cs="Courier New" w:eastAsia="Courier New" w:hAnsi="Courier New"/>
                <w:sz w:val="18"/>
                <w:szCs w:val="18"/>
                <w:color w:val="auto"/>
                <w:w w:val="98"/>
              </w:rPr>
              <w:t>CHECK THE APPROPRIATE</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BOX IF A MEMBER OF A GROUP*</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(a) [ ]</w:t>
            </w: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(b) [ ]</w:t>
            </w:r>
          </w:p>
        </w:tc>
      </w:tr>
    </w:tbl>
    <w:p>
      <w:pPr>
        <w:spacing w:after="0" w:line="201" w:lineRule="exact"/>
        <w:rPr>
          <w:sz w:val="20"/>
          <w:szCs w:val="20"/>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1280" w:right="5779" w:hanging="1272"/>
        <w:spacing w:after="0" w:line="470" w:lineRule="auto"/>
        <w:tabs>
          <w:tab w:leader="none" w:pos="6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1,017,900</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330,000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2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1,665,700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2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640" w:right="3259" w:hanging="632"/>
        <w:spacing w:after="0" w:line="235"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1,667,700</w:t>
      </w:r>
    </w:p>
    <w:p>
      <w:pPr>
        <w:spacing w:after="0" w:line="208" w:lineRule="exact"/>
        <w:rPr>
          <w:rFonts w:ascii="Courier New" w:cs="Courier New" w:eastAsia="Courier New" w:hAnsi="Courier New"/>
          <w:sz w:val="18"/>
          <w:szCs w:val="18"/>
          <w:color w:val="auto"/>
        </w:rPr>
      </w:pPr>
    </w:p>
    <w:p>
      <w:pPr>
        <w:ind w:left="640" w:right="3999" w:hanging="632"/>
        <w:spacing w:after="0" w:line="235"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7.92%</w:t>
            </w:r>
          </w:p>
        </w:tc>
      </w:tr>
    </w:tbl>
    <w:p>
      <w:pPr>
        <w:spacing w:after="0" w:line="207" w:lineRule="exact"/>
        <w:rPr>
          <w:sz w:val="20"/>
          <w:szCs w:val="20"/>
          <w:color w:val="auto"/>
        </w:rPr>
      </w:pPr>
    </w:p>
    <w:p>
      <w:pPr>
        <w:ind w:left="1280" w:right="6939" w:hanging="1272"/>
        <w:spacing w:after="0" w:line="558" w:lineRule="auto"/>
        <w:tabs>
          <w:tab w:leader="none" w:pos="64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Investment Advisor</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*SEE INSTRUCTION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25"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tabs>
          <w:tab w:leader="none" w:pos="6520" w:val="left"/>
          <w:tab w:leader="none" w:pos="726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01/09/97</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 w:leader="none" w:pos="3040" w:val="left"/>
        </w:tabs>
        <w:rPr>
          <w:sz w:val="20"/>
          <w:szCs w:val="20"/>
          <w:color w:val="auto"/>
        </w:rPr>
      </w:pPr>
      <w:r>
        <w:rPr>
          <w:rFonts w:ascii="Courier New" w:cs="Courier New" w:eastAsia="Courier New" w:hAnsi="Courier New"/>
          <w:sz w:val="18"/>
          <w:szCs w:val="18"/>
          <w:color w:val="auto"/>
        </w:rPr>
        <w:t>Item 1 (a)</w:t>
        <w:tab/>
        <w:t>Name of issuer:</w:t>
      </w:r>
      <w:r>
        <w:rPr>
          <w:sz w:val="20"/>
          <w:szCs w:val="20"/>
          <w:color w:val="auto"/>
        </w:rPr>
        <w:tab/>
      </w:r>
      <w:r>
        <w:rPr>
          <w:rFonts w:ascii="Courier New" w:cs="Courier New" w:eastAsia="Courier New" w:hAnsi="Courier New"/>
          <w:sz w:val="16"/>
          <w:szCs w:val="16"/>
          <w:color w:val="auto"/>
        </w:rPr>
        <w:t>Regeneron Pharmaceuticals Inc.</w:t>
      </w:r>
    </w:p>
    <w:p>
      <w:pPr>
        <w:spacing w:after="0"/>
        <w:tabs>
          <w:tab w:leader="none" w:pos="126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777 Old Saw Mill River Road</w:t>
      </w:r>
    </w:p>
    <w:p>
      <w:pPr>
        <w:ind w:left="1800"/>
        <w:spacing w:after="0"/>
        <w:tabs>
          <w:tab w:leader="none" w:pos="33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 Name of person filing:</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Warburg, Pincus Counsellors,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(b) Address of principal business office: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466 Lexington Avenue</w:t>
      </w:r>
    </w:p>
    <w:p>
      <w:pPr>
        <w:ind w:left="1800"/>
        <w:spacing w:after="0"/>
        <w:tabs>
          <w:tab w:leader="none" w:pos="32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gridSpan w:val="4"/>
          </w:tcPr>
          <w:p>
            <w:pPr>
              <w:spacing w:after="0"/>
              <w:rPr>
                <w:sz w:val="20"/>
                <w:szCs w:val="20"/>
                <w:color w:val="auto"/>
              </w:rPr>
            </w:pPr>
            <w:r>
              <w:rPr>
                <w:rFonts w:ascii="Courier New" w:cs="Courier New" w:eastAsia="Courier New" w:hAnsi="Courier New"/>
                <w:sz w:val="18"/>
                <w:szCs w:val="18"/>
                <w:color w:val="auto"/>
              </w:rPr>
              <w:t>Item 2 (c)  Citizenship:  United States</w:t>
            </w:r>
          </w:p>
        </w:tc>
        <w:tc>
          <w:tcPr>
            <w:tcW w:w="348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2 (d)</w:t>
            </w: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Title</w:t>
            </w:r>
          </w:p>
        </w:tc>
        <w:tc>
          <w:tcPr>
            <w:tcW w:w="62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of class of securities: Common Stock</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2 (e)</w:t>
            </w: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Cusip</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No.:  75886F10</w:t>
            </w:r>
          </w:p>
        </w:tc>
        <w:tc>
          <w:tcPr>
            <w:tcW w:w="348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9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Type of Person:  Investment Advisor</w:t>
            </w:r>
          </w:p>
        </w:tc>
      </w:tr>
      <w:tr>
        <w:trPr>
          <w:trHeight w:val="405"/>
        </w:trPr>
        <w:tc>
          <w:tcPr>
            <w:tcW w:w="4640" w:type="dxa"/>
            <w:vAlign w:val="bottom"/>
            <w:gridSpan w:val="4"/>
          </w:tcPr>
          <w:p>
            <w:pPr>
              <w:spacing w:after="0"/>
              <w:rPr>
                <w:sz w:val="20"/>
                <w:szCs w:val="20"/>
                <w:color w:val="auto"/>
              </w:rPr>
            </w:pPr>
            <w:r>
              <w:rPr>
                <w:rFonts w:ascii="Courier New" w:cs="Courier New" w:eastAsia="Courier New" w:hAnsi="Courier New"/>
                <w:sz w:val="18"/>
                <w:szCs w:val="18"/>
                <w:color w:val="auto"/>
              </w:rPr>
              <w:t>Item 4 (a)  Amount beneficially owned:</w:t>
            </w:r>
          </w:p>
        </w:tc>
        <w:tc>
          <w:tcPr>
            <w:tcW w:w="348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1,667,700</w:t>
            </w:r>
          </w:p>
        </w:tc>
      </w:tr>
      <w:tr>
        <w:trPr>
          <w:trHeight w:val="405"/>
        </w:trPr>
        <w:tc>
          <w:tcPr>
            <w:tcW w:w="4640" w:type="dxa"/>
            <w:vAlign w:val="bottom"/>
            <w:gridSpan w:val="4"/>
          </w:tcPr>
          <w:p>
            <w:pPr>
              <w:spacing w:after="0"/>
              <w:rPr>
                <w:sz w:val="20"/>
                <w:szCs w:val="20"/>
                <w:color w:val="auto"/>
              </w:rPr>
            </w:pPr>
            <w:r>
              <w:rPr>
                <w:rFonts w:ascii="Courier New" w:cs="Courier New" w:eastAsia="Courier New" w:hAnsi="Courier New"/>
                <w:sz w:val="18"/>
                <w:szCs w:val="18"/>
                <w:color w:val="auto"/>
              </w:rPr>
              <w:t>Item 4 (b)  Percent of class:  7.92%</w:t>
            </w:r>
          </w:p>
        </w:tc>
        <w:tc>
          <w:tcPr>
            <w:tcW w:w="348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4 (c)</w:t>
            </w: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(i)</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sole power to vote:</w:t>
            </w:r>
          </w:p>
        </w:tc>
        <w:tc>
          <w:tcPr>
            <w:tcW w:w="348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1,017,900</w:t>
            </w:r>
          </w:p>
        </w:tc>
      </w:tr>
      <w:tr>
        <w:trPr>
          <w:trHeight w:val="203"/>
        </w:trPr>
        <w:tc>
          <w:tcPr>
            <w:tcW w:w="1160" w:type="dxa"/>
            <w:vAlign w:val="bottom"/>
          </w:tcPr>
          <w:p>
            <w:pPr>
              <w:spacing w:after="0"/>
              <w:rPr>
                <w:sz w:val="17"/>
                <w:szCs w:val="17"/>
                <w:color w:val="auto"/>
              </w:rPr>
            </w:pP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(ii)</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shared power to vote:</w:t>
            </w:r>
          </w:p>
        </w:tc>
        <w:tc>
          <w:tcPr>
            <w:tcW w:w="348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rPr>
              <w:t>330,000</w:t>
            </w:r>
          </w:p>
        </w:tc>
      </w:tr>
      <w:tr>
        <w:trPr>
          <w:trHeight w:val="203"/>
        </w:trPr>
        <w:tc>
          <w:tcPr>
            <w:tcW w:w="1160" w:type="dxa"/>
            <w:vAlign w:val="bottom"/>
          </w:tcPr>
          <w:p>
            <w:pPr>
              <w:spacing w:after="0"/>
              <w:rPr>
                <w:sz w:val="17"/>
                <w:szCs w:val="17"/>
                <w:color w:val="auto"/>
              </w:rPr>
            </w:pP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(iii)</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sole power to dispose:</w:t>
            </w:r>
          </w:p>
        </w:tc>
        <w:tc>
          <w:tcPr>
            <w:tcW w:w="348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rPr>
              <w:t>1,665,700</w:t>
            </w:r>
          </w:p>
        </w:tc>
      </w:tr>
      <w:tr>
        <w:trPr>
          <w:trHeight w:val="203"/>
        </w:trPr>
        <w:tc>
          <w:tcPr>
            <w:tcW w:w="1160" w:type="dxa"/>
            <w:vAlign w:val="bottom"/>
          </w:tcPr>
          <w:p>
            <w:pPr>
              <w:spacing w:after="0"/>
              <w:rPr>
                <w:sz w:val="17"/>
                <w:szCs w:val="17"/>
                <w:color w:val="auto"/>
              </w:rPr>
            </w:pP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(iv)</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shared power to dispose:</w:t>
            </w:r>
          </w:p>
        </w:tc>
        <w:tc>
          <w:tcPr>
            <w:tcW w:w="348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9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Ownership of 5 percent or less of a class:  Not Applicable</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9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Ownership of more than 5 percent on behalf of another person:</w:t>
            </w:r>
          </w:p>
        </w:tc>
      </w:tr>
      <w:tr>
        <w:trPr>
          <w:trHeight w:val="203"/>
        </w:trPr>
        <w:tc>
          <w:tcPr>
            <w:tcW w:w="1160" w:type="dxa"/>
            <w:vAlign w:val="bottom"/>
          </w:tcPr>
          <w:p>
            <w:pPr>
              <w:spacing w:after="0"/>
              <w:rPr>
                <w:sz w:val="17"/>
                <w:szCs w:val="17"/>
                <w:color w:val="auto"/>
              </w:rPr>
            </w:pPr>
          </w:p>
        </w:tc>
        <w:tc>
          <w:tcPr>
            <w:tcW w:w="1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Warburg, Pincus</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Counsellors, Inc. serves as Investment Advisor to</w:t>
            </w:r>
          </w:p>
        </w:tc>
      </w:tr>
      <w:tr>
        <w:trPr>
          <w:trHeight w:val="203"/>
        </w:trPr>
        <w:tc>
          <w:tcPr>
            <w:tcW w:w="1160" w:type="dxa"/>
            <w:vAlign w:val="bottom"/>
          </w:tcPr>
          <w:p>
            <w:pPr>
              <w:spacing w:after="0"/>
              <w:rPr>
                <w:sz w:val="17"/>
                <w:szCs w:val="17"/>
                <w:color w:val="auto"/>
              </w:rPr>
            </w:pPr>
          </w:p>
        </w:tc>
        <w:tc>
          <w:tcPr>
            <w:tcW w:w="1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many accounts.</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securities which are the subject of this</w:t>
            </w:r>
          </w:p>
        </w:tc>
      </w:tr>
    </w:tbl>
    <w:p>
      <w:pPr>
        <w:spacing w:after="0" w:line="4" w:lineRule="exact"/>
        <w:rPr>
          <w:sz w:val="20"/>
          <w:szCs w:val="20"/>
          <w:color w:val="auto"/>
        </w:rPr>
      </w:pPr>
    </w:p>
    <w:p>
      <w:pPr>
        <w:ind w:left="1280" w:right="2419"/>
        <w:spacing w:after="0" w:line="236" w:lineRule="auto"/>
        <w:rPr>
          <w:sz w:val="20"/>
          <w:szCs w:val="20"/>
          <w:color w:val="auto"/>
        </w:rPr>
      </w:pPr>
      <w:r>
        <w:rPr>
          <w:rFonts w:ascii="Courier New" w:cs="Courier New" w:eastAsia="Courier New" w:hAnsi="Courier New"/>
          <w:sz w:val="18"/>
          <w:szCs w:val="18"/>
          <w:color w:val="auto"/>
        </w:rPr>
        <w:t>report are owned by our accounts. None of these accounts, individually, own more than 5%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3" w:name="page4"/>
    <w:bookmarkEnd w:id="3"/>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7</w:t>
            </w:r>
          </w:p>
        </w:tc>
        <w:tc>
          <w:tcPr>
            <w:tcW w:w="4120" w:type="dxa"/>
            <w:vAlign w:val="bottom"/>
          </w:tcPr>
          <w:p>
            <w:pPr>
              <w:ind w:left="280"/>
              <w:spacing w:after="0"/>
              <w:rPr>
                <w:sz w:val="20"/>
                <w:szCs w:val="20"/>
                <w:color w:val="auto"/>
              </w:rPr>
            </w:pPr>
            <w:r>
              <w:rPr>
                <w:rFonts w:ascii="Courier New" w:cs="Courier New" w:eastAsia="Courier New" w:hAnsi="Courier New"/>
                <w:sz w:val="18"/>
                <w:szCs w:val="18"/>
                <w:color w:val="auto"/>
                <w:w w:val="98"/>
              </w:rPr>
              <w:t>Identification and classification of</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w w:val="97"/>
              </w:rPr>
              <w:t>subsidiary:  Not Applicable</w:t>
            </w:r>
          </w:p>
        </w:tc>
      </w:tr>
      <w:tr>
        <w:trPr>
          <w:trHeight w:val="405"/>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8</w:t>
            </w:r>
          </w:p>
        </w:tc>
        <w:tc>
          <w:tcPr>
            <w:tcW w:w="4120" w:type="dxa"/>
            <w:vAlign w:val="bottom"/>
          </w:tcPr>
          <w:p>
            <w:pPr>
              <w:ind w:left="280"/>
              <w:spacing w:after="0"/>
              <w:rPr>
                <w:sz w:val="20"/>
                <w:szCs w:val="20"/>
                <w:color w:val="auto"/>
              </w:rPr>
            </w:pPr>
            <w:r>
              <w:rPr>
                <w:rFonts w:ascii="Courier New" w:cs="Courier New" w:eastAsia="Courier New" w:hAnsi="Courier New"/>
                <w:sz w:val="18"/>
                <w:szCs w:val="18"/>
                <w:color w:val="auto"/>
                <w:w w:val="98"/>
              </w:rPr>
              <w:t>Identification and classification of</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members of the group:</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Not Applicable</w:t>
            </w:r>
          </w:p>
        </w:tc>
        <w:tc>
          <w:tcPr>
            <w:tcW w:w="290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4120" w:type="dxa"/>
            <w:vAlign w:val="bottom"/>
          </w:tcPr>
          <w:p>
            <w:pPr>
              <w:ind w:left="280"/>
              <w:spacing w:after="0"/>
              <w:rPr>
                <w:sz w:val="20"/>
                <w:szCs w:val="20"/>
                <w:color w:val="auto"/>
              </w:rPr>
            </w:pPr>
            <w:r>
              <w:rPr>
                <w:rFonts w:ascii="Courier New" w:cs="Courier New" w:eastAsia="Courier New" w:hAnsi="Courier New"/>
                <w:sz w:val="18"/>
                <w:szCs w:val="18"/>
                <w:color w:val="auto"/>
              </w:rPr>
              <w:t>Notice of dissolution of the group:</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10</w:t>
            </w:r>
          </w:p>
        </w:tc>
        <w:tc>
          <w:tcPr>
            <w:tcW w:w="4120" w:type="dxa"/>
            <w:vAlign w:val="bottom"/>
          </w:tcPr>
          <w:p>
            <w:pPr>
              <w:ind w:left="280"/>
              <w:spacing w:after="0"/>
              <w:rPr>
                <w:sz w:val="20"/>
                <w:szCs w:val="20"/>
                <w:color w:val="auto"/>
              </w:rPr>
            </w:pPr>
            <w:r>
              <w:rPr>
                <w:rFonts w:ascii="Courier New" w:cs="Courier New" w:eastAsia="Courier New" w:hAnsi="Courier New"/>
                <w:sz w:val="18"/>
                <w:szCs w:val="18"/>
                <w:color w:val="auto"/>
              </w:rPr>
              <w:t>Certification:</w:t>
            </w:r>
          </w:p>
        </w:tc>
        <w:tc>
          <w:tcPr>
            <w:tcW w:w="2900" w:type="dxa"/>
            <w:vAlign w:val="bottom"/>
          </w:tcPr>
          <w:p>
            <w:pPr>
              <w:spacing w:after="0"/>
              <w:rPr>
                <w:sz w:val="24"/>
                <w:szCs w:val="24"/>
                <w:color w:val="auto"/>
              </w:rPr>
            </w:pPr>
          </w:p>
        </w:tc>
      </w:tr>
    </w:tbl>
    <w:p>
      <w:pPr>
        <w:spacing w:after="0" w:line="207"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1" w:lineRule="exact"/>
        <w:rPr>
          <w:sz w:val="20"/>
          <w:szCs w:val="20"/>
          <w:color w:val="auto"/>
        </w:rPr>
      </w:pPr>
    </w:p>
    <w:p>
      <w:pPr>
        <w:ind w:left="1280" w:right="17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Linda S. Iovan</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5700"/>
        <w:spacing w:after="0"/>
        <w:rPr>
          <w:sz w:val="20"/>
          <w:szCs w:val="20"/>
          <w:color w:val="auto"/>
        </w:rPr>
      </w:pPr>
      <w:r>
        <w:rPr>
          <w:rFonts w:ascii="Courier New" w:cs="Courier New" w:eastAsia="Courier New" w:hAnsi="Courier New"/>
          <w:sz w:val="18"/>
          <w:szCs w:val="18"/>
          <w:color w:val="auto"/>
        </w:rPr>
        <w:t>Linda S. Iovan</w:t>
      </w:r>
    </w:p>
    <w:p>
      <w:pPr>
        <w:ind w:left="570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440"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2019-12-19T23:54:05Z</dcterms:created>
  <dcterms:modified xsi:type="dcterms:W3CDTF">2019-12-19T23:54:05Z</dcterms:modified>
</cp:coreProperties>
</file>