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and Exchange Act of 1934</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19,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b w:val="1"/>
                <w:bCs w:val="1"/>
                <w:color w:val="auto"/>
                <w:w w:val="92"/>
              </w:rPr>
              <w:t>New York</w:t>
            </w:r>
          </w:p>
        </w:tc>
        <w:tc>
          <w:tcPr>
            <w:tcW w:w="276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000-19034</w:t>
            </w:r>
          </w:p>
        </w:tc>
        <w:tc>
          <w:tcPr>
            <w:tcW w:w="39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0"/>
              </w:rPr>
              <w:t>133444607</w:t>
            </w:r>
          </w:p>
        </w:tc>
      </w:tr>
      <w:tr>
        <w:trPr>
          <w:trHeight w:val="205"/>
        </w:trPr>
        <w:tc>
          <w:tcPr>
            <w:tcW w:w="4740" w:type="dxa"/>
            <w:vAlign w:val="bottom"/>
          </w:tcPr>
          <w:p>
            <w:pPr>
              <w:jc w:val="center"/>
              <w:ind w:right="1210"/>
              <w:spacing w:after="0" w:line="205" w:lineRule="exact"/>
              <w:rPr>
                <w:sz w:val="20"/>
                <w:szCs w:val="20"/>
                <w:color w:val="auto"/>
              </w:rPr>
            </w:pPr>
            <w:r>
              <w:rPr>
                <w:rFonts w:ascii="Arial" w:cs="Arial" w:eastAsia="Arial" w:hAnsi="Arial"/>
                <w:sz w:val="18"/>
                <w:szCs w:val="18"/>
                <w:color w:val="auto"/>
                <w:w w:val="92"/>
              </w:rPr>
              <w:t>(State or other jurisdiction of</w:t>
            </w:r>
          </w:p>
        </w:tc>
        <w:tc>
          <w:tcPr>
            <w:tcW w:w="2760" w:type="dxa"/>
            <w:vAlign w:val="bottom"/>
          </w:tcPr>
          <w:p>
            <w:pPr>
              <w:jc w:val="center"/>
              <w:ind w:right="690"/>
              <w:spacing w:after="0" w:line="205" w:lineRule="exact"/>
              <w:rPr>
                <w:sz w:val="20"/>
                <w:szCs w:val="20"/>
                <w:color w:val="auto"/>
              </w:rPr>
            </w:pPr>
            <w:r>
              <w:rPr>
                <w:rFonts w:ascii="Arial" w:cs="Arial" w:eastAsia="Arial" w:hAnsi="Arial"/>
                <w:sz w:val="18"/>
                <w:szCs w:val="18"/>
                <w:color w:val="auto"/>
                <w:w w:val="92"/>
              </w:rPr>
              <w:t>(Commission File Number)</w:t>
            </w:r>
          </w:p>
        </w:tc>
        <w:tc>
          <w:tcPr>
            <w:tcW w:w="3920" w:type="dxa"/>
            <w:vAlign w:val="bottom"/>
          </w:tcPr>
          <w:p>
            <w:pPr>
              <w:jc w:val="center"/>
              <w:ind w:left="410"/>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tcPr>
          <w:p>
            <w:pPr>
              <w:jc w:val="center"/>
              <w:ind w:right="1210"/>
              <w:spacing w:after="0"/>
              <w:rPr>
                <w:sz w:val="20"/>
                <w:szCs w:val="20"/>
                <w:color w:val="auto"/>
              </w:rPr>
            </w:pPr>
            <w:r>
              <w:rPr>
                <w:rFonts w:ascii="Arial" w:cs="Arial" w:eastAsia="Arial" w:hAnsi="Arial"/>
                <w:sz w:val="18"/>
                <w:szCs w:val="18"/>
                <w:color w:val="auto"/>
                <w:w w:val="94"/>
              </w:rPr>
              <w:t>incorporation)</w:t>
            </w:r>
          </w:p>
        </w:tc>
        <w:tc>
          <w:tcPr>
            <w:tcW w:w="2760" w:type="dxa"/>
            <w:vAlign w:val="bottom"/>
          </w:tcPr>
          <w:p>
            <w:pPr>
              <w:spacing w:after="0"/>
              <w:rPr>
                <w:sz w:val="20"/>
                <w:szCs w:val="20"/>
                <w:color w:val="auto"/>
              </w:rPr>
            </w:pPr>
          </w:p>
        </w:tc>
        <w:tc>
          <w:tcPr>
            <w:tcW w:w="3920" w:type="dxa"/>
            <w:vAlign w:val="bottom"/>
          </w:tcPr>
          <w:p>
            <w:pPr>
              <w:jc w:val="center"/>
              <w:ind w:left="410"/>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4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tcPr>
          <w:p>
            <w:pPr>
              <w:jc w:val="center"/>
              <w:ind w:left="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60" w:type="dxa"/>
            <w:vAlign w:val="bottom"/>
          </w:tcPr>
          <w:p>
            <w:pPr>
              <w:spacing w:after="0"/>
              <w:rPr>
                <w:sz w:val="19"/>
                <w:szCs w:val="19"/>
                <w:color w:val="auto"/>
              </w:rPr>
            </w:pPr>
          </w:p>
        </w:tc>
        <w:tc>
          <w:tcPr>
            <w:tcW w:w="3920" w:type="dxa"/>
            <w:vAlign w:val="bottom"/>
          </w:tcPr>
          <w:p>
            <w:pPr>
              <w:ind w:left="780"/>
              <w:spacing w:after="0"/>
              <w:rPr>
                <w:sz w:val="20"/>
                <w:szCs w:val="20"/>
                <w:color w:val="auto"/>
              </w:rPr>
            </w:pPr>
            <w:r>
              <w:rPr>
                <w:rFonts w:ascii="Arial" w:cs="Arial" w:eastAsia="Arial" w:hAnsi="Arial"/>
                <w:sz w:val="18"/>
                <w:szCs w:val="18"/>
                <w:b w:val="1"/>
                <w:bCs w:val="1"/>
                <w:color w:val="auto"/>
              </w:rPr>
              <w:t>(Zip Code)</w:t>
            </w: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800" w:right="40"/>
        <w:spacing w:after="0" w:line="277" w:lineRule="auto"/>
        <w:rPr>
          <w:sz w:val="20"/>
          <w:szCs w:val="20"/>
          <w:color w:val="auto"/>
        </w:rPr>
      </w:pPr>
      <w:r>
        <w:rPr>
          <w:rFonts w:ascii="Arial" w:cs="Arial" w:eastAsia="Arial" w:hAnsi="Arial"/>
          <w:sz w:val="18"/>
          <w:szCs w:val="18"/>
          <w:color w:val="auto"/>
        </w:rPr>
        <w:t>On April 19, 2006, the Company issued a press release announcing that it has completed enrollment of a pivotal trial in its phase 3 program for the treatment of CIAS1-Associated Periodic Syndrome (CAPS), a spectrum of very rare genetic disorders.</w:t>
      </w:r>
    </w:p>
    <w:p>
      <w:pPr>
        <w:spacing w:after="0" w:line="62" w:lineRule="exact"/>
        <w:rPr>
          <w:sz w:val="20"/>
          <w:szCs w:val="20"/>
          <w:color w:val="auto"/>
        </w:rPr>
      </w:pPr>
    </w:p>
    <w:p>
      <w:pPr>
        <w:ind w:left="800" w:right="80"/>
        <w:spacing w:after="0" w:line="264" w:lineRule="auto"/>
        <w:rPr>
          <w:sz w:val="20"/>
          <w:szCs w:val="20"/>
          <w:color w:val="auto"/>
        </w:rPr>
      </w:pPr>
      <w:r>
        <w:rPr>
          <w:rFonts w:ascii="Arial" w:cs="Arial" w:eastAsia="Arial" w:hAnsi="Arial"/>
          <w:sz w:val="18"/>
          <w:szCs w:val="18"/>
          <w:color w:val="auto"/>
        </w:rPr>
        <w:t>The press release includes a reference to Amgen’s interleukin-1 receptor antagonist and describes it as an “antibody” instead of a “recombinant form of a naturally occurring IL-1 receptor antagonist.” A corrected version of the press release is included as Exhibit 99(a) to this Current Report on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99(a) Press Release of Regeneron Pharmaceuticals, Inc. dated April 19, 2006.</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Dated: April 19, 2006</w:t>
            </w:r>
          </w:p>
        </w:tc>
        <w:tc>
          <w:tcPr>
            <w:tcW w:w="6260" w:type="dxa"/>
            <w:vAlign w:val="bottom"/>
            <w:gridSpan w:val="2"/>
          </w:tcPr>
          <w:p>
            <w:pPr>
              <w:ind w:left="1880"/>
              <w:spacing w:after="0"/>
              <w:rPr>
                <w:sz w:val="20"/>
                <w:szCs w:val="20"/>
                <w:color w:val="auto"/>
              </w:rPr>
            </w:pPr>
            <w:r>
              <w:rPr>
                <w:rFonts w:ascii="Arial" w:cs="Arial" w:eastAsia="Arial" w:hAnsi="Arial"/>
                <w:sz w:val="18"/>
                <w:szCs w:val="18"/>
                <w:color w:val="auto"/>
              </w:rPr>
              <w:t>By: /s/ Stuart Kolinski</w:t>
            </w:r>
          </w:p>
        </w:tc>
        <w:tc>
          <w:tcPr>
            <w:tcW w:w="168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68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and General Counsel</w:t>
            </w:r>
          </w:p>
        </w:tc>
        <w:tc>
          <w:tcPr>
            <w:tcW w:w="1680" w:type="dxa"/>
            <w:vAlign w:val="bottom"/>
          </w:tcPr>
          <w:p>
            <w:pPr>
              <w:spacing w:after="0"/>
              <w:rPr>
                <w:sz w:val="20"/>
                <w:szCs w:val="20"/>
                <w:color w:val="auto"/>
              </w:rPr>
            </w:pPr>
          </w:p>
        </w:tc>
      </w:tr>
      <w:tr>
        <w:trPr>
          <w:trHeight w:val="621"/>
        </w:trPr>
        <w:tc>
          <w:tcPr>
            <w:tcW w:w="3480" w:type="dxa"/>
            <w:vAlign w:val="bottom"/>
          </w:tcPr>
          <w:p>
            <w:pPr>
              <w:spacing w:after="0"/>
              <w:rPr>
                <w:sz w:val="24"/>
                <w:szCs w:val="24"/>
                <w:color w:val="auto"/>
              </w:rPr>
            </w:pPr>
          </w:p>
        </w:tc>
        <w:tc>
          <w:tcPr>
            <w:tcW w:w="626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226"/>
        </w:trPr>
        <w:tc>
          <w:tcPr>
            <w:tcW w:w="34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99(a)</w:t>
      </w:r>
      <w:r>
        <w:rPr>
          <w:sz w:val="20"/>
          <w:szCs w:val="20"/>
          <w:color w:val="auto"/>
        </w:rPr>
        <w:tab/>
      </w:r>
      <w:r>
        <w:rPr>
          <w:rFonts w:ascii="Arial" w:cs="Arial" w:eastAsia="Arial" w:hAnsi="Arial"/>
          <w:sz w:val="16"/>
          <w:szCs w:val="16"/>
          <w:color w:val="auto"/>
        </w:rPr>
        <w:t>Press Release of Regeneron Pharmaceuticals, Inc. dated April 19, 2006.</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1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 IMMEDIATE RELEASE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COMPLETES ENROLLMENT FOR IL-1 TRAP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PHASE 3 TRIAL IN AUTOINFLAMMATORY DISEASE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Efficacy Phase of Trial on Target for Completion in 2006</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Tarrytown, NY (April 19, 2006)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xml:space="preserve">) announced today that it has completed enrollment for a pivotal trial in its phase 3 program for the treatment of </w:t>
      </w:r>
      <w:r>
        <w:rPr>
          <w:rFonts w:ascii="Arial" w:cs="Arial" w:eastAsia="Arial" w:hAnsi="Arial"/>
          <w:sz w:val="18"/>
          <w:szCs w:val="18"/>
          <w:i w:val="1"/>
          <w:iCs w:val="1"/>
          <w:color w:val="auto"/>
        </w:rPr>
        <w:t>CIAS1</w:t>
      </w:r>
      <w:r>
        <w:rPr>
          <w:rFonts w:ascii="Arial" w:cs="Arial" w:eastAsia="Arial" w:hAnsi="Arial"/>
          <w:sz w:val="18"/>
          <w:szCs w:val="18"/>
          <w:color w:val="auto"/>
        </w:rPr>
        <w:t>-Associated Periodic Syndrome (CAPS), a spectrum of very rare genetic disorders. This orphan drug program is assessing the efficacy and safety of the Interleukin-1 (IL-1) Trap in adult patients with these autoinflammatory diseases. The efficacy phase of this trial is expected to be completed by the end of 2006.</w:t>
      </w:r>
    </w:p>
    <w:p>
      <w:pPr>
        <w:spacing w:after="0" w:line="7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“We’re very pleased by the enthusiastic response from physicians and patients who are participating in this clinical trial,” noted George Yancopoulos, Regeneron’s Executive Vice President, Chief Scientific Officer, and President, Regeneron Research Laboratories. “Treatment with the IL-1 Trap in the phase 2 study led to immediate and sustained improvements in CAPS patients as assessed by both clinical and laboratory measurements. We are hoping the encouraging results we saw in the phase 2 study will be replicated in this larger trial. The information we derive from this trial will be critical to evaluating the IL-1 Trap in other serious inflammatory conditions in which IL-1 may be a key factor.”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and Study Design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jc w:val="both"/>
        <w:ind w:right="80"/>
        <w:spacing w:after="0" w:line="264" w:lineRule="auto"/>
        <w:rPr>
          <w:sz w:val="20"/>
          <w:szCs w:val="20"/>
          <w:color w:val="auto"/>
        </w:rPr>
      </w:pPr>
      <w:r>
        <w:rPr>
          <w:rFonts w:ascii="Arial" w:cs="Arial" w:eastAsia="Arial" w:hAnsi="Arial"/>
          <w:sz w:val="18"/>
          <w:szCs w:val="18"/>
          <w:color w:val="auto"/>
        </w:rPr>
        <w:t>The pivotal trial is designed to evaluate the efficacy and safety of the IL-1 Trap, a long-acting IL-1 inhibitor, in adult patients with CAPS, a spectrum of rare diseases characterized by spontaneous systemic inflammation. The trial will include a six-month, placebo-controlled efficacy phase and be followed by a six-month, open label extension phase, which will help to characterize the safety of the IL-1 Trap.</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CAPS is a family of rare autoinflammatory diseases. The CAPS syndromes included in our program include patients with Familial Cold Autoinflammatory Syndrome (FCAS) and Muckle Wells Syndrome (MWS). CAPS is caused by mutations in the </w:t>
      </w:r>
      <w:r>
        <w:rPr>
          <w:rFonts w:ascii="Arial" w:cs="Arial" w:eastAsia="Arial" w:hAnsi="Arial"/>
          <w:sz w:val="18"/>
          <w:szCs w:val="18"/>
          <w:i w:val="1"/>
          <w:iCs w:val="1"/>
          <w:color w:val="auto"/>
        </w:rPr>
        <w:t>CIAS1</w:t>
      </w:r>
      <w:r>
        <w:rPr>
          <w:rFonts w:ascii="Arial" w:cs="Arial" w:eastAsia="Arial" w:hAnsi="Arial"/>
          <w:sz w:val="18"/>
          <w:szCs w:val="18"/>
          <w:color w:val="auto"/>
        </w:rPr>
        <w:t xml:space="preserve"> gene and is associated with elevated levels of IL-1. CAPS patients suffer from fever, rash, chills, arthralgia, myalgia, and fatigue. In 2005, we reported positive preliminary results for four patients with CAPS in an on-going phase 2 study being conducted with the National Institutes of Health, testing once weekly dosing of the IL-1 Trap. These patients had an immediate, significant response to treatment with the IL-1 Trap and have been able to maintain their response to treatment in the extension phase of the trial. There are currently no approved therapies for CAPS.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IL-1 Trap</w:t>
      </w:r>
    </w:p>
    <w:p>
      <w:pPr>
        <w:spacing w:after="0" w:line="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IL-1 is a soluble protein secreted by certain cells in the body. In many cases, IL-1 acts as a messenger to help regulate immune and inflammatory responses by attaching to cell-surface receptors in cells that participate in the body’s immune system. In excess, it can be harmful and has been linked to a variety of inflammatory diseases. Blocking IL-1 is a proven therapeutic approach in rheumatoid arthritis, as shown by the U.S. Food and Drug Administration</w:t>
      </w:r>
    </w:p>
    <w:p>
      <w:pPr>
        <w:spacing w:after="0" w:line="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(FDA) approval for that indication of Amgen’s Kineret</w:t>
      </w:r>
      <w:r>
        <w:rPr>
          <w:rFonts w:ascii="Arial" w:cs="Arial" w:eastAsia="Arial" w:hAnsi="Arial"/>
          <w:sz w:val="15"/>
          <w:szCs w:val="15"/>
          <w:color w:val="auto"/>
        </w:rPr>
        <w:t>®</w:t>
      </w:r>
      <w:r>
        <w:rPr>
          <w:rFonts w:ascii="Arial" w:cs="Arial" w:eastAsia="Arial" w:hAnsi="Arial"/>
          <w:sz w:val="18"/>
          <w:szCs w:val="18"/>
          <w:color w:val="auto"/>
        </w:rPr>
        <w:t>, which is a recombinant form of a naturally occurring IL-1 receptor antagonist that must be given by daily injection. IL-1</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represents an important target for pharmaceutical development in other inflammatory conditions.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IL-1 Trap is designed to attach to and neutralize IL-1 in the blood stream before it can attach to cell-surface receptors and generate signals that can trigger disease in body tissue. Once attached to the Trap, IL-1 cannot bind to the cell surface receptors and, together with the Trap, is eliminated from the body. The IL-1 Trap has a long duration in the blood stream and can be delivered by weekly injection. The FDA has granted orphan drug designation for the IL-1 Trap for the treatment of </w:t>
      </w:r>
      <w:r>
        <w:rPr>
          <w:rFonts w:ascii="Arial" w:cs="Arial" w:eastAsia="Arial" w:hAnsi="Arial"/>
          <w:sz w:val="18"/>
          <w:szCs w:val="18"/>
          <w:i w:val="1"/>
          <w:iCs w:val="1"/>
          <w:color w:val="auto"/>
        </w:rPr>
        <w:t>CIAS1</w:t>
      </w:r>
      <w:r>
        <w:rPr>
          <w:rFonts w:ascii="Arial" w:cs="Arial" w:eastAsia="Arial" w:hAnsi="Arial"/>
          <w:sz w:val="18"/>
          <w:szCs w:val="18"/>
          <w:color w:val="auto"/>
        </w:rPr>
        <w:t>-Associated Periodic Syndrome (CAPS).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78" w:lineRule="exact"/>
        <w:rPr>
          <w:sz w:val="20"/>
          <w:szCs w:val="20"/>
          <w:color w:val="auto"/>
        </w:rPr>
      </w:pPr>
    </w:p>
    <w:p>
      <w:pPr>
        <w:spacing w:after="0" w:line="247" w:lineRule="auto"/>
        <w:rPr>
          <w:sz w:val="20"/>
          <w:szCs w:val="20"/>
          <w:color w:val="auto"/>
        </w:rPr>
      </w:pPr>
      <w:r>
        <w:rPr>
          <w:rFonts w:ascii="Arial" w:cs="Arial" w:eastAsia="Arial" w:hAnsi="Arial"/>
          <w:sz w:val="13"/>
          <w:szCs w:val="13"/>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 with the sanofi-aventis Group,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Regeneron does not undertake any obligation to update publicly any forward-looking statement, whether as a result of new information, future events, or otherwise unless required by law.</w:t>
      </w:r>
    </w:p>
    <w:p>
      <w:pPr>
        <w:spacing w:after="0" w:line="71" w:lineRule="exact"/>
        <w:rPr>
          <w:sz w:val="20"/>
          <w:szCs w:val="20"/>
          <w:color w:val="auto"/>
        </w:rPr>
      </w:pPr>
    </w:p>
    <w:p>
      <w:pPr>
        <w:ind w:right="240"/>
        <w:spacing w:after="0" w:line="238" w:lineRule="auto"/>
        <w:rPr>
          <w:sz w:val="20"/>
          <w:szCs w:val="20"/>
          <w:color w:val="auto"/>
        </w:rPr>
      </w:pPr>
      <w:r>
        <w:rPr>
          <w:rFonts w:ascii="Arial" w:cs="Arial" w:eastAsia="Arial" w:hAnsi="Arial"/>
          <w:sz w:val="14"/>
          <w:szCs w:val="14"/>
          <w:i w:val="1"/>
          <w:iCs w:val="1"/>
          <w:color w:val="auto"/>
        </w:rPr>
        <w:t>This news release includes certain financial measures that are calculated in a manner different from generally accepted accounting principles (GAAP) and are considered non-GAAP financial measures under SEC rules. Non-GAAP financial measures for the year ended December 31, 2005 included in this news release are: (1) pro forma net loss and pro forma net loss per share (basic and diluted), exclusive of Stock Option Expense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line="264" w:lineRule="auto"/>
        <w:rPr>
          <w:sz w:val="20"/>
          <w:szCs w:val="20"/>
          <w:color w:val="auto"/>
        </w:rPr>
      </w:pPr>
      <w:r>
        <w:rPr>
          <w:rFonts w:ascii="Arial" w:cs="Arial" w:eastAsia="Arial" w:hAnsi="Arial"/>
          <w:sz w:val="18"/>
          <w:szCs w:val="18"/>
          <w:i w:val="1"/>
          <w:iCs w:val="1"/>
          <w:color w:val="auto"/>
        </w:rPr>
        <w:t>and (2) research and development expenses, general and administrative expenses, and contract manufacturing expenses, all exclusive of Stock Option Expense. As required, we have provided reconciliations of non-GAAP amounts to GAAP amounts in tables shown above. Additional required information is located in the Form 8-K filed with the SEC in connection with this news release.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r>
      <w:tr>
        <w:trPr>
          <w:trHeight w:val="41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238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Media:</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238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914.345.7640</w:t>
            </w:r>
          </w:p>
        </w:tc>
        <w:tc>
          <w:tcPr>
            <w:tcW w:w="1700" w:type="dxa"/>
            <w:vAlign w:val="bottom"/>
          </w:tcPr>
          <w:p>
            <w:pPr>
              <w:spacing w:after="0"/>
              <w:rPr>
                <w:sz w:val="18"/>
                <w:szCs w:val="18"/>
                <w:color w:val="auto"/>
              </w:rPr>
            </w:pPr>
          </w:p>
        </w:tc>
        <w:tc>
          <w:tcPr>
            <w:tcW w:w="4320" w:type="dxa"/>
            <w:vAlign w:val="bottom"/>
            <w:gridSpan w:val="2"/>
          </w:tcPr>
          <w:p>
            <w:pPr>
              <w:ind w:left="2380"/>
              <w:spacing w:after="0"/>
              <w:rPr>
                <w:sz w:val="20"/>
                <w:szCs w:val="20"/>
                <w:color w:val="auto"/>
              </w:rPr>
            </w:pPr>
            <w:r>
              <w:rPr>
                <w:rFonts w:ascii="Arial" w:cs="Arial" w:eastAsia="Arial" w:hAnsi="Arial"/>
                <w:sz w:val="18"/>
                <w:szCs w:val="18"/>
                <w:color w:val="auto"/>
              </w:rPr>
              <w:t>212.845.5609</w:t>
            </w: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2380" w:type="dxa"/>
            <w:vAlign w:val="bottom"/>
          </w:tcPr>
          <w:p>
            <w:pPr>
              <w:spacing w:after="0"/>
              <w:rPr>
                <w:sz w:val="16"/>
                <w:szCs w:val="16"/>
                <w:color w:val="auto"/>
              </w:rPr>
            </w:pPr>
          </w:p>
        </w:tc>
        <w:tc>
          <w:tcPr>
            <w:tcW w:w="1940" w:type="dxa"/>
            <w:vAlign w:val="bottom"/>
          </w:tcPr>
          <w:p>
            <w:pPr>
              <w:spacing w:after="0" w:line="190" w:lineRule="exact"/>
              <w:rPr>
                <w:sz w:val="20"/>
                <w:szCs w:val="20"/>
                <w:color w:val="auto"/>
              </w:rPr>
            </w:pPr>
            <w:r>
              <w:rPr>
                <w:rFonts w:ascii="Arial" w:cs="Arial" w:eastAsia="Arial" w:hAnsi="Arial"/>
                <w:sz w:val="18"/>
                <w:szCs w:val="18"/>
                <w:color w:val="auto"/>
                <w:w w:val="90"/>
              </w:rPr>
              <w:t>ltortorete@biosector2.com</w:t>
            </w:r>
          </w:p>
        </w:tc>
      </w:tr>
      <w:tr>
        <w:trPr>
          <w:trHeight w:val="426"/>
        </w:trPr>
        <w:tc>
          <w:tcPr>
            <w:tcW w:w="220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7</w:t>
            </w:r>
          </w:p>
        </w:tc>
        <w:tc>
          <w:tcPr>
            <w:tcW w:w="194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20"/>
      </w:cols>
      <w:pgMar w:left="240" w:top="93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2019-12-11T22:32:03Z</dcterms:created>
  <dcterms:modified xsi:type="dcterms:W3CDTF">2019-12-11T22:32:03Z</dcterms:modified>
</cp:coreProperties>
</file>