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SCHEDULE 13G</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99"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(Amendment No. 3)</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76200</wp:posOffset>
            </wp:positionV>
            <wp:extent cx="3644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March 31,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76200</wp:posOffset>
            </wp:positionV>
            <wp:extent cx="3644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25" w:lineRule="exact"/>
        <w:rPr>
          <w:sz w:val="24"/>
          <w:szCs w:val="24"/>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2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Rule 13d-1(d)</w:t>
      </w:r>
    </w:p>
    <w:p>
      <w:pPr>
        <w:spacing w:after="0" w:line="225"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ind w:right="26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Page 1 of 13 pages</w:t>
      </w:r>
    </w:p>
    <w:p>
      <w:pPr>
        <w:spacing w:after="0" w:line="268" w:lineRule="exact"/>
        <w:rPr>
          <w:sz w:val="24"/>
          <w:szCs w:val="24"/>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4"/>
          <w:szCs w:val="24"/>
          <w:color w:val="auto"/>
        </w:rPr>
      </w:pPr>
    </w:p>
    <w:p>
      <w:pPr>
        <w:ind w:left="680" w:hanging="449"/>
        <w:spacing w:after="0"/>
        <w:tabs>
          <w:tab w:leader="none" w:pos="680" w:val="left"/>
        </w:tabs>
        <w:numPr>
          <w:ilvl w:val="0"/>
          <w:numId w:val="2"/>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Andrew H. Tisch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3470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3470275"/>
                    </a:xfrm>
                    <a:prstGeom prst="rect">
                      <a:avLst/>
                    </a:prstGeom>
                    <a:noFill/>
                  </pic:spPr>
                </pic:pic>
              </a:graphicData>
            </a:graphic>
          </wp:anchor>
        </w:drawing>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3"/>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4"/>
          <w:szCs w:val="24"/>
          <w:color w:val="auto"/>
        </w:rPr>
      </w:pPr>
    </w:p>
    <w:tbl>
      <w:tblPr>
        <w:tblLayout w:type="fixed"/>
        <w:tblInd w:w="120" w:type="dxa"/>
        <w:tblCellMar>
          <w:top w:w="0" w:type="dxa"/>
          <w:left w:w="0" w:type="dxa"/>
          <w:bottom w:w="0" w:type="dxa"/>
          <w:right w:w="0" w:type="dxa"/>
        </w:tblCellMar>
      </w:tblPr>
      <w:tr>
        <w:trPr>
          <w:trHeight w:val="368"/>
        </w:trPr>
        <w:tc>
          <w:tcPr>
            <w:tcW w:w="1620" w:type="dxa"/>
            <w:vAlign w:val="bottom"/>
          </w:tcPr>
          <w:p>
            <w:pPr>
              <w:jc w:val="center"/>
              <w:spacing w:after="0"/>
              <w:rPr>
                <w:sz w:val="20"/>
                <w:szCs w:val="20"/>
                <w:color w:val="auto"/>
              </w:rPr>
            </w:pPr>
            <w:r>
              <w:rPr>
                <w:rFonts w:ascii="Arial" w:cs="Arial" w:eastAsia="Arial" w:hAnsi="Arial"/>
                <w:sz w:val="22"/>
                <w:szCs w:val="22"/>
                <w:color w:val="auto"/>
                <w:w w:val="93"/>
              </w:rPr>
              <w:t>NUMBER OF</w:t>
            </w:r>
          </w:p>
        </w:tc>
        <w:tc>
          <w:tcPr>
            <w:tcW w:w="50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916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225"/>
        </w:trPr>
        <w:tc>
          <w:tcPr>
            <w:tcW w:w="1620" w:type="dxa"/>
            <w:vAlign w:val="bottom"/>
          </w:tcPr>
          <w:p>
            <w:pPr>
              <w:jc w:val="center"/>
              <w:spacing w:after="0" w:line="225" w:lineRule="exact"/>
              <w:rPr>
                <w:sz w:val="20"/>
                <w:szCs w:val="20"/>
                <w:color w:val="auto"/>
              </w:rPr>
            </w:pPr>
            <w:r>
              <w:rPr>
                <w:rFonts w:ascii="Arial" w:cs="Arial" w:eastAsia="Arial" w:hAnsi="Arial"/>
                <w:sz w:val="22"/>
                <w:szCs w:val="22"/>
                <w:color w:val="auto"/>
                <w:w w:val="92"/>
              </w:rPr>
              <w:t>SHARES</w:t>
            </w:r>
          </w:p>
        </w:tc>
        <w:tc>
          <w:tcPr>
            <w:tcW w:w="500" w:type="dxa"/>
            <w:vAlign w:val="bottom"/>
          </w:tcPr>
          <w:p>
            <w:pPr>
              <w:spacing w:after="0"/>
              <w:rPr>
                <w:sz w:val="19"/>
                <w:szCs w:val="19"/>
                <w:color w:val="auto"/>
              </w:rPr>
            </w:pPr>
          </w:p>
        </w:tc>
        <w:tc>
          <w:tcPr>
            <w:tcW w:w="916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96"/>
        </w:trPr>
        <w:tc>
          <w:tcPr>
            <w:tcW w:w="162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500" w:type="dxa"/>
            <w:vAlign w:val="bottom"/>
            <w:tcBorders>
              <w:bottom w:val="single" w:sz="8" w:color="2C2C2C"/>
            </w:tcBorders>
          </w:tcPr>
          <w:p>
            <w:pPr>
              <w:spacing w:after="0"/>
              <w:rPr>
                <w:sz w:val="8"/>
                <w:szCs w:val="8"/>
                <w:color w:val="auto"/>
              </w:rPr>
            </w:pPr>
          </w:p>
        </w:tc>
        <w:tc>
          <w:tcPr>
            <w:tcW w:w="916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620" w:type="dxa"/>
            <w:vAlign w:val="bottom"/>
            <w:vMerge w:val="continue"/>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56"/>
        </w:trPr>
        <w:tc>
          <w:tcPr>
            <w:tcW w:w="162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6"/>
              </w:rPr>
              <w:t>OWNED BY</w:t>
            </w:r>
          </w:p>
        </w:tc>
        <w:tc>
          <w:tcPr>
            <w:tcW w:w="50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6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916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1,253,516</w:t>
            </w:r>
          </w:p>
        </w:tc>
        <w:tc>
          <w:tcPr>
            <w:tcW w:w="0" w:type="dxa"/>
            <w:vAlign w:val="bottom"/>
          </w:tcPr>
          <w:p>
            <w:pPr>
              <w:spacing w:after="0"/>
              <w:rPr>
                <w:sz w:val="1"/>
                <w:szCs w:val="1"/>
                <w:color w:val="auto"/>
              </w:rPr>
            </w:pPr>
          </w:p>
        </w:tc>
      </w:tr>
      <w:tr>
        <w:trPr>
          <w:trHeight w:val="193"/>
        </w:trPr>
        <w:tc>
          <w:tcPr>
            <w:tcW w:w="1620" w:type="dxa"/>
            <w:vAlign w:val="bottom"/>
            <w:vMerge w:val="restart"/>
          </w:tcPr>
          <w:p>
            <w:pPr>
              <w:jc w:val="center"/>
              <w:spacing w:after="0" w:line="251" w:lineRule="exact"/>
              <w:rPr>
                <w:sz w:val="20"/>
                <w:szCs w:val="20"/>
                <w:color w:val="auto"/>
              </w:rPr>
            </w:pPr>
            <w:r>
              <w:rPr>
                <w:rFonts w:ascii="Arial" w:cs="Arial" w:eastAsia="Arial" w:hAnsi="Arial"/>
                <w:sz w:val="22"/>
                <w:szCs w:val="22"/>
                <w:color w:val="auto"/>
                <w:w w:val="98"/>
              </w:rPr>
              <w:t>EACH</w:t>
            </w:r>
          </w:p>
        </w:tc>
        <w:tc>
          <w:tcPr>
            <w:tcW w:w="500" w:type="dxa"/>
            <w:vAlign w:val="bottom"/>
            <w:vMerge w:val="continue"/>
          </w:tcPr>
          <w:p>
            <w:pPr>
              <w:spacing w:after="0"/>
              <w:rPr>
                <w:sz w:val="16"/>
                <w:szCs w:val="16"/>
                <w:color w:val="auto"/>
              </w:rPr>
            </w:pPr>
          </w:p>
        </w:tc>
        <w:tc>
          <w:tcPr>
            <w:tcW w:w="9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1620" w:type="dxa"/>
            <w:vAlign w:val="bottom"/>
            <w:vMerge w:val="continue"/>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1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620" w:type="dxa"/>
            <w:vAlign w:val="bottom"/>
          </w:tcPr>
          <w:p>
            <w:pPr>
              <w:jc w:val="center"/>
              <w:spacing w:after="0" w:line="208" w:lineRule="exact"/>
              <w:rPr>
                <w:sz w:val="20"/>
                <w:szCs w:val="20"/>
                <w:color w:val="auto"/>
              </w:rPr>
            </w:pPr>
            <w:r>
              <w:rPr>
                <w:rFonts w:ascii="Arial" w:cs="Arial" w:eastAsia="Arial" w:hAnsi="Arial"/>
                <w:sz w:val="22"/>
                <w:szCs w:val="22"/>
                <w:color w:val="auto"/>
                <w:w w:val="91"/>
              </w:rPr>
              <w:t>REPORTING</w:t>
            </w: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11"/>
        </w:trPr>
        <w:tc>
          <w:tcPr>
            <w:tcW w:w="1620" w:type="dxa"/>
            <w:vAlign w:val="bottom"/>
          </w:tcPr>
          <w:p>
            <w:pPr>
              <w:jc w:val="center"/>
              <w:spacing w:after="0" w:line="210" w:lineRule="exact"/>
              <w:rPr>
                <w:sz w:val="20"/>
                <w:szCs w:val="20"/>
                <w:color w:val="auto"/>
              </w:rPr>
            </w:pPr>
            <w:r>
              <w:rPr>
                <w:rFonts w:ascii="Arial" w:cs="Arial" w:eastAsia="Arial" w:hAnsi="Arial"/>
                <w:sz w:val="22"/>
                <w:szCs w:val="22"/>
                <w:color w:val="auto"/>
                <w:w w:val="90"/>
              </w:rPr>
              <w:t>PERSON</w:t>
            </w:r>
          </w:p>
        </w:tc>
        <w:tc>
          <w:tcPr>
            <w:tcW w:w="50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vMerge w:val="restart"/>
          </w:tcPr>
          <w:p>
            <w:pPr>
              <w:jc w:val="center"/>
              <w:spacing w:after="0"/>
              <w:rPr>
                <w:sz w:val="20"/>
                <w:szCs w:val="20"/>
                <w:color w:val="auto"/>
              </w:rPr>
            </w:pPr>
            <w:r>
              <w:rPr>
                <w:rFonts w:ascii="Arial" w:cs="Arial" w:eastAsia="Arial" w:hAnsi="Arial"/>
                <w:sz w:val="22"/>
                <w:szCs w:val="22"/>
                <w:color w:val="auto"/>
                <w:w w:val="99"/>
              </w:rPr>
              <w:t>WITH</w:t>
            </w:r>
          </w:p>
        </w:tc>
        <w:tc>
          <w:tcPr>
            <w:tcW w:w="500" w:type="dxa"/>
            <w:vAlign w:val="bottom"/>
            <w:tcBorders>
              <w:bottom w:val="single" w:sz="8" w:color="2C2C2C"/>
            </w:tcBorders>
          </w:tcPr>
          <w:p>
            <w:pPr>
              <w:spacing w:after="0"/>
              <w:rPr>
                <w:sz w:val="18"/>
                <w:szCs w:val="18"/>
                <w:color w:val="auto"/>
              </w:rPr>
            </w:pPr>
          </w:p>
        </w:tc>
        <w:tc>
          <w:tcPr>
            <w:tcW w:w="916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78"/>
        </w:trPr>
        <w:tc>
          <w:tcPr>
            <w:tcW w:w="1620" w:type="dxa"/>
            <w:vAlign w:val="bottom"/>
            <w:vMerge w:val="continue"/>
          </w:tcPr>
          <w:p>
            <w:pPr>
              <w:spacing w:after="0"/>
              <w:rPr>
                <w:sz w:val="6"/>
                <w:szCs w:val="6"/>
                <w:color w:val="auto"/>
              </w:rPr>
            </w:pP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370"/>
        </w:trPr>
        <w:tc>
          <w:tcPr>
            <w:tcW w:w="162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9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0" w:gutter="0" w:footer="0" w:header="0"/>
        </w:sectPr>
      </w:pPr>
    </w:p>
    <w:bookmarkStart w:id="1" w:name="page2"/>
    <w:bookmarkEnd w:id="1"/>
    <w:p>
      <w:pPr>
        <w:ind w:left="2280"/>
        <w:spacing w:after="0"/>
        <w:rPr>
          <w:sz w:val="20"/>
          <w:szCs w:val="20"/>
          <w:color w:val="auto"/>
        </w:rPr>
      </w:pPr>
      <w:r>
        <w:rPr>
          <w:sz w:val="1"/>
          <w:szCs w:val="1"/>
          <w:color w:val="auto"/>
        </w:rPr>
        <w:drawing>
          <wp:inline distT="0" distB="0" distL="0" distR="0">
            <wp:extent cx="42545" cy="2184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545" cy="218440"/>
                    </a:xfrm>
                    <a:prstGeom prst="rect">
                      <a:avLst/>
                    </a:prstGeom>
                    <a:noFill/>
                    <a:ln>
                      <a:noFill/>
                    </a:ln>
                  </pic:spPr>
                </pic:pic>
              </a:graphicData>
            </a:graphic>
          </wp:inline>
        </w:drawing>
      </w:r>
      <w:r>
        <w:rPr>
          <w:rFonts w:ascii="Arial" w:cs="Arial" w:eastAsia="Arial" w:hAnsi="Arial"/>
          <w:sz w:val="22"/>
          <w:szCs w:val="22"/>
          <w:b w:val="1"/>
          <w:bCs w:val="1"/>
          <w:color w:val="auto"/>
        </w:rPr>
        <w:t xml:space="preserve"> 1,253,516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72020" cy="1942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1942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28"/>
        </w:trPr>
        <w:tc>
          <w:tcPr>
            <w:tcW w:w="580" w:type="dxa"/>
            <w:vAlign w:val="bottom"/>
            <w:gridSpan w:val="2"/>
          </w:tcPr>
          <w:p>
            <w:pPr>
              <w:jc w:val="center"/>
              <w:spacing w:after="0" w:line="327" w:lineRule="exact"/>
              <w:rPr>
                <w:sz w:val="20"/>
                <w:szCs w:val="20"/>
                <w:color w:val="auto"/>
              </w:rPr>
            </w:pPr>
            <w:r>
              <w:rPr>
                <w:rFonts w:ascii="Arial" w:cs="Arial" w:eastAsia="Arial" w:hAnsi="Arial"/>
                <w:sz w:val="32"/>
                <w:szCs w:val="32"/>
                <w:b w:val="1"/>
                <w:bCs w:val="1"/>
                <w:color w:val="auto"/>
                <w:w w:val="89"/>
              </w:rPr>
              <w:t>9</w:t>
            </w:r>
          </w:p>
        </w:tc>
        <w:tc>
          <w:tcPr>
            <w:tcW w:w="9780" w:type="dxa"/>
            <w:vAlign w:val="bottom"/>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tcPr>
          <w:p>
            <w:pPr>
              <w:ind w:left="100"/>
              <w:spacing w:after="0"/>
              <w:rPr>
                <w:sz w:val="20"/>
                <w:szCs w:val="20"/>
                <w:color w:val="auto"/>
              </w:rPr>
            </w:pPr>
            <w:r>
              <w:rPr>
                <w:rFonts w:ascii="Arial" w:cs="Arial" w:eastAsia="Arial" w:hAnsi="Arial"/>
                <w:sz w:val="22"/>
                <w:szCs w:val="22"/>
                <w:b w:val="1"/>
                <w:bCs w:val="1"/>
                <w:color w:val="auto"/>
              </w:rPr>
              <w:t>1,253,516</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9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780" w:type="dxa"/>
            <w:vAlign w:val="bottom"/>
            <w:tcBorders>
              <w:top w:val="single" w:sz="8" w:color="2C2C2C"/>
            </w:tcBorders>
          </w:tcPr>
          <w:p>
            <w:pPr>
              <w:ind w:left="10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780" w:type="dxa"/>
            <w:vAlign w:val="bottom"/>
          </w:tcPr>
          <w:p>
            <w:pPr>
              <w:ind w:left="100"/>
              <w:spacing w:after="0"/>
              <w:rPr>
                <w:sz w:val="20"/>
                <w:szCs w:val="20"/>
                <w:color w:val="auto"/>
              </w:rPr>
            </w:pPr>
            <w:r>
              <w:rPr>
                <w:rFonts w:ascii="Arial" w:cs="Arial" w:eastAsia="Arial" w:hAnsi="Arial"/>
                <w:sz w:val="22"/>
                <w:szCs w:val="22"/>
                <w:color w:val="auto"/>
              </w:rPr>
              <w:t>Instructions)</w:t>
            </w: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92"/>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780" w:type="dxa"/>
            <w:vAlign w:val="bottom"/>
            <w:tcBorders>
              <w:top w:val="single" w:sz="8" w:color="2C2C2C"/>
            </w:tcBorders>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tcPr>
          <w:p>
            <w:pPr>
              <w:ind w:left="100"/>
              <w:spacing w:after="0"/>
              <w:rPr>
                <w:sz w:val="20"/>
                <w:szCs w:val="20"/>
                <w:color w:val="auto"/>
              </w:rPr>
            </w:pPr>
            <w:r>
              <w:rPr>
                <w:rFonts w:ascii="Arial" w:cs="Arial" w:eastAsia="Arial" w:hAnsi="Arial"/>
                <w:sz w:val="22"/>
                <w:szCs w:val="22"/>
                <w:b w:val="1"/>
                <w:bCs w:val="1"/>
                <w:color w:val="auto"/>
              </w:rPr>
              <w:t>3.0%</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780" w:type="dxa"/>
            <w:vAlign w:val="bottom"/>
            <w:tcBorders>
              <w:top w:val="single" w:sz="8" w:color="2C2C2C"/>
            </w:tcBorders>
          </w:tcPr>
          <w:p>
            <w:pPr>
              <w:ind w:left="10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tcPr>
          <w:p>
            <w:pPr>
              <w:ind w:left="100"/>
              <w:spacing w:after="0"/>
              <w:rPr>
                <w:sz w:val="20"/>
                <w:szCs w:val="20"/>
                <w:color w:val="auto"/>
              </w:rPr>
            </w:pPr>
            <w:r>
              <w:rPr>
                <w:rFonts w:ascii="Arial" w:cs="Arial" w:eastAsia="Arial" w:hAnsi="Arial"/>
                <w:sz w:val="22"/>
                <w:szCs w:val="22"/>
                <w:b w:val="1"/>
                <w:bCs w:val="1"/>
                <w:color w:val="auto"/>
              </w:rPr>
              <w:t>IN</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13 pages</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680" w:hanging="449"/>
        <w:spacing w:after="0"/>
        <w:tabs>
          <w:tab w:leader="none" w:pos="680" w:val="left"/>
        </w:tabs>
        <w:numPr>
          <w:ilvl w:val="0"/>
          <w:numId w:val="4"/>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Daniel R.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5273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27367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88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2000" w:type="dxa"/>
            <w:vAlign w:val="bottom"/>
            <w:gridSpan w:val="2"/>
          </w:tcPr>
          <w:p>
            <w:pPr>
              <w:ind w:left="124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2000" w:type="dxa"/>
            <w:vAlign w:val="bottom"/>
            <w:gridSpan w:val="2"/>
          </w:tcPr>
          <w:p>
            <w:pPr>
              <w:ind w:left="124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88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88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8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5"/>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1,253,483</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1,253,483</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1,253,483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3.0%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b w:val="1"/>
                <w:bCs w:val="1"/>
                <w:color w:val="auto"/>
              </w:rPr>
              <w:t>IN</w:t>
            </w: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3 of 13 pages</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47925" cy="215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435610</wp:posOffset>
            </wp:positionV>
            <wp:extent cx="7272020" cy="1223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122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10" w:type="dxa"/>
        <w:tblCellMar>
          <w:top w:w="0" w:type="dxa"/>
          <w:left w:w="0" w:type="dxa"/>
          <w:bottom w:w="0" w:type="dxa"/>
          <w:right w:w="0" w:type="dxa"/>
        </w:tblCellMar>
      </w:tblPr>
      <w:tr>
        <w:trPr>
          <w:trHeight w:val="368"/>
        </w:trPr>
        <w:tc>
          <w:tcPr>
            <w:tcW w:w="540" w:type="dxa"/>
            <w:vAlign w:val="bottom"/>
          </w:tcPr>
          <w:p>
            <w:pPr>
              <w:jc w:val="right"/>
              <w:spacing w:after="0"/>
              <w:rPr>
                <w:sz w:val="20"/>
                <w:szCs w:val="20"/>
                <w:color w:val="auto"/>
              </w:rPr>
            </w:pPr>
            <w:r>
              <w:rPr>
                <w:rFonts w:ascii="Arial" w:cs="Arial" w:eastAsia="Arial" w:hAnsi="Arial"/>
                <w:sz w:val="32"/>
                <w:szCs w:val="32"/>
                <w:b w:val="1"/>
                <w:bCs w:val="1"/>
                <w:color w:val="auto"/>
              </w:rPr>
              <w:t>1</w:t>
            </w:r>
          </w:p>
        </w:tc>
        <w:tc>
          <w:tcPr>
            <w:tcW w:w="8900" w:type="dxa"/>
            <w:vAlign w:val="bottom"/>
          </w:tcPr>
          <w:p>
            <w:pPr>
              <w:ind w:left="140"/>
              <w:spacing w:after="0"/>
              <w:rPr>
                <w:sz w:val="20"/>
                <w:szCs w:val="20"/>
                <w:color w:val="auto"/>
              </w:rPr>
            </w:pPr>
            <w:r>
              <w:rPr>
                <w:rFonts w:ascii="Arial" w:cs="Arial" w:eastAsia="Arial" w:hAnsi="Arial"/>
                <w:sz w:val="22"/>
                <w:szCs w:val="22"/>
                <w:color w:val="auto"/>
              </w:rPr>
              <w:t>NAMES OF REPORTING PERSONS</w:t>
            </w:r>
          </w:p>
        </w:tc>
        <w:tc>
          <w:tcPr>
            <w:tcW w:w="1980" w:type="dxa"/>
            <w:vAlign w:val="bottom"/>
          </w:tcPr>
          <w:p>
            <w:pPr>
              <w:spacing w:after="0"/>
              <w:rPr>
                <w:sz w:val="24"/>
                <w:szCs w:val="24"/>
                <w:color w:val="auto"/>
              </w:rPr>
            </w:pPr>
          </w:p>
        </w:tc>
      </w:tr>
      <w:tr>
        <w:trPr>
          <w:trHeight w:val="219"/>
        </w:trPr>
        <w:tc>
          <w:tcPr>
            <w:tcW w:w="540" w:type="dxa"/>
            <w:vAlign w:val="bottom"/>
          </w:tcPr>
          <w:p>
            <w:pPr>
              <w:spacing w:after="0"/>
              <w:rPr>
                <w:sz w:val="19"/>
                <w:szCs w:val="19"/>
                <w:color w:val="auto"/>
              </w:rPr>
            </w:pPr>
          </w:p>
        </w:tc>
        <w:tc>
          <w:tcPr>
            <w:tcW w:w="8900" w:type="dxa"/>
            <w:vAlign w:val="bottom"/>
          </w:tcPr>
          <w:p>
            <w:pPr>
              <w:ind w:left="140"/>
              <w:spacing w:after="0" w:line="219" w:lineRule="exact"/>
              <w:rPr>
                <w:sz w:val="20"/>
                <w:szCs w:val="20"/>
                <w:color w:val="auto"/>
              </w:rPr>
            </w:pPr>
            <w:r>
              <w:rPr>
                <w:rFonts w:ascii="Arial" w:cs="Arial" w:eastAsia="Arial" w:hAnsi="Arial"/>
                <w:sz w:val="22"/>
                <w:szCs w:val="22"/>
                <w:color w:val="auto"/>
              </w:rPr>
              <w:t>I.R.S. IDENTIFICATION NOS. OF ABOVE PERSONS (entities only)</w:t>
            </w:r>
          </w:p>
        </w:tc>
        <w:tc>
          <w:tcPr>
            <w:tcW w:w="1980" w:type="dxa"/>
            <w:vAlign w:val="bottom"/>
          </w:tcPr>
          <w:p>
            <w:pPr>
              <w:spacing w:after="0"/>
              <w:rPr>
                <w:sz w:val="19"/>
                <w:szCs w:val="19"/>
                <w:color w:val="auto"/>
              </w:rPr>
            </w:pPr>
          </w:p>
        </w:tc>
      </w:tr>
      <w:tr>
        <w:trPr>
          <w:trHeight w:val="281"/>
        </w:trPr>
        <w:tc>
          <w:tcPr>
            <w:tcW w:w="540" w:type="dxa"/>
            <w:vAlign w:val="bottom"/>
          </w:tcPr>
          <w:p>
            <w:pPr>
              <w:spacing w:after="0"/>
              <w:rPr>
                <w:sz w:val="24"/>
                <w:szCs w:val="24"/>
                <w:color w:val="auto"/>
              </w:rPr>
            </w:pPr>
          </w:p>
        </w:tc>
        <w:tc>
          <w:tcPr>
            <w:tcW w:w="8900" w:type="dxa"/>
            <w:vAlign w:val="bottom"/>
          </w:tcPr>
          <w:p>
            <w:pPr>
              <w:ind w:left="140"/>
              <w:spacing w:after="0"/>
              <w:rPr>
                <w:sz w:val="20"/>
                <w:szCs w:val="20"/>
                <w:color w:val="auto"/>
              </w:rPr>
            </w:pPr>
            <w:r>
              <w:rPr>
                <w:rFonts w:ascii="Arial" w:cs="Arial" w:eastAsia="Arial" w:hAnsi="Arial"/>
                <w:sz w:val="22"/>
                <w:szCs w:val="22"/>
                <w:b w:val="1"/>
                <w:bCs w:val="1"/>
                <w:color w:val="auto"/>
              </w:rPr>
              <w:t>James S. Tisch</w:t>
            </w:r>
          </w:p>
        </w:tc>
        <w:tc>
          <w:tcPr>
            <w:tcW w:w="1980" w:type="dxa"/>
            <w:vAlign w:val="bottom"/>
          </w:tcPr>
          <w:p>
            <w:pPr>
              <w:spacing w:after="0"/>
              <w:rPr>
                <w:sz w:val="24"/>
                <w:szCs w:val="24"/>
                <w:color w:val="auto"/>
              </w:rPr>
            </w:pPr>
          </w:p>
        </w:tc>
      </w:tr>
      <w:tr>
        <w:trPr>
          <w:trHeight w:val="110"/>
        </w:trPr>
        <w:tc>
          <w:tcPr>
            <w:tcW w:w="540" w:type="dxa"/>
            <w:vAlign w:val="bottom"/>
            <w:tcBorders>
              <w:bottom w:val="single" w:sz="8" w:color="2C2C2C"/>
            </w:tcBorders>
          </w:tcPr>
          <w:p>
            <w:pPr>
              <w:spacing w:after="0"/>
              <w:rPr>
                <w:sz w:val="9"/>
                <w:szCs w:val="9"/>
                <w:color w:val="auto"/>
              </w:rPr>
            </w:pPr>
          </w:p>
        </w:tc>
        <w:tc>
          <w:tcPr>
            <w:tcW w:w="8900" w:type="dxa"/>
            <w:vAlign w:val="bottom"/>
            <w:tcBorders>
              <w:bottom w:val="single" w:sz="8" w:color="2C2C2C"/>
            </w:tcBorders>
          </w:tcPr>
          <w:p>
            <w:pPr>
              <w:spacing w:after="0"/>
              <w:rPr>
                <w:sz w:val="9"/>
                <w:szCs w:val="9"/>
                <w:color w:val="auto"/>
              </w:rPr>
            </w:pPr>
          </w:p>
        </w:tc>
        <w:tc>
          <w:tcPr>
            <w:tcW w:w="1980" w:type="dxa"/>
            <w:vAlign w:val="bottom"/>
            <w:tcBorders>
              <w:bottom w:val="single" w:sz="8" w:color="2C2C2C"/>
            </w:tcBorders>
          </w:tcPr>
          <w:p>
            <w:pPr>
              <w:spacing w:after="0"/>
              <w:rPr>
                <w:sz w:val="9"/>
                <w:szCs w:val="9"/>
                <w:color w:val="auto"/>
              </w:rPr>
            </w:pPr>
          </w:p>
        </w:tc>
      </w:tr>
      <w:tr>
        <w:trPr>
          <w:trHeight w:val="294"/>
        </w:trPr>
        <w:tc>
          <w:tcPr>
            <w:tcW w:w="540" w:type="dxa"/>
            <w:vAlign w:val="bottom"/>
            <w:tcBorders>
              <w:top w:val="single" w:sz="8" w:color="2C2C2C"/>
            </w:tcBorders>
          </w:tcPr>
          <w:p>
            <w:pPr>
              <w:jc w:val="right"/>
              <w:spacing w:after="0" w:line="293" w:lineRule="exact"/>
              <w:rPr>
                <w:sz w:val="20"/>
                <w:szCs w:val="20"/>
                <w:color w:val="auto"/>
              </w:rPr>
            </w:pPr>
            <w:r>
              <w:rPr>
                <w:rFonts w:ascii="Arial" w:cs="Arial" w:eastAsia="Arial" w:hAnsi="Arial"/>
                <w:sz w:val="32"/>
                <w:szCs w:val="32"/>
                <w:b w:val="1"/>
                <w:bCs w:val="1"/>
                <w:color w:val="auto"/>
              </w:rPr>
              <w:t>2</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tcBorders>
              <w:top w:val="single" w:sz="8" w:color="2C2C2C"/>
            </w:tcBorders>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54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66"/>
        </w:trPr>
        <w:tc>
          <w:tcPr>
            <w:tcW w:w="540" w:type="dxa"/>
            <w:vAlign w:val="bottom"/>
            <w:tcBorders>
              <w:bottom w:val="single" w:sz="8" w:color="2C2C2C"/>
            </w:tcBorders>
          </w:tcPr>
          <w:p>
            <w:pPr>
              <w:spacing w:after="0"/>
              <w:rPr>
                <w:sz w:val="5"/>
                <w:szCs w:val="5"/>
                <w:color w:val="auto"/>
              </w:rPr>
            </w:pPr>
          </w:p>
        </w:tc>
        <w:tc>
          <w:tcPr>
            <w:tcW w:w="890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r>
      <w:tr>
        <w:trPr>
          <w:trHeight w:val="20"/>
        </w:trPr>
        <w:tc>
          <w:tcPr>
            <w:tcW w:w="540" w:type="dxa"/>
            <w:vAlign w:val="bottom"/>
            <w:tcBorders>
              <w:top w:val="single" w:sz="8" w:color="808080"/>
              <w:left w:val="single" w:sz="8" w:color="808080"/>
            </w:tcBorders>
            <w:shd w:val="clear" w:color="auto" w:fill="2C2C2C"/>
          </w:tcPr>
          <w:p>
            <w:pPr>
              <w:spacing w:after="0" w:line="20" w:lineRule="exact"/>
              <w:rPr>
                <w:sz w:val="1"/>
                <w:szCs w:val="1"/>
                <w:color w:val="auto"/>
              </w:rPr>
            </w:pPr>
          </w:p>
        </w:tc>
        <w:tc>
          <w:tcPr>
            <w:tcW w:w="8900" w:type="dxa"/>
            <w:vAlign w:val="bottom"/>
            <w:tcBorders>
              <w:top w:val="single" w:sz="8" w:color="808080"/>
            </w:tcBorders>
            <w:shd w:val="clear" w:color="auto" w:fill="2C2C2C"/>
          </w:tcPr>
          <w:p>
            <w:pPr>
              <w:spacing w:after="0" w:line="20" w:lineRule="exact"/>
              <w:rPr>
                <w:sz w:val="1"/>
                <w:szCs w:val="1"/>
                <w:color w:val="auto"/>
              </w:rPr>
            </w:pPr>
          </w:p>
        </w:tc>
        <w:tc>
          <w:tcPr>
            <w:tcW w:w="1980" w:type="dxa"/>
            <w:vAlign w:val="bottom"/>
            <w:tcBorders>
              <w:top w:val="single" w:sz="8" w:color="808080"/>
              <w:right w:val="single" w:sz="8" w:color="808080"/>
            </w:tcBorders>
            <w:shd w:val="clear" w:color="auto" w:fill="2C2C2C"/>
          </w:tcPr>
          <w:p>
            <w:pPr>
              <w:spacing w:after="0" w:line="20" w:lineRule="exact"/>
              <w:rPr>
                <w:sz w:val="1"/>
                <w:szCs w:val="1"/>
                <w:color w:val="auto"/>
              </w:rPr>
            </w:pPr>
          </w:p>
        </w:tc>
      </w:tr>
    </w:tbl>
    <w:p>
      <w:pPr>
        <w:sectPr>
          <w:pgSz w:w="11900" w:h="16838" w:orient="portrait"/>
          <w:cols w:equalWidth="0" w:num="1">
            <w:col w:w="11420"/>
          </w:cols>
          <w:pgMar w:left="240" w:top="93" w:right="239" w:bottom="0" w:gutter="0" w:footer="0" w:header="0"/>
        </w:sectPr>
      </w:pPr>
    </w:p>
    <w:bookmarkStart w:id="2" w:name="page3"/>
    <w:bookmarkEnd w:id="2"/>
    <w:p>
      <w:pPr>
        <w:spacing w:after="0" w:line="18" w:lineRule="exact"/>
        <w:rPr>
          <w:sz w:val="20"/>
          <w:szCs w:val="20"/>
          <w:color w:val="auto"/>
        </w:rPr>
      </w:pPr>
    </w:p>
    <w:p>
      <w:pPr>
        <w:ind w:left="240"/>
        <w:spacing w:after="0" w:line="237" w:lineRule="auto"/>
        <w:rPr>
          <w:sz w:val="20"/>
          <w:szCs w:val="20"/>
          <w:color w:val="auto"/>
        </w:rPr>
      </w:pPr>
      <w:r>
        <w:rPr>
          <w:rFonts w:ascii="Arial" w:cs="Arial" w:eastAsia="Arial" w:hAnsi="Arial"/>
          <w:sz w:val="64"/>
          <w:szCs w:val="64"/>
          <w:b w:val="1"/>
          <w:bCs w:val="1"/>
          <w:color w:val="auto"/>
          <w:vertAlign w:val="subscript"/>
        </w:rPr>
        <w:t xml:space="preserve">3 </w:t>
      </w:r>
      <w:r>
        <w:rPr>
          <w:sz w:val="1"/>
          <w:szCs w:val="1"/>
          <w:color w:val="auto"/>
        </w:rPr>
        <w:drawing>
          <wp:inline distT="0" distB="0" distL="0" distR="0">
            <wp:extent cx="42545" cy="37274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545" cy="372745"/>
                    </a:xfrm>
                    <a:prstGeom prst="rect">
                      <a:avLst/>
                    </a:prstGeom>
                    <a:noFill/>
                    <a:ln>
                      <a:noFill/>
                    </a:ln>
                  </pic:spPr>
                </pic:pic>
              </a:graphicData>
            </a:graphic>
          </wp:inline>
        </w:drawing>
      </w:r>
      <w:r>
        <w:rPr>
          <w:rFonts w:ascii="Arial" w:cs="Arial" w:eastAsia="Arial" w:hAnsi="Arial"/>
          <w:sz w:val="22"/>
          <w:szCs w:val="22"/>
          <w:color w:val="auto"/>
        </w:rPr>
        <w:t xml:space="preserve"> 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-372110</wp:posOffset>
            </wp:positionV>
            <wp:extent cx="7272020" cy="4189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189095"/>
                    </a:xfrm>
                    <a:prstGeom prst="rect">
                      <a:avLst/>
                    </a:prstGeom>
                    <a:noFill/>
                  </pic:spPr>
                </pic:pic>
              </a:graphicData>
            </a:graphic>
          </wp:anchor>
        </w:drawing>
      </w:r>
    </w:p>
    <w:p>
      <w:pPr>
        <w:ind w:left="680" w:hanging="449"/>
        <w:spacing w:after="0" w:line="180" w:lineRule="auto"/>
        <w:tabs>
          <w:tab w:leader="none" w:pos="680" w:val="left"/>
        </w:tabs>
        <w:numPr>
          <w:ilvl w:val="0"/>
          <w:numId w:val="6"/>
        </w:numPr>
        <w:rPr>
          <w:rFonts w:ascii="Arial" w:cs="Arial" w:eastAsia="Arial" w:hAnsi="Arial"/>
          <w:sz w:val="38"/>
          <w:szCs w:val="38"/>
          <w:b w:val="1"/>
          <w:bCs w:val="1"/>
          <w:color w:val="auto"/>
          <w:vertAlign w:val="subscript"/>
        </w:rPr>
      </w:pPr>
      <w:r>
        <w:rPr>
          <w:rFonts w:ascii="Arial" w:cs="Arial" w:eastAsia="Arial" w:hAnsi="Arial"/>
          <w:sz w:val="17"/>
          <w:szCs w:val="17"/>
          <w:color w:val="auto"/>
        </w:rPr>
        <w:t>CITIZENSHIP OR PLACE OF ORGANIZATION</w:t>
      </w:r>
    </w:p>
    <w:p>
      <w:pPr>
        <w:ind w:left="680"/>
        <w:spacing w:after="0"/>
        <w:rPr>
          <w:rFonts w:ascii="Arial" w:cs="Arial" w:eastAsia="Arial" w:hAnsi="Arial"/>
          <w:sz w:val="38"/>
          <w:szCs w:val="38"/>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1,253,516</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1,253,516</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1,253,516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3.0%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b w:val="1"/>
                <w:bCs w:val="1"/>
                <w:color w:val="auto"/>
              </w:rPr>
              <w:t>IN</w:t>
            </w: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4 of 13 pages</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680" w:hanging="449"/>
        <w:spacing w:after="0"/>
        <w:tabs>
          <w:tab w:leader="none" w:pos="680" w:val="left"/>
        </w:tabs>
        <w:numPr>
          <w:ilvl w:val="0"/>
          <w:numId w:val="7"/>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Thomas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52736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27367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8"/>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1,253,516</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1,253,516</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1,253,516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3.0%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b w:val="1"/>
                <w:bCs w:val="1"/>
                <w:color w:val="auto"/>
              </w:rPr>
              <w:t>IN</w:t>
            </w: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57" w:orient="portrait"/>
          <w:cols w:equalWidth="0" w:num="1">
            <w:col w:w="11420"/>
          </w:cols>
          <w:pgMar w:left="240" w:top="0" w:right="239" w:bottom="0" w:gutter="0" w:footer="0" w:header="0"/>
        </w:sectPr>
      </w:pPr>
    </w:p>
    <w:bookmarkStart w:id="3" w:name="page4"/>
    <w:bookmarkEnd w:id="3"/>
    <w:p>
      <w:pPr>
        <w:jc w:val="center"/>
        <w:spacing w:after="0"/>
        <w:rPr>
          <w:sz w:val="20"/>
          <w:szCs w:val="20"/>
          <w:color w:val="auto"/>
        </w:rPr>
      </w:pPr>
      <w:r>
        <w:rPr>
          <w:rFonts w:ascii="Arial" w:cs="Arial" w:eastAsia="Arial" w:hAnsi="Arial"/>
          <w:sz w:val="22"/>
          <w:szCs w:val="22"/>
          <w:color w:val="auto"/>
        </w:rPr>
        <w:t>Page 5 of 13 pages</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680" w:hanging="449"/>
        <w:spacing w:after="0"/>
        <w:tabs>
          <w:tab w:leader="none" w:pos="680" w:val="left"/>
        </w:tabs>
        <w:numPr>
          <w:ilvl w:val="0"/>
          <w:numId w:val="9"/>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52736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527367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10"/>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3,400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2,561,545</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3,400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2,561,545</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2,564,945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6.0%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b w:val="1"/>
                <w:bCs w:val="1"/>
                <w:color w:val="auto"/>
              </w:rPr>
              <w:t>IN</w:t>
            </w: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6 of 13 pages</w:t>
      </w:r>
    </w:p>
    <w:p>
      <w:pPr>
        <w:spacing w:after="0" w:line="26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680" w:hanging="449"/>
        <w:spacing w:after="0"/>
        <w:tabs>
          <w:tab w:leader="none" w:pos="680" w:val="left"/>
        </w:tabs>
        <w:numPr>
          <w:ilvl w:val="0"/>
          <w:numId w:val="11"/>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3290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329057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12"/>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120" w:type="dxa"/>
        <w:tblCellMar>
          <w:top w:w="0" w:type="dxa"/>
          <w:left w:w="0" w:type="dxa"/>
          <w:bottom w:w="0" w:type="dxa"/>
          <w:right w:w="0" w:type="dxa"/>
        </w:tblCellMar>
      </w:tblPr>
      <w:tr>
        <w:trPr>
          <w:trHeight w:val="368"/>
        </w:trPr>
        <w:tc>
          <w:tcPr>
            <w:tcW w:w="1620" w:type="dxa"/>
            <w:vAlign w:val="bottom"/>
          </w:tcPr>
          <w:p>
            <w:pPr>
              <w:jc w:val="center"/>
              <w:spacing w:after="0"/>
              <w:rPr>
                <w:sz w:val="20"/>
                <w:szCs w:val="20"/>
                <w:color w:val="auto"/>
              </w:rPr>
            </w:pPr>
            <w:r>
              <w:rPr>
                <w:rFonts w:ascii="Arial" w:cs="Arial" w:eastAsia="Arial" w:hAnsi="Arial"/>
                <w:sz w:val="22"/>
                <w:szCs w:val="22"/>
                <w:color w:val="auto"/>
                <w:w w:val="93"/>
              </w:rPr>
              <w:t>NUMBER OF</w:t>
            </w:r>
          </w:p>
        </w:tc>
        <w:tc>
          <w:tcPr>
            <w:tcW w:w="50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916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225"/>
        </w:trPr>
        <w:tc>
          <w:tcPr>
            <w:tcW w:w="1620" w:type="dxa"/>
            <w:vAlign w:val="bottom"/>
          </w:tcPr>
          <w:p>
            <w:pPr>
              <w:jc w:val="center"/>
              <w:spacing w:after="0" w:line="225" w:lineRule="exact"/>
              <w:rPr>
                <w:sz w:val="20"/>
                <w:szCs w:val="20"/>
                <w:color w:val="auto"/>
              </w:rPr>
            </w:pPr>
            <w:r>
              <w:rPr>
                <w:rFonts w:ascii="Arial" w:cs="Arial" w:eastAsia="Arial" w:hAnsi="Arial"/>
                <w:sz w:val="22"/>
                <w:szCs w:val="22"/>
                <w:color w:val="auto"/>
                <w:w w:val="92"/>
              </w:rPr>
              <w:t>SHARES</w:t>
            </w:r>
          </w:p>
        </w:tc>
        <w:tc>
          <w:tcPr>
            <w:tcW w:w="500" w:type="dxa"/>
            <w:vAlign w:val="bottom"/>
          </w:tcPr>
          <w:p>
            <w:pPr>
              <w:spacing w:after="0"/>
              <w:rPr>
                <w:sz w:val="19"/>
                <w:szCs w:val="19"/>
                <w:color w:val="auto"/>
              </w:rPr>
            </w:pPr>
          </w:p>
        </w:tc>
        <w:tc>
          <w:tcPr>
            <w:tcW w:w="916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250</w:t>
            </w:r>
          </w:p>
        </w:tc>
        <w:tc>
          <w:tcPr>
            <w:tcW w:w="0" w:type="dxa"/>
            <w:vAlign w:val="bottom"/>
          </w:tcPr>
          <w:p>
            <w:pPr>
              <w:spacing w:after="0"/>
              <w:rPr>
                <w:sz w:val="1"/>
                <w:szCs w:val="1"/>
                <w:color w:val="auto"/>
              </w:rPr>
            </w:pPr>
          </w:p>
        </w:tc>
      </w:tr>
      <w:tr>
        <w:trPr>
          <w:trHeight w:val="96"/>
        </w:trPr>
        <w:tc>
          <w:tcPr>
            <w:tcW w:w="162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500" w:type="dxa"/>
            <w:vAlign w:val="bottom"/>
            <w:tcBorders>
              <w:bottom w:val="single" w:sz="8" w:color="2C2C2C"/>
            </w:tcBorders>
          </w:tcPr>
          <w:p>
            <w:pPr>
              <w:spacing w:after="0"/>
              <w:rPr>
                <w:sz w:val="8"/>
                <w:szCs w:val="8"/>
                <w:color w:val="auto"/>
              </w:rPr>
            </w:pPr>
          </w:p>
        </w:tc>
        <w:tc>
          <w:tcPr>
            <w:tcW w:w="916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620" w:type="dxa"/>
            <w:vAlign w:val="bottom"/>
            <w:vMerge w:val="continue"/>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56"/>
        </w:trPr>
        <w:tc>
          <w:tcPr>
            <w:tcW w:w="162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6"/>
              </w:rPr>
              <w:t>OWNED BY</w:t>
            </w:r>
          </w:p>
        </w:tc>
        <w:tc>
          <w:tcPr>
            <w:tcW w:w="50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6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916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2,561,545</w:t>
            </w:r>
          </w:p>
        </w:tc>
        <w:tc>
          <w:tcPr>
            <w:tcW w:w="0" w:type="dxa"/>
            <w:vAlign w:val="bottom"/>
          </w:tcPr>
          <w:p>
            <w:pPr>
              <w:spacing w:after="0"/>
              <w:rPr>
                <w:sz w:val="1"/>
                <w:szCs w:val="1"/>
                <w:color w:val="auto"/>
              </w:rPr>
            </w:pPr>
          </w:p>
        </w:tc>
      </w:tr>
      <w:tr>
        <w:trPr>
          <w:trHeight w:val="193"/>
        </w:trPr>
        <w:tc>
          <w:tcPr>
            <w:tcW w:w="1620" w:type="dxa"/>
            <w:vAlign w:val="bottom"/>
            <w:vMerge w:val="restart"/>
          </w:tcPr>
          <w:p>
            <w:pPr>
              <w:jc w:val="center"/>
              <w:spacing w:after="0" w:line="251" w:lineRule="exact"/>
              <w:rPr>
                <w:sz w:val="20"/>
                <w:szCs w:val="20"/>
                <w:color w:val="auto"/>
              </w:rPr>
            </w:pPr>
            <w:r>
              <w:rPr>
                <w:rFonts w:ascii="Arial" w:cs="Arial" w:eastAsia="Arial" w:hAnsi="Arial"/>
                <w:sz w:val="22"/>
                <w:szCs w:val="22"/>
                <w:color w:val="auto"/>
                <w:w w:val="98"/>
              </w:rPr>
              <w:t>EACH</w:t>
            </w:r>
          </w:p>
        </w:tc>
        <w:tc>
          <w:tcPr>
            <w:tcW w:w="500" w:type="dxa"/>
            <w:vAlign w:val="bottom"/>
            <w:vMerge w:val="continue"/>
          </w:tcPr>
          <w:p>
            <w:pPr>
              <w:spacing w:after="0"/>
              <w:rPr>
                <w:sz w:val="16"/>
                <w:szCs w:val="16"/>
                <w:color w:val="auto"/>
              </w:rPr>
            </w:pPr>
          </w:p>
        </w:tc>
        <w:tc>
          <w:tcPr>
            <w:tcW w:w="9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1620" w:type="dxa"/>
            <w:vAlign w:val="bottom"/>
            <w:vMerge w:val="continue"/>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1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620" w:type="dxa"/>
            <w:vAlign w:val="bottom"/>
          </w:tcPr>
          <w:p>
            <w:pPr>
              <w:jc w:val="center"/>
              <w:spacing w:after="0" w:line="208" w:lineRule="exact"/>
              <w:rPr>
                <w:sz w:val="20"/>
                <w:szCs w:val="20"/>
                <w:color w:val="auto"/>
              </w:rPr>
            </w:pPr>
            <w:r>
              <w:rPr>
                <w:rFonts w:ascii="Arial" w:cs="Arial" w:eastAsia="Arial" w:hAnsi="Arial"/>
                <w:sz w:val="22"/>
                <w:szCs w:val="22"/>
                <w:color w:val="auto"/>
                <w:w w:val="91"/>
              </w:rPr>
              <w:t>REPORTING</w:t>
            </w: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11"/>
        </w:trPr>
        <w:tc>
          <w:tcPr>
            <w:tcW w:w="1620" w:type="dxa"/>
            <w:vAlign w:val="bottom"/>
          </w:tcPr>
          <w:p>
            <w:pPr>
              <w:jc w:val="center"/>
              <w:spacing w:after="0" w:line="210" w:lineRule="exact"/>
              <w:rPr>
                <w:sz w:val="20"/>
                <w:szCs w:val="20"/>
                <w:color w:val="auto"/>
              </w:rPr>
            </w:pPr>
            <w:r>
              <w:rPr>
                <w:rFonts w:ascii="Arial" w:cs="Arial" w:eastAsia="Arial" w:hAnsi="Arial"/>
                <w:sz w:val="22"/>
                <w:szCs w:val="22"/>
                <w:color w:val="auto"/>
                <w:w w:val="90"/>
              </w:rPr>
              <w:t>PERSON</w:t>
            </w:r>
          </w:p>
        </w:tc>
        <w:tc>
          <w:tcPr>
            <w:tcW w:w="50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vMerge w:val="restart"/>
          </w:tcPr>
          <w:p>
            <w:pPr>
              <w:jc w:val="center"/>
              <w:spacing w:after="0"/>
              <w:rPr>
                <w:sz w:val="20"/>
                <w:szCs w:val="20"/>
                <w:color w:val="auto"/>
              </w:rPr>
            </w:pPr>
            <w:r>
              <w:rPr>
                <w:rFonts w:ascii="Arial" w:cs="Arial" w:eastAsia="Arial" w:hAnsi="Arial"/>
                <w:sz w:val="22"/>
                <w:szCs w:val="22"/>
                <w:color w:val="auto"/>
                <w:w w:val="99"/>
              </w:rPr>
              <w:t>WITH</w:t>
            </w:r>
          </w:p>
        </w:tc>
        <w:tc>
          <w:tcPr>
            <w:tcW w:w="500" w:type="dxa"/>
            <w:vAlign w:val="bottom"/>
            <w:tcBorders>
              <w:bottom w:val="single" w:sz="8" w:color="2C2C2C"/>
            </w:tcBorders>
          </w:tcPr>
          <w:p>
            <w:pPr>
              <w:spacing w:after="0"/>
              <w:rPr>
                <w:sz w:val="18"/>
                <w:szCs w:val="18"/>
                <w:color w:val="auto"/>
              </w:rPr>
            </w:pPr>
          </w:p>
        </w:tc>
        <w:tc>
          <w:tcPr>
            <w:tcW w:w="916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250</w:t>
            </w:r>
          </w:p>
        </w:tc>
        <w:tc>
          <w:tcPr>
            <w:tcW w:w="0" w:type="dxa"/>
            <w:vAlign w:val="bottom"/>
          </w:tcPr>
          <w:p>
            <w:pPr>
              <w:spacing w:after="0"/>
              <w:rPr>
                <w:sz w:val="1"/>
                <w:szCs w:val="1"/>
                <w:color w:val="auto"/>
              </w:rPr>
            </w:pPr>
          </w:p>
        </w:tc>
      </w:tr>
      <w:tr>
        <w:trPr>
          <w:trHeight w:val="78"/>
        </w:trPr>
        <w:tc>
          <w:tcPr>
            <w:tcW w:w="16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9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ind w:left="1360"/>
              <w:spacing w:after="0"/>
              <w:rPr>
                <w:sz w:val="20"/>
                <w:szCs w:val="20"/>
                <w:color w:val="auto"/>
              </w:rPr>
            </w:pPr>
            <w:r>
              <w:rPr>
                <w:rFonts w:ascii="Arial" w:cs="Arial" w:eastAsia="Arial" w:hAnsi="Arial"/>
                <w:sz w:val="32"/>
                <w:szCs w:val="32"/>
                <w:b w:val="1"/>
                <w:bCs w:val="1"/>
                <w:color w:val="auto"/>
              </w:rPr>
              <w:t>8</w:t>
            </w: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2,561,545</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978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780" w:type="dxa"/>
            <w:vAlign w:val="bottom"/>
            <w:tcBorders>
              <w:top w:val="single" w:sz="8" w:color="2C2C2C"/>
            </w:tcBorders>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ind w:left="100"/>
              <w:spacing w:after="0"/>
              <w:rPr>
                <w:sz w:val="20"/>
                <w:szCs w:val="20"/>
                <w:color w:val="auto"/>
              </w:rPr>
            </w:pPr>
            <w:r>
              <w:rPr>
                <w:rFonts w:ascii="Arial" w:cs="Arial" w:eastAsia="Arial" w:hAnsi="Arial"/>
                <w:sz w:val="22"/>
                <w:szCs w:val="22"/>
                <w:b w:val="1"/>
                <w:bCs w:val="1"/>
                <w:color w:val="auto"/>
              </w:rPr>
              <w:t>2,561,795</w:t>
            </w: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780" w:type="dxa"/>
            <w:vAlign w:val="bottom"/>
            <w:tcBorders>
              <w:top w:val="single" w:sz="8" w:color="2C2C2C"/>
            </w:tcBorders>
            <w:gridSpan w:val="2"/>
          </w:tcPr>
          <w:p>
            <w:pPr>
              <w:ind w:left="10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60" w:type="dxa"/>
            <w:vAlign w:val="bottom"/>
          </w:tcPr>
          <w:p>
            <w:pPr>
              <w:ind w:left="100"/>
              <w:spacing w:after="0"/>
              <w:rPr>
                <w:sz w:val="20"/>
                <w:szCs w:val="20"/>
                <w:color w:val="auto"/>
              </w:rPr>
            </w:pPr>
            <w:r>
              <w:rPr>
                <w:rFonts w:ascii="Arial" w:cs="Arial" w:eastAsia="Arial" w:hAnsi="Arial"/>
                <w:sz w:val="22"/>
                <w:szCs w:val="22"/>
                <w:color w:val="auto"/>
              </w:rPr>
              <w:t>Instructions)</w:t>
            </w: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92"/>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780" w:type="dxa"/>
            <w:vAlign w:val="bottom"/>
            <w:tcBorders>
              <w:top w:val="single" w:sz="8" w:color="2C2C2C"/>
            </w:tcBorders>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ind w:left="100"/>
              <w:spacing w:after="0"/>
              <w:rPr>
                <w:sz w:val="20"/>
                <w:szCs w:val="20"/>
                <w:color w:val="auto"/>
              </w:rPr>
            </w:pPr>
            <w:r>
              <w:rPr>
                <w:rFonts w:ascii="Arial" w:cs="Arial" w:eastAsia="Arial" w:hAnsi="Arial"/>
                <w:sz w:val="22"/>
                <w:szCs w:val="22"/>
                <w:b w:val="1"/>
                <w:bCs w:val="1"/>
                <w:color w:val="auto"/>
              </w:rPr>
              <w:t>6.0%</w:t>
            </w: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gridSpan w:val="2"/>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780" w:type="dxa"/>
            <w:vAlign w:val="bottom"/>
            <w:tcBorders>
              <w:top w:val="single" w:sz="8" w:color="2C2C2C"/>
            </w:tcBorders>
            <w:gridSpan w:val="2"/>
          </w:tcPr>
          <w:p>
            <w:pPr>
              <w:ind w:left="10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ind w:left="100"/>
              <w:spacing w:after="0"/>
              <w:rPr>
                <w:sz w:val="20"/>
                <w:szCs w:val="20"/>
                <w:color w:val="auto"/>
              </w:rPr>
            </w:pPr>
            <w:r>
              <w:rPr>
                <w:rFonts w:ascii="Arial" w:cs="Arial" w:eastAsia="Arial" w:hAnsi="Arial"/>
                <w:sz w:val="22"/>
                <w:szCs w:val="22"/>
                <w:b w:val="1"/>
                <w:bCs w:val="1"/>
                <w:color w:val="auto"/>
              </w:rPr>
              <w:t>IN</w:t>
            </w: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-2083435</wp:posOffset>
            </wp:positionV>
            <wp:extent cx="42545" cy="3727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545" cy="372745"/>
                    </a:xfrm>
                    <a:prstGeom prst="rect">
                      <a:avLst/>
                    </a:prstGeom>
                    <a:noFill/>
                  </pic:spPr>
                </pic:pic>
              </a:graphicData>
            </a:graphic>
          </wp:anchor>
        </w:drawing>
        <w:drawing>
          <wp:anchor simplePos="0" relativeHeight="251657728" behindDoc="1" locked="0" layoutInCell="0" allowOverlap="1">
            <wp:simplePos x="0" y="0"/>
            <wp:positionH relativeFrom="column">
              <wp:posOffset>1441450</wp:posOffset>
            </wp:positionH>
            <wp:positionV relativeFrom="paragraph">
              <wp:posOffset>-2083435</wp:posOffset>
            </wp:positionV>
            <wp:extent cx="42545" cy="372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545" cy="372745"/>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-1289685</wp:posOffset>
            </wp:positionV>
            <wp:extent cx="42545" cy="436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545" cy="4368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-2083435</wp:posOffset>
            </wp:positionV>
            <wp:extent cx="42545" cy="2096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545" cy="2096770"/>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-2083435</wp:posOffset>
            </wp:positionV>
            <wp:extent cx="42545" cy="2096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545" cy="2096770"/>
                    </a:xfrm>
                    <a:prstGeom prst="rect">
                      <a:avLst/>
                    </a:prstGeom>
                    <a:noFill/>
                  </pic:spPr>
                </pic:pic>
              </a:graphicData>
            </a:graphic>
          </wp:anchor>
        </w:drawing>
        <w:drawing>
          <wp:anchor simplePos="0" relativeHeight="251657728" behindDoc="1" locked="0" layoutInCell="0" allowOverlap="1">
            <wp:simplePos x="0" y="0"/>
            <wp:positionH relativeFrom="column">
              <wp:posOffset>361315</wp:posOffset>
            </wp:positionH>
            <wp:positionV relativeFrom="paragraph">
              <wp:posOffset>-1718945</wp:posOffset>
            </wp:positionV>
            <wp:extent cx="42545" cy="17233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545" cy="17233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7 of 13 pages</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color w:val="auto"/>
        </w:rPr>
        <w:t>Name of Issuer:</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Regeneron Pharmaceuticals, Inc. (the “Issuer”)</w:t>
      </w:r>
    </w:p>
    <w:p>
      <w:pPr>
        <w:spacing w:after="0" w:line="22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19"/>
          <w:szCs w:val="19"/>
          <w:color w:val="auto"/>
        </w:rPr>
        <w:t>Address of Issuer’s Principal Executive Offices:</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777 Old Saw Mill River Road</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Tarrytown, New York 10591-6707</w:t>
      </w:r>
    </w:p>
    <w:p>
      <w:pPr>
        <w:spacing w:after="0" w:line="20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2(a)</w:t>
      </w:r>
      <w:r>
        <w:rPr>
          <w:sz w:val="20"/>
          <w:szCs w:val="20"/>
          <w:color w:val="auto"/>
        </w:rPr>
        <w:tab/>
      </w:r>
      <w:r>
        <w:rPr>
          <w:rFonts w:ascii="Arial" w:cs="Arial" w:eastAsia="Arial" w:hAnsi="Arial"/>
          <w:sz w:val="19"/>
          <w:szCs w:val="19"/>
          <w:color w:val="auto"/>
        </w:rPr>
        <w:t>Name of Person Filing:</w:t>
      </w:r>
    </w:p>
    <w:p>
      <w:pPr>
        <w:spacing w:after="0" w:line="200" w:lineRule="exact"/>
        <w:rPr>
          <w:sz w:val="20"/>
          <w:szCs w:val="20"/>
          <w:color w:val="auto"/>
        </w:rPr>
      </w:pPr>
    </w:p>
    <w:p>
      <w:pPr>
        <w:spacing w:after="0" w:line="255"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This Schedule 13G is being filed jointly by Andrew H. Tisch, Daniel R. Tisch, James S. Tisch, Thomas J. Tisch, Julian 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Baker and Felix J. Baker.</w:t>
      </w:r>
    </w:p>
    <w:p>
      <w:pPr>
        <w:spacing w:after="0" w:line="182"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2(b)</w:t>
      </w:r>
      <w:r>
        <w:rPr>
          <w:sz w:val="20"/>
          <w:szCs w:val="20"/>
          <w:color w:val="auto"/>
        </w:rPr>
        <w:tab/>
      </w:r>
      <w:r>
        <w:rPr>
          <w:rFonts w:ascii="Arial" w:cs="Arial" w:eastAsia="Arial" w:hAnsi="Arial"/>
          <w:sz w:val="19"/>
          <w:szCs w:val="19"/>
          <w:color w:val="auto"/>
        </w:rPr>
        <w:t>Address of Principal Business Office or, if none, Residence:</w:t>
      </w:r>
    </w:p>
    <w:p>
      <w:pPr>
        <w:spacing w:after="0" w:line="200" w:lineRule="exact"/>
        <w:rPr>
          <w:sz w:val="20"/>
          <w:szCs w:val="20"/>
          <w:color w:val="auto"/>
        </w:rPr>
      </w:pPr>
    </w:p>
    <w:p>
      <w:pPr>
        <w:spacing w:after="0" w:line="25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The addresses of the reporting persons are as follows:</w:t>
      </w:r>
    </w:p>
    <w:p>
      <w:pPr>
        <w:spacing w:after="0" w:line="177" w:lineRule="exact"/>
        <w:rPr>
          <w:sz w:val="20"/>
          <w:szCs w:val="20"/>
          <w:color w:val="auto"/>
        </w:rPr>
      </w:pPr>
    </w:p>
    <w:tbl>
      <w:tblPr>
        <w:tblLayout w:type="fixed"/>
        <w:tblInd w:w="116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w w:val="85"/>
              </w:rPr>
              <w:t>Name</w:t>
            </w:r>
          </w:p>
        </w:tc>
        <w:tc>
          <w:tcPr>
            <w:tcW w:w="3480" w:type="dxa"/>
            <w:vAlign w:val="bottom"/>
          </w:tcPr>
          <w:p>
            <w:pPr>
              <w:spacing w:after="0"/>
              <w:rPr>
                <w:sz w:val="21"/>
                <w:szCs w:val="21"/>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rPr>
              <w:t>Business Address</w:t>
            </w:r>
          </w:p>
        </w:tc>
      </w:tr>
      <w:tr>
        <w:trPr>
          <w:trHeight w:val="20"/>
        </w:trPr>
        <w:tc>
          <w:tcPr>
            <w:tcW w:w="52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728"/>
        </w:trPr>
        <w:tc>
          <w:tcPr>
            <w:tcW w:w="4000" w:type="dxa"/>
            <w:vAlign w:val="bottom"/>
            <w:gridSpan w:val="2"/>
          </w:tcPr>
          <w:p>
            <w:pPr>
              <w:spacing w:after="0"/>
              <w:rPr>
                <w:sz w:val="20"/>
                <w:szCs w:val="20"/>
                <w:color w:val="auto"/>
              </w:rPr>
            </w:pPr>
            <w:r>
              <w:rPr>
                <w:rFonts w:ascii="Arial" w:cs="Arial" w:eastAsia="Arial" w:hAnsi="Arial"/>
                <w:sz w:val="22"/>
                <w:szCs w:val="22"/>
                <w:color w:val="auto"/>
              </w:rPr>
              <w:t>Andrew H. Tisch</w:t>
            </w:r>
          </w:p>
        </w:tc>
        <w:tc>
          <w:tcPr>
            <w:tcW w:w="340" w:type="dxa"/>
            <w:vAlign w:val="bottom"/>
          </w:tcPr>
          <w:p>
            <w:pPr>
              <w:spacing w:after="0"/>
              <w:rPr>
                <w:sz w:val="20"/>
                <w:szCs w:val="20"/>
                <w:color w:val="auto"/>
              </w:rPr>
            </w:pPr>
            <w:r>
              <w:rPr>
                <w:rFonts w:ascii="Arial" w:cs="Arial" w:eastAsia="Arial" w:hAnsi="Arial"/>
                <w:sz w:val="22"/>
                <w:szCs w:val="22"/>
                <w:color w:val="auto"/>
                <w:w w:val="87"/>
              </w:rPr>
              <w:t>667</w:t>
            </w:r>
          </w:p>
        </w:tc>
        <w:tc>
          <w:tcPr>
            <w:tcW w:w="2120" w:type="dxa"/>
            <w:vAlign w:val="bottom"/>
            <w:gridSpan w:val="2"/>
          </w:tcPr>
          <w:p>
            <w:pPr>
              <w:ind w:left="40"/>
              <w:spacing w:after="0"/>
              <w:rPr>
                <w:sz w:val="20"/>
                <w:szCs w:val="20"/>
                <w:color w:val="auto"/>
              </w:rPr>
            </w:pPr>
            <w:r>
              <w:rPr>
                <w:rFonts w:ascii="Arial" w:cs="Arial" w:eastAsia="Arial" w:hAnsi="Arial"/>
                <w:sz w:val="22"/>
                <w:szCs w:val="22"/>
                <w:color w:val="auto"/>
              </w:rPr>
              <w:t>Madison Avenue</w:t>
            </w:r>
          </w:p>
        </w:tc>
      </w:tr>
      <w:tr>
        <w:trPr>
          <w:trHeight w:val="275"/>
        </w:trPr>
        <w:tc>
          <w:tcPr>
            <w:tcW w:w="5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4000" w:type="dxa"/>
            <w:vAlign w:val="bottom"/>
            <w:gridSpan w:val="2"/>
          </w:tcPr>
          <w:p>
            <w:pPr>
              <w:spacing w:after="0"/>
              <w:rPr>
                <w:sz w:val="20"/>
                <w:szCs w:val="20"/>
                <w:color w:val="auto"/>
              </w:rPr>
            </w:pPr>
            <w:r>
              <w:rPr>
                <w:rFonts w:ascii="Arial" w:cs="Arial" w:eastAsia="Arial" w:hAnsi="Arial"/>
                <w:sz w:val="22"/>
                <w:szCs w:val="22"/>
                <w:color w:val="auto"/>
              </w:rPr>
              <w:t>Daniel R. Tisch</w:t>
            </w:r>
          </w:p>
        </w:tc>
        <w:tc>
          <w:tcPr>
            <w:tcW w:w="2460" w:type="dxa"/>
            <w:vAlign w:val="bottom"/>
            <w:gridSpan w:val="3"/>
          </w:tcPr>
          <w:p>
            <w:pPr>
              <w:spacing w:after="0"/>
              <w:rPr>
                <w:sz w:val="20"/>
                <w:szCs w:val="20"/>
                <w:color w:val="auto"/>
              </w:rPr>
            </w:pPr>
            <w:r>
              <w:rPr>
                <w:rFonts w:ascii="Arial" w:cs="Arial" w:eastAsia="Arial" w:hAnsi="Arial"/>
                <w:sz w:val="22"/>
                <w:szCs w:val="22"/>
                <w:color w:val="auto"/>
              </w:rPr>
              <w:t>Mentor Partners, L.P.</w:t>
            </w:r>
          </w:p>
        </w:tc>
      </w:tr>
      <w:tr>
        <w:trPr>
          <w:trHeight w:val="243"/>
        </w:trPr>
        <w:tc>
          <w:tcPr>
            <w:tcW w:w="5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40" w:type="dxa"/>
            <w:vAlign w:val="bottom"/>
          </w:tcPr>
          <w:p>
            <w:pPr>
              <w:spacing w:after="0" w:line="243" w:lineRule="exact"/>
              <w:rPr>
                <w:sz w:val="20"/>
                <w:szCs w:val="20"/>
                <w:color w:val="auto"/>
              </w:rPr>
            </w:pPr>
            <w:r>
              <w:rPr>
                <w:rFonts w:ascii="Arial" w:cs="Arial" w:eastAsia="Arial" w:hAnsi="Arial"/>
                <w:sz w:val="22"/>
                <w:szCs w:val="22"/>
                <w:color w:val="auto"/>
                <w:w w:val="87"/>
              </w:rPr>
              <w:t>500</w:t>
            </w:r>
          </w:p>
        </w:tc>
        <w:tc>
          <w:tcPr>
            <w:tcW w:w="2120" w:type="dxa"/>
            <w:vAlign w:val="bottom"/>
            <w:gridSpan w:val="2"/>
          </w:tcPr>
          <w:p>
            <w:pPr>
              <w:ind w:left="40"/>
              <w:spacing w:after="0" w:line="243" w:lineRule="exact"/>
              <w:rPr>
                <w:sz w:val="20"/>
                <w:szCs w:val="20"/>
                <w:color w:val="auto"/>
              </w:rPr>
            </w:pPr>
            <w:r>
              <w:rPr>
                <w:rFonts w:ascii="Arial" w:cs="Arial" w:eastAsia="Arial" w:hAnsi="Arial"/>
                <w:sz w:val="22"/>
                <w:szCs w:val="22"/>
                <w:color w:val="auto"/>
              </w:rPr>
              <w:t>Park Avenue</w:t>
            </w:r>
          </w:p>
        </w:tc>
      </w:tr>
      <w:tr>
        <w:trPr>
          <w:trHeight w:val="275"/>
        </w:trPr>
        <w:tc>
          <w:tcPr>
            <w:tcW w:w="5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4000" w:type="dxa"/>
            <w:vAlign w:val="bottom"/>
            <w:gridSpan w:val="2"/>
          </w:tcPr>
          <w:p>
            <w:pPr>
              <w:spacing w:after="0"/>
              <w:rPr>
                <w:sz w:val="20"/>
                <w:szCs w:val="20"/>
                <w:color w:val="auto"/>
              </w:rPr>
            </w:pPr>
            <w:r>
              <w:rPr>
                <w:rFonts w:ascii="Arial" w:cs="Arial" w:eastAsia="Arial" w:hAnsi="Arial"/>
                <w:sz w:val="22"/>
                <w:szCs w:val="22"/>
                <w:color w:val="auto"/>
              </w:rPr>
              <w:t>James S. Tisch</w:t>
            </w:r>
          </w:p>
        </w:tc>
        <w:tc>
          <w:tcPr>
            <w:tcW w:w="340" w:type="dxa"/>
            <w:vAlign w:val="bottom"/>
          </w:tcPr>
          <w:p>
            <w:pPr>
              <w:spacing w:after="0"/>
              <w:rPr>
                <w:sz w:val="20"/>
                <w:szCs w:val="20"/>
                <w:color w:val="auto"/>
              </w:rPr>
            </w:pPr>
            <w:r>
              <w:rPr>
                <w:rFonts w:ascii="Arial" w:cs="Arial" w:eastAsia="Arial" w:hAnsi="Arial"/>
                <w:sz w:val="22"/>
                <w:szCs w:val="22"/>
                <w:color w:val="auto"/>
                <w:w w:val="87"/>
              </w:rPr>
              <w:t>667</w:t>
            </w:r>
          </w:p>
        </w:tc>
        <w:tc>
          <w:tcPr>
            <w:tcW w:w="2120" w:type="dxa"/>
            <w:vAlign w:val="bottom"/>
            <w:gridSpan w:val="2"/>
          </w:tcPr>
          <w:p>
            <w:pPr>
              <w:ind w:left="40"/>
              <w:spacing w:after="0"/>
              <w:rPr>
                <w:sz w:val="20"/>
                <w:szCs w:val="20"/>
                <w:color w:val="auto"/>
              </w:rPr>
            </w:pPr>
            <w:r>
              <w:rPr>
                <w:rFonts w:ascii="Arial" w:cs="Arial" w:eastAsia="Arial" w:hAnsi="Arial"/>
                <w:sz w:val="22"/>
                <w:szCs w:val="22"/>
                <w:color w:val="auto"/>
              </w:rPr>
              <w:t>Madison Avenue</w:t>
            </w:r>
          </w:p>
        </w:tc>
      </w:tr>
      <w:tr>
        <w:trPr>
          <w:trHeight w:val="275"/>
        </w:trPr>
        <w:tc>
          <w:tcPr>
            <w:tcW w:w="5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4000" w:type="dxa"/>
            <w:vAlign w:val="bottom"/>
            <w:gridSpan w:val="2"/>
          </w:tcPr>
          <w:p>
            <w:pPr>
              <w:spacing w:after="0"/>
              <w:rPr>
                <w:sz w:val="20"/>
                <w:szCs w:val="20"/>
                <w:color w:val="auto"/>
              </w:rPr>
            </w:pPr>
            <w:r>
              <w:rPr>
                <w:rFonts w:ascii="Arial" w:cs="Arial" w:eastAsia="Arial" w:hAnsi="Arial"/>
                <w:sz w:val="22"/>
                <w:szCs w:val="22"/>
                <w:color w:val="auto"/>
              </w:rPr>
              <w:t>Thomas J. Tisch</w:t>
            </w:r>
          </w:p>
        </w:tc>
        <w:tc>
          <w:tcPr>
            <w:tcW w:w="340" w:type="dxa"/>
            <w:vAlign w:val="bottom"/>
          </w:tcPr>
          <w:p>
            <w:pPr>
              <w:spacing w:after="0"/>
              <w:rPr>
                <w:sz w:val="20"/>
                <w:szCs w:val="20"/>
                <w:color w:val="auto"/>
              </w:rPr>
            </w:pPr>
            <w:r>
              <w:rPr>
                <w:rFonts w:ascii="Arial" w:cs="Arial" w:eastAsia="Arial" w:hAnsi="Arial"/>
                <w:sz w:val="22"/>
                <w:szCs w:val="22"/>
                <w:color w:val="auto"/>
                <w:w w:val="87"/>
              </w:rPr>
              <w:t>667</w:t>
            </w:r>
          </w:p>
        </w:tc>
        <w:tc>
          <w:tcPr>
            <w:tcW w:w="2120" w:type="dxa"/>
            <w:vAlign w:val="bottom"/>
            <w:gridSpan w:val="2"/>
          </w:tcPr>
          <w:p>
            <w:pPr>
              <w:ind w:left="40"/>
              <w:spacing w:after="0"/>
              <w:rPr>
                <w:sz w:val="20"/>
                <w:szCs w:val="20"/>
                <w:color w:val="auto"/>
              </w:rPr>
            </w:pPr>
            <w:r>
              <w:rPr>
                <w:rFonts w:ascii="Arial" w:cs="Arial" w:eastAsia="Arial" w:hAnsi="Arial"/>
                <w:sz w:val="22"/>
                <w:szCs w:val="22"/>
                <w:color w:val="auto"/>
              </w:rPr>
              <w:t>Madison Avenue</w:t>
            </w:r>
          </w:p>
        </w:tc>
      </w:tr>
      <w:tr>
        <w:trPr>
          <w:trHeight w:val="275"/>
        </w:trPr>
        <w:tc>
          <w:tcPr>
            <w:tcW w:w="5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4000" w:type="dxa"/>
            <w:vAlign w:val="bottom"/>
            <w:gridSpan w:val="2"/>
          </w:tcPr>
          <w:p>
            <w:pPr>
              <w:spacing w:after="0"/>
              <w:rPr>
                <w:sz w:val="20"/>
                <w:szCs w:val="20"/>
                <w:color w:val="auto"/>
              </w:rPr>
            </w:pPr>
            <w:r>
              <w:rPr>
                <w:rFonts w:ascii="Arial" w:cs="Arial" w:eastAsia="Arial" w:hAnsi="Arial"/>
                <w:sz w:val="22"/>
                <w:szCs w:val="22"/>
                <w:color w:val="auto"/>
              </w:rPr>
              <w:t>Julian C. Baker</w:t>
            </w:r>
          </w:p>
        </w:tc>
        <w:tc>
          <w:tcPr>
            <w:tcW w:w="340" w:type="dxa"/>
            <w:vAlign w:val="bottom"/>
          </w:tcPr>
          <w:p>
            <w:pPr>
              <w:spacing w:after="0"/>
              <w:rPr>
                <w:sz w:val="20"/>
                <w:szCs w:val="20"/>
                <w:color w:val="auto"/>
              </w:rPr>
            </w:pPr>
            <w:r>
              <w:rPr>
                <w:rFonts w:ascii="Arial" w:cs="Arial" w:eastAsia="Arial" w:hAnsi="Arial"/>
                <w:sz w:val="22"/>
                <w:szCs w:val="22"/>
                <w:color w:val="auto"/>
                <w:w w:val="87"/>
              </w:rPr>
              <w:t>655</w:t>
            </w:r>
          </w:p>
        </w:tc>
        <w:tc>
          <w:tcPr>
            <w:tcW w:w="2120" w:type="dxa"/>
            <w:vAlign w:val="bottom"/>
            <w:gridSpan w:val="2"/>
          </w:tcPr>
          <w:p>
            <w:pPr>
              <w:ind w:left="40"/>
              <w:spacing w:after="0"/>
              <w:rPr>
                <w:sz w:val="20"/>
                <w:szCs w:val="20"/>
                <w:color w:val="auto"/>
              </w:rPr>
            </w:pPr>
            <w:r>
              <w:rPr>
                <w:rFonts w:ascii="Arial" w:cs="Arial" w:eastAsia="Arial" w:hAnsi="Arial"/>
                <w:sz w:val="22"/>
                <w:szCs w:val="22"/>
                <w:color w:val="auto"/>
              </w:rPr>
              <w:t>Madison Avenue</w:t>
            </w:r>
          </w:p>
        </w:tc>
      </w:tr>
      <w:tr>
        <w:trPr>
          <w:trHeight w:val="275"/>
        </w:trPr>
        <w:tc>
          <w:tcPr>
            <w:tcW w:w="5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4000" w:type="dxa"/>
            <w:vAlign w:val="bottom"/>
            <w:gridSpan w:val="2"/>
          </w:tcPr>
          <w:p>
            <w:pPr>
              <w:spacing w:after="0"/>
              <w:rPr>
                <w:sz w:val="20"/>
                <w:szCs w:val="20"/>
                <w:color w:val="auto"/>
              </w:rPr>
            </w:pPr>
            <w:r>
              <w:rPr>
                <w:rFonts w:ascii="Arial" w:cs="Arial" w:eastAsia="Arial" w:hAnsi="Arial"/>
                <w:sz w:val="22"/>
                <w:szCs w:val="22"/>
                <w:color w:val="auto"/>
              </w:rPr>
              <w:t>Felix J. Baker</w:t>
            </w:r>
          </w:p>
        </w:tc>
        <w:tc>
          <w:tcPr>
            <w:tcW w:w="340" w:type="dxa"/>
            <w:vAlign w:val="bottom"/>
          </w:tcPr>
          <w:p>
            <w:pPr>
              <w:spacing w:after="0"/>
              <w:rPr>
                <w:sz w:val="20"/>
                <w:szCs w:val="20"/>
                <w:color w:val="auto"/>
              </w:rPr>
            </w:pPr>
            <w:r>
              <w:rPr>
                <w:rFonts w:ascii="Arial" w:cs="Arial" w:eastAsia="Arial" w:hAnsi="Arial"/>
                <w:sz w:val="22"/>
                <w:szCs w:val="22"/>
                <w:color w:val="auto"/>
                <w:w w:val="87"/>
              </w:rPr>
              <w:t>655</w:t>
            </w:r>
          </w:p>
        </w:tc>
        <w:tc>
          <w:tcPr>
            <w:tcW w:w="2120" w:type="dxa"/>
            <w:vAlign w:val="bottom"/>
            <w:gridSpan w:val="2"/>
          </w:tcPr>
          <w:p>
            <w:pPr>
              <w:ind w:left="40"/>
              <w:spacing w:after="0"/>
              <w:rPr>
                <w:sz w:val="20"/>
                <w:szCs w:val="20"/>
                <w:color w:val="auto"/>
              </w:rPr>
            </w:pPr>
            <w:r>
              <w:rPr>
                <w:rFonts w:ascii="Arial" w:cs="Arial" w:eastAsia="Arial" w:hAnsi="Arial"/>
                <w:sz w:val="22"/>
                <w:szCs w:val="22"/>
                <w:color w:val="auto"/>
              </w:rPr>
              <w:t>Madison Avenue</w:t>
            </w:r>
          </w:p>
        </w:tc>
      </w:tr>
      <w:tr>
        <w:trPr>
          <w:trHeight w:val="275"/>
        </w:trPr>
        <w:tc>
          <w:tcPr>
            <w:tcW w:w="52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2460" w:type="dxa"/>
            <w:vAlign w:val="bottom"/>
            <w:gridSpan w:val="3"/>
          </w:tcPr>
          <w:p>
            <w:pPr>
              <w:spacing w:after="0"/>
              <w:rPr>
                <w:sz w:val="20"/>
                <w:szCs w:val="20"/>
                <w:color w:val="auto"/>
              </w:rPr>
            </w:pPr>
            <w:r>
              <w:rPr>
                <w:rFonts w:ascii="Arial" w:cs="Arial" w:eastAsia="Arial" w:hAnsi="Arial"/>
                <w:sz w:val="22"/>
                <w:szCs w:val="22"/>
                <w:color w:val="auto"/>
                <w:w w:val="90"/>
              </w:rPr>
              <w:t>New York, New York 10021</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8 of 13 pages</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2(c)</w:t>
      </w:r>
      <w:r>
        <w:rPr>
          <w:sz w:val="20"/>
          <w:szCs w:val="20"/>
          <w:color w:val="auto"/>
        </w:rPr>
        <w:tab/>
      </w:r>
      <w:r>
        <w:rPr>
          <w:rFonts w:ascii="Arial" w:cs="Arial" w:eastAsia="Arial" w:hAnsi="Arial"/>
          <w:sz w:val="19"/>
          <w:szCs w:val="19"/>
          <w:color w:val="auto"/>
        </w:rPr>
        <w:t>Citizenship:</w:t>
      </w:r>
    </w:p>
    <w:p>
      <w:pPr>
        <w:sectPr>
          <w:pgSz w:w="11900" w:h="16838" w:orient="portrait"/>
          <w:cols w:equalWidth="0" w:num="1">
            <w:col w:w="11420"/>
          </w:cols>
          <w:pgMar w:left="240" w:top="11" w:right="239" w:bottom="0" w:gutter="0" w:footer="0" w:header="0"/>
        </w:sectPr>
      </w:pPr>
    </w:p>
    <w:bookmarkStart w:id="5" w:name="page6"/>
    <w:bookmarkEnd w:id="5"/>
    <w:p>
      <w:pPr>
        <w:spacing w:after="0" w:line="15" w:lineRule="exact"/>
        <w:rPr>
          <w:sz w:val="20"/>
          <w:szCs w:val="20"/>
          <w:color w:val="auto"/>
        </w:rPr>
      </w:pPr>
    </w:p>
    <w:p>
      <w:pPr>
        <w:ind w:right="420" w:firstLine="864"/>
        <w:spacing w:after="0" w:line="251" w:lineRule="auto"/>
        <w:rPr>
          <w:sz w:val="20"/>
          <w:szCs w:val="20"/>
          <w:color w:val="auto"/>
        </w:rPr>
      </w:pPr>
      <w:r>
        <w:rPr>
          <w:rFonts w:ascii="Arial" w:cs="Arial" w:eastAsia="Arial" w:hAnsi="Arial"/>
          <w:sz w:val="22"/>
          <w:szCs w:val="22"/>
          <w:color w:val="auto"/>
        </w:rPr>
        <w:t>Each of Andrew H. Tisch, Daniel R. Tisch, James S. Tisch, Thomas J. Tisch, Julian C. Baker and Felix J. Baker is a United States citizen.</w:t>
      </w:r>
    </w:p>
    <w:p>
      <w:pPr>
        <w:spacing w:after="0" w:line="168"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2(d)</w:t>
      </w:r>
      <w:r>
        <w:rPr>
          <w:sz w:val="20"/>
          <w:szCs w:val="20"/>
          <w:color w:val="auto"/>
        </w:rPr>
        <w:tab/>
      </w:r>
      <w:r>
        <w:rPr>
          <w:rFonts w:ascii="Arial" w:cs="Arial" w:eastAsia="Arial" w:hAnsi="Arial"/>
          <w:sz w:val="19"/>
          <w:szCs w:val="19"/>
          <w:color w:val="auto"/>
        </w:rPr>
        <w:t>Title of Class of Securities: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Common stock, par value $0.001 par value (the “Common Stock”)</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2(e)</w:t>
      </w:r>
      <w:r>
        <w:rPr>
          <w:sz w:val="20"/>
          <w:szCs w:val="20"/>
          <w:color w:val="auto"/>
        </w:rPr>
        <w:tab/>
      </w:r>
      <w:r>
        <w:rPr>
          <w:rFonts w:ascii="Arial" w:cs="Arial" w:eastAsia="Arial" w:hAnsi="Arial"/>
          <w:sz w:val="19"/>
          <w:szCs w:val="19"/>
          <w:color w:val="auto"/>
        </w:rPr>
        <w:t>CUSIP Number:</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75886F 10 7</w:t>
      </w:r>
    </w:p>
    <w:p>
      <w:pPr>
        <w:spacing w:after="0" w:line="200" w:lineRule="exact"/>
        <w:rPr>
          <w:sz w:val="20"/>
          <w:szCs w:val="20"/>
          <w:color w:val="auto"/>
        </w:rPr>
      </w:pPr>
    </w:p>
    <w:p>
      <w:pPr>
        <w:ind w:left="1160" w:right="4240" w:hanging="1147"/>
        <w:spacing w:after="0" w:line="256" w:lineRule="auto"/>
        <w:tabs>
          <w:tab w:leader="none" w:pos="11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 xml:space="preserve">If this statement is filed pursuant to §§240.13d-1(b) or (c), check whether the person filing is a: </w:t>
      </w:r>
      <w:r>
        <w:rPr>
          <w:rFonts w:ascii="Arial" w:cs="Arial" w:eastAsia="Arial" w:hAnsi="Arial"/>
          <w:sz w:val="22"/>
          <w:szCs w:val="22"/>
          <w:color w:val="auto"/>
        </w:rPr>
        <w:t>N/A</w:t>
      </w:r>
    </w:p>
    <w:p>
      <w:pPr>
        <w:spacing w:after="0" w:line="196" w:lineRule="exact"/>
        <w:rPr>
          <w:sz w:val="20"/>
          <w:szCs w:val="20"/>
          <w:color w:val="auto"/>
        </w:rPr>
      </w:pPr>
    </w:p>
    <w:p>
      <w:pPr>
        <w:ind w:left="1280" w:hanging="583"/>
        <w:spacing w:after="0"/>
        <w:tabs>
          <w:tab w:leader="none" w:pos="12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3"/>
        </w:numPr>
        <w:rPr>
          <w:rFonts w:ascii="Arial" w:cs="Arial" w:eastAsia="Arial" w:hAnsi="Arial"/>
          <w:sz w:val="19"/>
          <w:szCs w:val="19"/>
          <w:color w:val="auto"/>
        </w:rPr>
      </w:pPr>
      <w:r>
        <w:rPr>
          <w:rFonts w:ascii="Arial" w:cs="Arial" w:eastAsia="Arial" w:hAnsi="Arial"/>
          <w:sz w:val="19"/>
          <w:szCs w:val="19"/>
          <w:color w:val="auto"/>
        </w:rPr>
        <w:t>[ ]   Investment company registered under section 8 of the Investment Company Act of 1940 (15 U.S.C. 80a-8).</w:t>
      </w:r>
    </w:p>
    <w:p>
      <w:pPr>
        <w:spacing w:after="0" w:line="267" w:lineRule="exact"/>
        <w:rPr>
          <w:rFonts w:ascii="Arial" w:cs="Arial" w:eastAsia="Arial" w:hAnsi="Arial"/>
          <w:sz w:val="19"/>
          <w:szCs w:val="19"/>
          <w:color w:val="auto"/>
        </w:rPr>
      </w:pPr>
    </w:p>
    <w:p>
      <w:pPr>
        <w:ind w:left="1280" w:hanging="583"/>
        <w:spacing w:after="0"/>
        <w:tabs>
          <w:tab w:leader="none" w:pos="12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§240.13d-1(b)(1)(ii)(F).</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§240.13d-1(b)(1)(ii)(G).</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3"/>
        </w:numPr>
        <w:rPr>
          <w:rFonts w:ascii="Arial" w:cs="Arial" w:eastAsia="Arial" w:hAnsi="Arial"/>
          <w:sz w:val="21"/>
          <w:szCs w:val="21"/>
          <w:color w:val="auto"/>
        </w:rPr>
      </w:pPr>
      <w:r>
        <w:rPr>
          <w:rFonts w:ascii="Arial" w:cs="Arial" w:eastAsia="Arial" w:hAnsi="Arial"/>
          <w:sz w:val="21"/>
          <w:szCs w:val="21"/>
          <w:color w:val="auto"/>
        </w:rPr>
        <w:t>[ ]   A savings association as defined in Section 3(b) of the Federal Deposit Insurance Act (12 U.S.C. 1813).</w:t>
      </w:r>
    </w:p>
    <w:p>
      <w:pPr>
        <w:spacing w:after="0" w:line="244" w:lineRule="exact"/>
        <w:rPr>
          <w:rFonts w:ascii="Arial" w:cs="Arial" w:eastAsia="Arial" w:hAnsi="Arial"/>
          <w:sz w:val="21"/>
          <w:szCs w:val="21"/>
          <w:color w:val="auto"/>
        </w:rPr>
      </w:pPr>
    </w:p>
    <w:p>
      <w:pPr>
        <w:ind w:left="1840" w:right="260" w:hanging="1143"/>
        <w:spacing w:after="0" w:line="251" w:lineRule="auto"/>
        <w:tabs>
          <w:tab w:leader="none" w:pos="1273" w:val="left"/>
        </w:tabs>
        <w:numPr>
          <w:ilvl w:val="0"/>
          <w:numId w:val="13"/>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200" w:lineRule="exact"/>
        <w:rPr>
          <w:rFonts w:ascii="Arial" w:cs="Arial" w:eastAsia="Arial" w:hAnsi="Arial"/>
          <w:sz w:val="22"/>
          <w:szCs w:val="22"/>
          <w:color w:val="auto"/>
        </w:rPr>
      </w:pPr>
    </w:p>
    <w:p>
      <w:pPr>
        <w:ind w:left="1280" w:hanging="583"/>
        <w:spacing w:after="0"/>
        <w:tabs>
          <w:tab w:leader="none" w:pos="1280" w:val="left"/>
        </w:tabs>
        <w:numPr>
          <w:ilvl w:val="0"/>
          <w:numId w:val="13"/>
        </w:numPr>
        <w:rPr>
          <w:rFonts w:ascii="Arial" w:cs="Arial" w:eastAsia="Arial" w:hAnsi="Arial"/>
          <w:sz w:val="22"/>
          <w:szCs w:val="22"/>
          <w:color w:val="auto"/>
        </w:rPr>
      </w:pPr>
      <w:r>
        <w:rPr>
          <w:rFonts w:ascii="Arial" w:cs="Arial" w:eastAsia="Arial" w:hAnsi="Arial"/>
          <w:sz w:val="22"/>
          <w:szCs w:val="22"/>
          <w:color w:val="auto"/>
        </w:rPr>
        <w:t>[ ]   Group, in accordance with §240.13d-1(b)(1)(ii)(J).</w:t>
      </w: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Page 9 of 13 pages</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2" w:lineRule="exact"/>
        <w:rPr>
          <w:sz w:val="20"/>
          <w:szCs w:val="20"/>
          <w:color w:val="auto"/>
        </w:rPr>
      </w:pPr>
    </w:p>
    <w:p>
      <w:pPr>
        <w:ind w:firstLine="864"/>
        <w:spacing w:after="0" w:line="279" w:lineRule="auto"/>
        <w:rPr>
          <w:sz w:val="20"/>
          <w:szCs w:val="20"/>
          <w:color w:val="auto"/>
        </w:rPr>
      </w:pPr>
      <w:r>
        <w:rPr>
          <w:rFonts w:ascii="Arial" w:cs="Arial" w:eastAsia="Arial" w:hAnsi="Arial"/>
          <w:sz w:val="19"/>
          <w:szCs w:val="19"/>
          <w:color w:val="auto"/>
        </w:rPr>
        <w:t>Because of certain business and family relationships among the Reporting Persons, they are filing as if they constitute a group solely for informational purposes. By signing this statement, each Reporting Person agrees that this Statement is filed on his behalf. The filing of this statement is not an admission by any Reporting Person that such Reporting Person and any other Reporting Person or Reporting Persons constitute a “group” for purposes of Section 13(d)(3) of the Securities Exchange Act of 1934, as amended, or Rule 13d-5 thereunder. Each Reporting Person disclaims beneficial ownership of any shares of Common Stock owned by any other Reporting Person, except to the extent that beneficial ownership is expressly reported herein.</w:t>
      </w:r>
    </w:p>
    <w:p>
      <w:pPr>
        <w:spacing w:after="0" w:line="151" w:lineRule="exact"/>
        <w:rPr>
          <w:sz w:val="20"/>
          <w:szCs w:val="20"/>
          <w:color w:val="auto"/>
        </w:rPr>
      </w:pPr>
    </w:p>
    <w:p>
      <w:pPr>
        <w:ind w:right="180" w:firstLine="864"/>
        <w:spacing w:after="0" w:line="282" w:lineRule="auto"/>
        <w:rPr>
          <w:sz w:val="20"/>
          <w:szCs w:val="20"/>
          <w:color w:val="auto"/>
        </w:rPr>
      </w:pPr>
      <w:r>
        <w:rPr>
          <w:rFonts w:ascii="Arial" w:cs="Arial" w:eastAsia="Arial" w:hAnsi="Arial"/>
          <w:sz w:val="19"/>
          <w:szCs w:val="19"/>
          <w:color w:val="auto"/>
        </w:rPr>
        <w:t>Set forth in the table below is the aggregate number of shares of Common Stock, including shares of Common Stock issuable upon conversion of 5.50% Convertible Senior Subordinated Notes due 2008, owned as of the date hereof by each of the following persons and entities, together with the percentage of the outstanding shares of Common Stock owned by each such person or entity assuming conversion by such person or entity but not by any other person or entity of the Convertible Senior Subordinated Notes owned by such person or entity, and by all of such persons and entities as a group.</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22"/>
                <w:szCs w:val="22"/>
                <w:color w:val="auto"/>
                <w:w w:val="86"/>
              </w:rPr>
              <w:t>Percent of Class</w:t>
            </w:r>
          </w:p>
        </w:tc>
      </w:tr>
      <w:tr>
        <w:trPr>
          <w:trHeight w:val="224"/>
        </w:trPr>
        <w:tc>
          <w:tcPr>
            <w:tcW w:w="1200" w:type="dxa"/>
            <w:vAlign w:val="bottom"/>
          </w:tcPr>
          <w:p>
            <w:pPr>
              <w:spacing w:after="0"/>
              <w:rPr>
                <w:sz w:val="19"/>
                <w:szCs w:val="19"/>
                <w:color w:val="auto"/>
              </w:rPr>
            </w:pPr>
          </w:p>
        </w:tc>
        <w:tc>
          <w:tcPr>
            <w:tcW w:w="1500" w:type="dxa"/>
            <w:vAlign w:val="bottom"/>
            <w:tcBorders>
              <w:bottom w:val="single" w:sz="8" w:color="auto"/>
            </w:tcBorders>
          </w:tcPr>
          <w:p>
            <w:pPr>
              <w:ind w:left="500"/>
              <w:spacing w:after="0" w:line="224" w:lineRule="exact"/>
              <w:rPr>
                <w:sz w:val="20"/>
                <w:szCs w:val="20"/>
                <w:color w:val="auto"/>
              </w:rPr>
            </w:pPr>
            <w:r>
              <w:rPr>
                <w:rFonts w:ascii="Arial" w:cs="Arial" w:eastAsia="Arial" w:hAnsi="Arial"/>
                <w:sz w:val="22"/>
                <w:szCs w:val="22"/>
                <w:color w:val="auto"/>
              </w:rPr>
              <w:t>Name</w:t>
            </w:r>
          </w:p>
        </w:tc>
        <w:tc>
          <w:tcPr>
            <w:tcW w:w="1980" w:type="dxa"/>
            <w:vAlign w:val="bottom"/>
          </w:tcPr>
          <w:p>
            <w:pPr>
              <w:spacing w:after="0"/>
              <w:rPr>
                <w:sz w:val="19"/>
                <w:szCs w:val="19"/>
                <w:color w:val="auto"/>
              </w:rPr>
            </w:pPr>
          </w:p>
        </w:tc>
        <w:tc>
          <w:tcPr>
            <w:tcW w:w="2220" w:type="dxa"/>
            <w:vAlign w:val="bottom"/>
            <w:tcBorders>
              <w:bottom w:val="single" w:sz="8" w:color="auto"/>
            </w:tcBorders>
          </w:tcPr>
          <w:p>
            <w:pPr>
              <w:jc w:val="right"/>
              <w:ind w:right="232"/>
              <w:spacing w:after="0" w:line="224" w:lineRule="exact"/>
              <w:rPr>
                <w:sz w:val="20"/>
                <w:szCs w:val="20"/>
                <w:color w:val="auto"/>
              </w:rPr>
            </w:pPr>
            <w:r>
              <w:rPr>
                <w:rFonts w:ascii="Arial" w:cs="Arial" w:eastAsia="Arial" w:hAnsi="Arial"/>
                <w:sz w:val="22"/>
                <w:szCs w:val="22"/>
                <w:color w:val="auto"/>
              </w:rPr>
              <w:t>Number of Shares</w:t>
            </w:r>
          </w:p>
        </w:tc>
        <w:tc>
          <w:tcPr>
            <w:tcW w:w="1780" w:type="dxa"/>
            <w:vAlign w:val="bottom"/>
          </w:tcPr>
          <w:p>
            <w:pPr>
              <w:spacing w:after="0"/>
              <w:rPr>
                <w:sz w:val="19"/>
                <w:szCs w:val="19"/>
                <w:color w:val="auto"/>
              </w:rPr>
            </w:pPr>
          </w:p>
        </w:tc>
        <w:tc>
          <w:tcPr>
            <w:tcW w:w="1740" w:type="dxa"/>
            <w:vAlign w:val="bottom"/>
            <w:tcBorders>
              <w:bottom w:val="single" w:sz="8" w:color="auto"/>
            </w:tcBorders>
          </w:tcPr>
          <w:p>
            <w:pPr>
              <w:jc w:val="center"/>
              <w:spacing w:after="0" w:line="224" w:lineRule="exact"/>
              <w:rPr>
                <w:sz w:val="20"/>
                <w:szCs w:val="20"/>
                <w:color w:val="auto"/>
              </w:rPr>
            </w:pPr>
            <w:r>
              <w:rPr>
                <w:rFonts w:ascii="Arial" w:cs="Arial" w:eastAsia="Arial" w:hAnsi="Arial"/>
                <w:sz w:val="22"/>
                <w:szCs w:val="22"/>
                <w:color w:val="auto"/>
                <w:w w:val="89"/>
              </w:rPr>
              <w:t>Outstanding (1)</w:t>
            </w:r>
          </w:p>
        </w:tc>
      </w:tr>
      <w:tr>
        <w:trPr>
          <w:trHeight w:val="485"/>
        </w:trPr>
        <w:tc>
          <w:tcPr>
            <w:tcW w:w="4680" w:type="dxa"/>
            <w:vAlign w:val="bottom"/>
            <w:gridSpan w:val="3"/>
          </w:tcPr>
          <w:p>
            <w:pPr>
              <w:spacing w:after="0"/>
              <w:rPr>
                <w:sz w:val="20"/>
                <w:szCs w:val="20"/>
                <w:color w:val="auto"/>
              </w:rPr>
            </w:pPr>
            <w:r>
              <w:rPr>
                <w:rFonts w:ascii="Arial" w:cs="Arial" w:eastAsia="Arial" w:hAnsi="Arial"/>
                <w:sz w:val="22"/>
                <w:szCs w:val="22"/>
                <w:color w:val="auto"/>
              </w:rPr>
              <w:t>Four Partners</w:t>
            </w:r>
          </w:p>
        </w:tc>
        <w:tc>
          <w:tcPr>
            <w:tcW w:w="2220" w:type="dxa"/>
            <w:vAlign w:val="bottom"/>
          </w:tcPr>
          <w:p>
            <w:pPr>
              <w:jc w:val="right"/>
              <w:ind w:right="592"/>
              <w:spacing w:after="0"/>
              <w:rPr>
                <w:sz w:val="20"/>
                <w:szCs w:val="20"/>
                <w:color w:val="auto"/>
              </w:rPr>
            </w:pPr>
            <w:r>
              <w:rPr>
                <w:rFonts w:ascii="Arial" w:cs="Arial" w:eastAsia="Arial" w:hAnsi="Arial"/>
                <w:sz w:val="22"/>
                <w:szCs w:val="22"/>
                <w:color w:val="auto"/>
              </w:rPr>
              <w:t>1,119,500</w:t>
            </w:r>
          </w:p>
        </w:tc>
        <w:tc>
          <w:tcPr>
            <w:tcW w:w="3520" w:type="dxa"/>
            <w:vAlign w:val="bottom"/>
            <w:gridSpan w:val="2"/>
          </w:tcPr>
          <w:p>
            <w:pPr>
              <w:jc w:val="center"/>
              <w:ind w:left="1652"/>
              <w:spacing w:after="0"/>
              <w:rPr>
                <w:sz w:val="20"/>
                <w:szCs w:val="20"/>
                <w:color w:val="auto"/>
              </w:rPr>
            </w:pPr>
            <w:r>
              <w:rPr>
                <w:rFonts w:ascii="Arial" w:cs="Arial" w:eastAsia="Arial" w:hAnsi="Arial"/>
                <w:sz w:val="22"/>
                <w:szCs w:val="22"/>
                <w:color w:val="auto"/>
                <w:w w:val="87"/>
              </w:rPr>
              <w:t>2.7%</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Andrew H. Tisch (2)</w:t>
            </w:r>
          </w:p>
        </w:tc>
        <w:tc>
          <w:tcPr>
            <w:tcW w:w="2220" w:type="dxa"/>
            <w:vAlign w:val="bottom"/>
          </w:tcPr>
          <w:p>
            <w:pPr>
              <w:jc w:val="right"/>
              <w:ind w:right="572"/>
              <w:spacing w:after="0" w:line="243" w:lineRule="exact"/>
              <w:rPr>
                <w:sz w:val="20"/>
                <w:szCs w:val="20"/>
                <w:color w:val="auto"/>
              </w:rPr>
            </w:pPr>
            <w:r>
              <w:rPr>
                <w:rFonts w:ascii="Arial" w:cs="Arial" w:eastAsia="Arial" w:hAnsi="Arial"/>
                <w:sz w:val="22"/>
                <w:szCs w:val="22"/>
                <w:color w:val="auto"/>
              </w:rPr>
              <w:t>134,016</w:t>
            </w:r>
          </w:p>
        </w:tc>
        <w:tc>
          <w:tcPr>
            <w:tcW w:w="3520" w:type="dxa"/>
            <w:vAlign w:val="bottom"/>
            <w:gridSpan w:val="2"/>
          </w:tcPr>
          <w:p>
            <w:pPr>
              <w:jc w:val="center"/>
              <w:ind w:left="1652"/>
              <w:spacing w:after="0" w:line="243" w:lineRule="exact"/>
              <w:rPr>
                <w:sz w:val="20"/>
                <w:szCs w:val="20"/>
                <w:color w:val="auto"/>
              </w:rPr>
            </w:pPr>
            <w:r>
              <w:rPr>
                <w:rFonts w:ascii="Arial" w:cs="Arial" w:eastAsia="Arial" w:hAnsi="Arial"/>
                <w:sz w:val="22"/>
                <w:szCs w:val="22"/>
                <w:color w:val="auto"/>
                <w:w w:val="87"/>
              </w:rPr>
              <w:t>0.3%</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Daniel R. Tisch (2)</w:t>
            </w:r>
          </w:p>
        </w:tc>
        <w:tc>
          <w:tcPr>
            <w:tcW w:w="2220" w:type="dxa"/>
            <w:vAlign w:val="bottom"/>
          </w:tcPr>
          <w:p>
            <w:pPr>
              <w:jc w:val="right"/>
              <w:ind w:right="572"/>
              <w:spacing w:after="0" w:line="243" w:lineRule="exact"/>
              <w:rPr>
                <w:sz w:val="20"/>
                <w:szCs w:val="20"/>
                <w:color w:val="auto"/>
              </w:rPr>
            </w:pPr>
            <w:r>
              <w:rPr>
                <w:rFonts w:ascii="Arial" w:cs="Arial" w:eastAsia="Arial" w:hAnsi="Arial"/>
                <w:sz w:val="22"/>
                <w:szCs w:val="22"/>
                <w:color w:val="auto"/>
              </w:rPr>
              <w:t>133,983</w:t>
            </w:r>
          </w:p>
        </w:tc>
        <w:tc>
          <w:tcPr>
            <w:tcW w:w="3520" w:type="dxa"/>
            <w:vAlign w:val="bottom"/>
            <w:gridSpan w:val="2"/>
          </w:tcPr>
          <w:p>
            <w:pPr>
              <w:jc w:val="center"/>
              <w:ind w:left="1652"/>
              <w:spacing w:after="0" w:line="243" w:lineRule="exact"/>
              <w:rPr>
                <w:sz w:val="20"/>
                <w:szCs w:val="20"/>
                <w:color w:val="auto"/>
              </w:rPr>
            </w:pPr>
            <w:r>
              <w:rPr>
                <w:rFonts w:ascii="Arial" w:cs="Arial" w:eastAsia="Arial" w:hAnsi="Arial"/>
                <w:sz w:val="22"/>
                <w:szCs w:val="22"/>
                <w:color w:val="auto"/>
                <w:w w:val="87"/>
              </w:rPr>
              <w:t>0.3%</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James S. Tisch (2)</w:t>
            </w:r>
          </w:p>
        </w:tc>
        <w:tc>
          <w:tcPr>
            <w:tcW w:w="2220" w:type="dxa"/>
            <w:vAlign w:val="bottom"/>
          </w:tcPr>
          <w:p>
            <w:pPr>
              <w:jc w:val="right"/>
              <w:ind w:right="572"/>
              <w:spacing w:after="0" w:line="243" w:lineRule="exact"/>
              <w:rPr>
                <w:sz w:val="20"/>
                <w:szCs w:val="20"/>
                <w:color w:val="auto"/>
              </w:rPr>
            </w:pPr>
            <w:r>
              <w:rPr>
                <w:rFonts w:ascii="Arial" w:cs="Arial" w:eastAsia="Arial" w:hAnsi="Arial"/>
                <w:sz w:val="22"/>
                <w:szCs w:val="22"/>
                <w:color w:val="auto"/>
              </w:rPr>
              <w:t>134,016</w:t>
            </w:r>
          </w:p>
        </w:tc>
        <w:tc>
          <w:tcPr>
            <w:tcW w:w="3520" w:type="dxa"/>
            <w:vAlign w:val="bottom"/>
            <w:gridSpan w:val="2"/>
          </w:tcPr>
          <w:p>
            <w:pPr>
              <w:jc w:val="center"/>
              <w:ind w:left="1652"/>
              <w:spacing w:after="0" w:line="243" w:lineRule="exact"/>
              <w:rPr>
                <w:sz w:val="20"/>
                <w:szCs w:val="20"/>
                <w:color w:val="auto"/>
              </w:rPr>
            </w:pPr>
            <w:r>
              <w:rPr>
                <w:rFonts w:ascii="Arial" w:cs="Arial" w:eastAsia="Arial" w:hAnsi="Arial"/>
                <w:sz w:val="22"/>
                <w:szCs w:val="22"/>
                <w:color w:val="auto"/>
                <w:w w:val="87"/>
              </w:rPr>
              <w:t>0.3%</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Thomas J. Tisch (2)</w:t>
            </w:r>
          </w:p>
        </w:tc>
        <w:tc>
          <w:tcPr>
            <w:tcW w:w="2220" w:type="dxa"/>
            <w:vAlign w:val="bottom"/>
          </w:tcPr>
          <w:p>
            <w:pPr>
              <w:jc w:val="right"/>
              <w:ind w:right="592"/>
              <w:spacing w:after="0" w:line="243" w:lineRule="exact"/>
              <w:rPr>
                <w:sz w:val="20"/>
                <w:szCs w:val="20"/>
                <w:color w:val="auto"/>
              </w:rPr>
            </w:pPr>
            <w:r>
              <w:rPr>
                <w:rFonts w:ascii="Arial" w:cs="Arial" w:eastAsia="Arial" w:hAnsi="Arial"/>
                <w:sz w:val="22"/>
                <w:szCs w:val="22"/>
                <w:color w:val="auto"/>
              </w:rPr>
              <w:t>134,116</w:t>
            </w:r>
          </w:p>
        </w:tc>
        <w:tc>
          <w:tcPr>
            <w:tcW w:w="3520" w:type="dxa"/>
            <w:vAlign w:val="bottom"/>
            <w:gridSpan w:val="2"/>
          </w:tcPr>
          <w:p>
            <w:pPr>
              <w:jc w:val="center"/>
              <w:ind w:left="1652"/>
              <w:spacing w:after="0" w:line="243" w:lineRule="exact"/>
              <w:rPr>
                <w:sz w:val="20"/>
                <w:szCs w:val="20"/>
                <w:color w:val="auto"/>
              </w:rPr>
            </w:pPr>
            <w:r>
              <w:rPr>
                <w:rFonts w:ascii="Arial" w:cs="Arial" w:eastAsia="Arial" w:hAnsi="Arial"/>
                <w:sz w:val="22"/>
                <w:szCs w:val="22"/>
                <w:color w:val="auto"/>
                <w:w w:val="87"/>
              </w:rPr>
              <w:t>0.3%</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Baker/Tisch Investments, L.P.</w:t>
            </w:r>
          </w:p>
        </w:tc>
        <w:tc>
          <w:tcPr>
            <w:tcW w:w="2220" w:type="dxa"/>
            <w:vAlign w:val="bottom"/>
          </w:tcPr>
          <w:p>
            <w:pPr>
              <w:jc w:val="right"/>
              <w:ind w:right="572"/>
              <w:spacing w:after="0" w:line="243" w:lineRule="exact"/>
              <w:rPr>
                <w:sz w:val="20"/>
                <w:szCs w:val="20"/>
                <w:color w:val="auto"/>
              </w:rPr>
            </w:pPr>
            <w:r>
              <w:rPr>
                <w:rFonts w:ascii="Arial" w:cs="Arial" w:eastAsia="Arial" w:hAnsi="Arial"/>
                <w:sz w:val="22"/>
                <w:szCs w:val="22"/>
                <w:color w:val="auto"/>
              </w:rPr>
              <w:t>233,793</w:t>
            </w:r>
          </w:p>
        </w:tc>
        <w:tc>
          <w:tcPr>
            <w:tcW w:w="3520" w:type="dxa"/>
            <w:vAlign w:val="bottom"/>
            <w:gridSpan w:val="2"/>
          </w:tcPr>
          <w:p>
            <w:pPr>
              <w:jc w:val="center"/>
              <w:ind w:left="1652"/>
              <w:spacing w:after="0" w:line="243" w:lineRule="exact"/>
              <w:rPr>
                <w:sz w:val="20"/>
                <w:szCs w:val="20"/>
                <w:color w:val="auto"/>
              </w:rPr>
            </w:pPr>
            <w:r>
              <w:rPr>
                <w:rFonts w:ascii="Arial" w:cs="Arial" w:eastAsia="Arial" w:hAnsi="Arial"/>
                <w:sz w:val="22"/>
                <w:szCs w:val="22"/>
                <w:color w:val="auto"/>
                <w:w w:val="87"/>
              </w:rPr>
              <w:t>0.6%</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Baker Bros. Investments, L.P.</w:t>
            </w:r>
          </w:p>
        </w:tc>
        <w:tc>
          <w:tcPr>
            <w:tcW w:w="2220" w:type="dxa"/>
            <w:vAlign w:val="bottom"/>
          </w:tcPr>
          <w:p>
            <w:pPr>
              <w:jc w:val="right"/>
              <w:ind w:right="572"/>
              <w:spacing w:after="0" w:line="243" w:lineRule="exact"/>
              <w:rPr>
                <w:sz w:val="20"/>
                <w:szCs w:val="20"/>
                <w:color w:val="auto"/>
              </w:rPr>
            </w:pPr>
            <w:r>
              <w:rPr>
                <w:rFonts w:ascii="Arial" w:cs="Arial" w:eastAsia="Arial" w:hAnsi="Arial"/>
                <w:sz w:val="22"/>
                <w:szCs w:val="22"/>
                <w:color w:val="auto"/>
              </w:rPr>
              <w:t>141,341</w:t>
            </w:r>
          </w:p>
        </w:tc>
        <w:tc>
          <w:tcPr>
            <w:tcW w:w="3520" w:type="dxa"/>
            <w:vAlign w:val="bottom"/>
            <w:gridSpan w:val="2"/>
          </w:tcPr>
          <w:p>
            <w:pPr>
              <w:jc w:val="center"/>
              <w:ind w:left="1652"/>
              <w:spacing w:after="0" w:line="243" w:lineRule="exact"/>
              <w:rPr>
                <w:sz w:val="20"/>
                <w:szCs w:val="20"/>
                <w:color w:val="auto"/>
              </w:rPr>
            </w:pPr>
            <w:r>
              <w:rPr>
                <w:rFonts w:ascii="Arial" w:cs="Arial" w:eastAsia="Arial" w:hAnsi="Arial"/>
                <w:sz w:val="22"/>
                <w:szCs w:val="22"/>
                <w:color w:val="auto"/>
                <w:w w:val="87"/>
              </w:rPr>
              <w:t>0.3%</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Baker Bros. Investments II, L.P.</w:t>
            </w:r>
          </w:p>
        </w:tc>
        <w:tc>
          <w:tcPr>
            <w:tcW w:w="2220" w:type="dxa"/>
            <w:vAlign w:val="bottom"/>
          </w:tcPr>
          <w:p>
            <w:pPr>
              <w:jc w:val="right"/>
              <w:ind w:right="592"/>
              <w:spacing w:after="0" w:line="243" w:lineRule="exact"/>
              <w:rPr>
                <w:sz w:val="20"/>
                <w:szCs w:val="20"/>
                <w:color w:val="auto"/>
              </w:rPr>
            </w:pPr>
            <w:r>
              <w:rPr>
                <w:rFonts w:ascii="Arial" w:cs="Arial" w:eastAsia="Arial" w:hAnsi="Arial"/>
                <w:sz w:val="22"/>
                <w:szCs w:val="22"/>
                <w:color w:val="auto"/>
              </w:rPr>
              <w:t>118,044</w:t>
            </w:r>
          </w:p>
        </w:tc>
        <w:tc>
          <w:tcPr>
            <w:tcW w:w="3520" w:type="dxa"/>
            <w:vAlign w:val="bottom"/>
            <w:gridSpan w:val="2"/>
          </w:tcPr>
          <w:p>
            <w:pPr>
              <w:jc w:val="center"/>
              <w:ind w:left="1652"/>
              <w:spacing w:after="0" w:line="243" w:lineRule="exact"/>
              <w:rPr>
                <w:sz w:val="20"/>
                <w:szCs w:val="20"/>
                <w:color w:val="auto"/>
              </w:rPr>
            </w:pPr>
            <w:r>
              <w:rPr>
                <w:rFonts w:ascii="Arial" w:cs="Arial" w:eastAsia="Arial" w:hAnsi="Arial"/>
                <w:sz w:val="22"/>
                <w:szCs w:val="22"/>
                <w:color w:val="auto"/>
                <w:w w:val="87"/>
              </w:rPr>
              <w:t>0.3%</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Baker Biotech Fund I, L.P.</w:t>
            </w:r>
          </w:p>
        </w:tc>
        <w:tc>
          <w:tcPr>
            <w:tcW w:w="2220" w:type="dxa"/>
            <w:vAlign w:val="bottom"/>
          </w:tcPr>
          <w:p>
            <w:pPr>
              <w:jc w:val="right"/>
              <w:ind w:right="572"/>
              <w:spacing w:after="0" w:line="243" w:lineRule="exact"/>
              <w:rPr>
                <w:sz w:val="20"/>
                <w:szCs w:val="20"/>
                <w:color w:val="auto"/>
              </w:rPr>
            </w:pPr>
            <w:r>
              <w:rPr>
                <w:rFonts w:ascii="Arial" w:cs="Arial" w:eastAsia="Arial" w:hAnsi="Arial"/>
                <w:sz w:val="22"/>
                <w:szCs w:val="22"/>
                <w:color w:val="auto"/>
              </w:rPr>
              <w:t>789,767</w:t>
            </w:r>
          </w:p>
        </w:tc>
        <w:tc>
          <w:tcPr>
            <w:tcW w:w="3520" w:type="dxa"/>
            <w:vAlign w:val="bottom"/>
            <w:gridSpan w:val="2"/>
          </w:tcPr>
          <w:p>
            <w:pPr>
              <w:jc w:val="center"/>
              <w:ind w:left="1652"/>
              <w:spacing w:after="0" w:line="243" w:lineRule="exact"/>
              <w:rPr>
                <w:sz w:val="20"/>
                <w:szCs w:val="20"/>
                <w:color w:val="auto"/>
              </w:rPr>
            </w:pPr>
            <w:r>
              <w:rPr>
                <w:rFonts w:ascii="Arial" w:cs="Arial" w:eastAsia="Arial" w:hAnsi="Arial"/>
                <w:sz w:val="22"/>
                <w:szCs w:val="22"/>
                <w:color w:val="auto"/>
                <w:w w:val="87"/>
              </w:rPr>
              <w:t>1.9%</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Baker Biotech Fund II, L.P.</w:t>
            </w:r>
          </w:p>
        </w:tc>
        <w:tc>
          <w:tcPr>
            <w:tcW w:w="2220" w:type="dxa"/>
            <w:vAlign w:val="bottom"/>
          </w:tcPr>
          <w:p>
            <w:pPr>
              <w:jc w:val="right"/>
              <w:ind w:right="572"/>
              <w:spacing w:after="0" w:line="243" w:lineRule="exact"/>
              <w:rPr>
                <w:sz w:val="20"/>
                <w:szCs w:val="20"/>
                <w:color w:val="auto"/>
              </w:rPr>
            </w:pPr>
            <w:r>
              <w:rPr>
                <w:rFonts w:ascii="Arial" w:cs="Arial" w:eastAsia="Arial" w:hAnsi="Arial"/>
                <w:sz w:val="22"/>
                <w:szCs w:val="22"/>
                <w:color w:val="auto"/>
              </w:rPr>
              <w:t>1,258,800</w:t>
            </w:r>
          </w:p>
        </w:tc>
        <w:tc>
          <w:tcPr>
            <w:tcW w:w="3520" w:type="dxa"/>
            <w:vAlign w:val="bottom"/>
            <w:gridSpan w:val="2"/>
          </w:tcPr>
          <w:p>
            <w:pPr>
              <w:jc w:val="center"/>
              <w:ind w:left="1652"/>
              <w:spacing w:after="0" w:line="243" w:lineRule="exact"/>
              <w:rPr>
                <w:sz w:val="20"/>
                <w:szCs w:val="20"/>
                <w:color w:val="auto"/>
              </w:rPr>
            </w:pPr>
            <w:r>
              <w:rPr>
                <w:rFonts w:ascii="Arial" w:cs="Arial" w:eastAsia="Arial" w:hAnsi="Arial"/>
                <w:sz w:val="22"/>
                <w:szCs w:val="22"/>
                <w:color w:val="auto"/>
                <w:w w:val="87"/>
              </w:rPr>
              <w:t>3.0%</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FBB Associates</w:t>
            </w:r>
          </w:p>
        </w:tc>
        <w:tc>
          <w:tcPr>
            <w:tcW w:w="2220" w:type="dxa"/>
            <w:vAlign w:val="bottom"/>
          </w:tcPr>
          <w:p>
            <w:pPr>
              <w:jc w:val="right"/>
              <w:ind w:right="572"/>
              <w:spacing w:after="0" w:line="243" w:lineRule="exact"/>
              <w:rPr>
                <w:sz w:val="20"/>
                <w:szCs w:val="20"/>
                <w:color w:val="auto"/>
              </w:rPr>
            </w:pPr>
            <w:r>
              <w:rPr>
                <w:rFonts w:ascii="Arial" w:cs="Arial" w:eastAsia="Arial" w:hAnsi="Arial"/>
                <w:sz w:val="22"/>
                <w:szCs w:val="22"/>
                <w:color w:val="auto"/>
              </w:rPr>
              <w:t>19,800</w:t>
            </w:r>
          </w:p>
        </w:tc>
        <w:tc>
          <w:tcPr>
            <w:tcW w:w="3520" w:type="dxa"/>
            <w:vAlign w:val="bottom"/>
            <w:gridSpan w:val="2"/>
          </w:tcPr>
          <w:p>
            <w:pPr>
              <w:jc w:val="center"/>
              <w:ind w:left="1652"/>
              <w:spacing w:after="0" w:line="243" w:lineRule="exact"/>
              <w:rPr>
                <w:sz w:val="20"/>
                <w:szCs w:val="20"/>
                <w:color w:val="auto"/>
              </w:rPr>
            </w:pPr>
            <w:r>
              <w:rPr>
                <w:rFonts w:ascii="Arial" w:cs="Arial" w:eastAsia="Arial" w:hAnsi="Arial"/>
                <w:sz w:val="22"/>
                <w:szCs w:val="22"/>
                <w:color w:val="auto"/>
                <w:w w:val="87"/>
              </w:rPr>
              <w:t>0.0%</w:t>
            </w:r>
          </w:p>
        </w:tc>
      </w:tr>
      <w:tr>
        <w:trPr>
          <w:trHeight w:val="243"/>
        </w:trPr>
        <w:tc>
          <w:tcPr>
            <w:tcW w:w="4680" w:type="dxa"/>
            <w:vAlign w:val="bottom"/>
            <w:gridSpan w:val="3"/>
          </w:tcPr>
          <w:p>
            <w:pPr>
              <w:spacing w:after="0" w:line="243" w:lineRule="exact"/>
              <w:rPr>
                <w:sz w:val="20"/>
                <w:szCs w:val="20"/>
                <w:color w:val="auto"/>
              </w:rPr>
            </w:pPr>
            <w:r>
              <w:rPr>
                <w:rFonts w:ascii="Arial" w:cs="Arial" w:eastAsia="Arial" w:hAnsi="Arial"/>
                <w:sz w:val="22"/>
                <w:szCs w:val="22"/>
                <w:color w:val="auto"/>
              </w:rPr>
              <w:t>Julian C. Baker</w:t>
            </w:r>
          </w:p>
        </w:tc>
        <w:tc>
          <w:tcPr>
            <w:tcW w:w="2220" w:type="dxa"/>
            <w:vAlign w:val="bottom"/>
          </w:tcPr>
          <w:p>
            <w:pPr>
              <w:jc w:val="right"/>
              <w:ind w:right="572"/>
              <w:spacing w:after="0" w:line="243" w:lineRule="exact"/>
              <w:rPr>
                <w:sz w:val="20"/>
                <w:szCs w:val="20"/>
                <w:color w:val="auto"/>
              </w:rPr>
            </w:pPr>
            <w:r>
              <w:rPr>
                <w:rFonts w:ascii="Arial" w:cs="Arial" w:eastAsia="Arial" w:hAnsi="Arial"/>
                <w:sz w:val="22"/>
                <w:szCs w:val="22"/>
                <w:color w:val="auto"/>
              </w:rPr>
              <w:t>3,400</w:t>
            </w:r>
          </w:p>
        </w:tc>
        <w:tc>
          <w:tcPr>
            <w:tcW w:w="3520" w:type="dxa"/>
            <w:vAlign w:val="bottom"/>
            <w:gridSpan w:val="2"/>
          </w:tcPr>
          <w:p>
            <w:pPr>
              <w:jc w:val="center"/>
              <w:ind w:left="1652"/>
              <w:spacing w:after="0" w:line="243" w:lineRule="exact"/>
              <w:rPr>
                <w:sz w:val="20"/>
                <w:szCs w:val="20"/>
                <w:color w:val="auto"/>
              </w:rPr>
            </w:pPr>
            <w:r>
              <w:rPr>
                <w:rFonts w:ascii="Arial" w:cs="Arial" w:eastAsia="Arial" w:hAnsi="Arial"/>
                <w:sz w:val="22"/>
                <w:szCs w:val="22"/>
                <w:color w:val="auto"/>
                <w:w w:val="87"/>
              </w:rPr>
              <w:t>0.0%</w:t>
            </w:r>
          </w:p>
        </w:tc>
      </w:tr>
      <w:tr>
        <w:trPr>
          <w:trHeight w:val="275"/>
        </w:trPr>
        <w:tc>
          <w:tcPr>
            <w:tcW w:w="4680" w:type="dxa"/>
            <w:vAlign w:val="bottom"/>
            <w:gridSpan w:val="3"/>
          </w:tcPr>
          <w:p>
            <w:pPr>
              <w:spacing w:after="0"/>
              <w:rPr>
                <w:sz w:val="20"/>
                <w:szCs w:val="20"/>
                <w:color w:val="auto"/>
              </w:rPr>
            </w:pPr>
            <w:r>
              <w:rPr>
                <w:rFonts w:ascii="Arial" w:cs="Arial" w:eastAsia="Arial" w:hAnsi="Arial"/>
                <w:sz w:val="22"/>
                <w:szCs w:val="22"/>
                <w:color w:val="auto"/>
              </w:rPr>
              <w:t>Felix J. Baker</w:t>
            </w:r>
          </w:p>
        </w:tc>
        <w:tc>
          <w:tcPr>
            <w:tcW w:w="2220" w:type="dxa"/>
            <w:vAlign w:val="bottom"/>
          </w:tcPr>
          <w:p>
            <w:pPr>
              <w:jc w:val="right"/>
              <w:ind w:right="612"/>
              <w:spacing w:after="0"/>
              <w:rPr>
                <w:sz w:val="20"/>
                <w:szCs w:val="20"/>
                <w:color w:val="auto"/>
              </w:rPr>
            </w:pPr>
            <w:r>
              <w:rPr>
                <w:rFonts w:ascii="Arial" w:cs="Arial" w:eastAsia="Arial" w:hAnsi="Arial"/>
                <w:sz w:val="22"/>
                <w:szCs w:val="22"/>
                <w:color w:val="auto"/>
              </w:rPr>
              <w:t>250</w:t>
            </w:r>
          </w:p>
        </w:tc>
        <w:tc>
          <w:tcPr>
            <w:tcW w:w="3520" w:type="dxa"/>
            <w:vAlign w:val="bottom"/>
            <w:gridSpan w:val="2"/>
          </w:tcPr>
          <w:p>
            <w:pPr>
              <w:jc w:val="center"/>
              <w:ind w:left="1652"/>
              <w:spacing w:after="0"/>
              <w:rPr>
                <w:sz w:val="20"/>
                <w:szCs w:val="20"/>
                <w:color w:val="auto"/>
              </w:rPr>
            </w:pPr>
            <w:r>
              <w:rPr>
                <w:rFonts w:ascii="Arial" w:cs="Arial" w:eastAsia="Arial" w:hAnsi="Arial"/>
                <w:sz w:val="22"/>
                <w:szCs w:val="22"/>
                <w:color w:val="auto"/>
                <w:w w:val="87"/>
              </w:rPr>
              <w:t>0.0%</w:t>
            </w:r>
          </w:p>
        </w:tc>
      </w:tr>
    </w:tbl>
    <w:p>
      <w:pPr>
        <w:sectPr>
          <w:pgSz w:w="11900" w:h="16853" w:orient="portrait"/>
          <w:cols w:equalWidth="0" w:num="1">
            <w:col w:w="11300"/>
          </w:cols>
          <w:pgMar w:left="240" w:top="118" w:right="359" w:bottom="0" w:gutter="0" w:footer="0" w:header="0"/>
        </w:sectPr>
      </w:pPr>
    </w:p>
    <w:bookmarkStart w:id="6" w:name="page7"/>
    <w:bookmarkEnd w:id="6"/>
    <w:p>
      <w:pPr>
        <w:spacing w:after="0" w:line="20" w:lineRule="exact"/>
        <w:rPr>
          <w:sz w:val="20"/>
          <w:szCs w:val="20"/>
          <w:color w:val="auto"/>
        </w:rPr>
      </w:pPr>
    </w:p>
    <w:tbl>
      <w:tblPr>
        <w:tblLayout w:type="fixed"/>
        <w:tblInd w:w="440" w:type="dxa"/>
        <w:tblCellMar>
          <w:top w:w="0" w:type="dxa"/>
          <w:left w:w="0" w:type="dxa"/>
          <w:bottom w:w="0" w:type="dxa"/>
          <w:right w:w="0" w:type="dxa"/>
        </w:tblCellMar>
      </w:tblPr>
      <w:tr>
        <w:trPr>
          <w:trHeight w:val="275"/>
        </w:trPr>
        <w:tc>
          <w:tcPr>
            <w:tcW w:w="2680" w:type="dxa"/>
            <w:vAlign w:val="bottom"/>
          </w:tcPr>
          <w:p>
            <w:pPr>
              <w:spacing w:after="0"/>
              <w:rPr>
                <w:sz w:val="20"/>
                <w:szCs w:val="20"/>
                <w:color w:val="auto"/>
              </w:rPr>
            </w:pPr>
            <w:r>
              <w:rPr>
                <w:rFonts w:ascii="Arial" w:cs="Arial" w:eastAsia="Arial" w:hAnsi="Arial"/>
                <w:sz w:val="22"/>
                <w:szCs w:val="22"/>
                <w:color w:val="auto"/>
              </w:rPr>
              <w:t>Total</w:t>
            </w:r>
          </w:p>
        </w:tc>
        <w:tc>
          <w:tcPr>
            <w:tcW w:w="4640" w:type="dxa"/>
            <w:vAlign w:val="bottom"/>
          </w:tcPr>
          <w:p>
            <w:pPr>
              <w:jc w:val="right"/>
              <w:ind w:right="1432"/>
              <w:spacing w:after="0"/>
              <w:rPr>
                <w:sz w:val="20"/>
                <w:szCs w:val="20"/>
                <w:color w:val="auto"/>
              </w:rPr>
            </w:pPr>
            <w:r>
              <w:rPr>
                <w:rFonts w:ascii="Arial" w:cs="Arial" w:eastAsia="Arial" w:hAnsi="Arial"/>
                <w:sz w:val="22"/>
                <w:szCs w:val="22"/>
                <w:color w:val="auto"/>
              </w:rPr>
              <w:t>4,220,726</w:t>
            </w:r>
          </w:p>
        </w:tc>
        <w:tc>
          <w:tcPr>
            <w:tcW w:w="2000" w:type="dxa"/>
            <w:vAlign w:val="bottom"/>
          </w:tcPr>
          <w:p>
            <w:pPr>
              <w:jc w:val="right"/>
              <w:spacing w:after="0"/>
              <w:rPr>
                <w:sz w:val="20"/>
                <w:szCs w:val="20"/>
                <w:color w:val="auto"/>
              </w:rPr>
            </w:pPr>
            <w:r>
              <w:rPr>
                <w:rFonts w:ascii="Arial" w:cs="Arial" w:eastAsia="Arial" w:hAnsi="Arial"/>
                <w:sz w:val="22"/>
                <w:szCs w:val="22"/>
                <w:color w:val="auto"/>
              </w:rPr>
              <w:t>9.8%</w:t>
            </w:r>
          </w:p>
        </w:tc>
      </w:tr>
    </w:tbl>
    <w:p>
      <w:pPr>
        <w:spacing w:after="0" w:line="212" w:lineRule="exact"/>
        <w:rPr>
          <w:sz w:val="20"/>
          <w:szCs w:val="20"/>
          <w:color w:val="auto"/>
        </w:rPr>
      </w:pPr>
    </w:p>
    <w:p>
      <w:pPr>
        <w:ind w:left="580" w:right="60" w:hanging="572"/>
        <w:spacing w:after="0"/>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percentages set forth in the table above are based on 42,017,103 shares of Common Stock outstanding at March 13, 2003, as reported in the Form 10-K of the Issuer for the year ended December 31, 2002, and on a conversion price of $30.25 for the Convertible Senior Subordinated Notes.</w:t>
      </w:r>
    </w:p>
    <w:p>
      <w:pPr>
        <w:spacing w:after="0" w:line="213" w:lineRule="exact"/>
        <w:rPr>
          <w:rFonts w:ascii="Arial" w:cs="Arial" w:eastAsia="Arial" w:hAnsi="Arial"/>
          <w:sz w:val="22"/>
          <w:szCs w:val="22"/>
          <w:color w:val="auto"/>
        </w:rPr>
      </w:pPr>
    </w:p>
    <w:p>
      <w:pPr>
        <w:ind w:left="580" w:right="560" w:hanging="572"/>
        <w:spacing w:after="0" w:line="251" w:lineRule="auto"/>
        <w:tabs>
          <w:tab w:leader="none" w:pos="5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Includes shares held by a trust in which the Reporting Person is the trustee or beneficiary and has voting or investment control over the shares of Common Stock held by such trust.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10 of 13 pages</w:t>
      </w:r>
    </w:p>
    <w:p>
      <w:pPr>
        <w:spacing w:after="0" w:line="206" w:lineRule="exact"/>
        <w:rPr>
          <w:sz w:val="20"/>
          <w:szCs w:val="20"/>
          <w:color w:val="auto"/>
        </w:rPr>
      </w:pPr>
    </w:p>
    <w:p>
      <w:pPr>
        <w:jc w:val="center"/>
        <w:ind w:left="300"/>
        <w:spacing w:after="0"/>
        <w:rPr>
          <w:sz w:val="20"/>
          <w:szCs w:val="20"/>
          <w:color w:val="auto"/>
        </w:rPr>
      </w:pPr>
      <w:r>
        <w:rPr>
          <w:rFonts w:ascii="Arial" w:cs="Arial" w:eastAsia="Arial" w:hAnsi="Arial"/>
          <w:sz w:val="21"/>
          <w:szCs w:val="21"/>
          <w:color w:val="auto"/>
        </w:rPr>
        <w:t>The following persons may be regarded as beneficial owners of the shares listed above for the reasons listed below:</w:t>
      </w:r>
    </w:p>
    <w:p>
      <w:pPr>
        <w:spacing w:after="0" w:line="218" w:lineRule="exact"/>
        <w:rPr>
          <w:sz w:val="20"/>
          <w:szCs w:val="20"/>
          <w:color w:val="auto"/>
        </w:rPr>
      </w:pPr>
    </w:p>
    <w:p>
      <w:pPr>
        <w:ind w:left="1840" w:hanging="576"/>
        <w:spacing w:after="0" w:line="287" w:lineRule="auto"/>
        <w:tabs>
          <w:tab w:leader="none" w:pos="18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By virtue of their status as managing trustees of the trusts which are the general partners of Four Partners, a New York general partnership, Andrew H. Tisch, Daniel R. Tisch, James S. Tisch and Thomas J. Tisch may be deemed to have shared beneficial ownership of securities owned by Four Partners and shared power to vote or direct the vote of and to dispose or direct the disposition of such securities.</w:t>
      </w:r>
    </w:p>
    <w:p>
      <w:pPr>
        <w:spacing w:after="0" w:line="170" w:lineRule="exact"/>
        <w:rPr>
          <w:rFonts w:ascii="Arial" w:cs="Arial" w:eastAsia="Arial" w:hAnsi="Arial"/>
          <w:sz w:val="19"/>
          <w:szCs w:val="19"/>
          <w:color w:val="auto"/>
        </w:rPr>
      </w:pPr>
    </w:p>
    <w:p>
      <w:pPr>
        <w:ind w:left="1840" w:hanging="576"/>
        <w:spacing w:after="0"/>
        <w:tabs>
          <w:tab w:leader="none" w:pos="1840" w:val="left"/>
        </w:tabs>
        <w:numPr>
          <w:ilvl w:val="0"/>
          <w:numId w:val="15"/>
        </w:numPr>
        <w:rPr>
          <w:rFonts w:ascii="Arial" w:cs="Arial" w:eastAsia="Arial" w:hAnsi="Arial"/>
          <w:sz w:val="22"/>
          <w:szCs w:val="22"/>
          <w:color w:val="auto"/>
        </w:rPr>
      </w:pPr>
      <w:r>
        <w:rPr>
          <w:rFonts w:ascii="Arial" w:cs="Arial" w:eastAsia="Arial" w:hAnsi="Arial"/>
          <w:sz w:val="22"/>
          <w:szCs w:val="22"/>
          <w:color w:val="auto"/>
        </w:rPr>
        <w:t>By virtue of his status as manager of Four Partners, Thomas J. Tisch may be deemed to have power to vote or direct the vote of securities owned by Four Partners and power to dispose or direct the disposition of securities owned by Four Partners.</w:t>
      </w:r>
    </w:p>
    <w:p>
      <w:pPr>
        <w:spacing w:after="0" w:line="213" w:lineRule="exact"/>
        <w:rPr>
          <w:rFonts w:ascii="Arial" w:cs="Arial" w:eastAsia="Arial" w:hAnsi="Arial"/>
          <w:sz w:val="22"/>
          <w:szCs w:val="22"/>
          <w:color w:val="auto"/>
        </w:rPr>
      </w:pPr>
    </w:p>
    <w:p>
      <w:pPr>
        <w:ind w:left="1840" w:right="60" w:hanging="576"/>
        <w:spacing w:after="0" w:line="275" w:lineRule="auto"/>
        <w:tabs>
          <w:tab w:leader="none" w:pos="18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Julian C. Baker and Felix J. Baker, by virtue of their ownership of entities that have the power to control the investment decisions of Baker/Tisch Investments, L.P., Baker Bros. Investments, L.P., Baker Bros. Investments II, L.P., Baker Biotech Fund I, L.P., and Baker Biotech Fund II, L.P., may each be deemed to be beneficial owners of securities owned by such entities and may each be deemed to have shared power to vote or direct the vote and to dispose or direct the disposition of such securities. Julian C. Baker and Felix J. Baker are also the sole partners of FBB Associates, a general partnership, and as such may each be deemed to be beneficial owners of securities owned by FBB Associates and to have shared power to vote or direct the vote and to dispose or direct the disposition of such securities.</w:t>
      </w:r>
    </w:p>
    <w:p>
      <w:pPr>
        <w:spacing w:after="0" w:line="17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right="720" w:firstLine="864"/>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 N/A</w:t>
      </w:r>
    </w:p>
    <w:p>
      <w:pPr>
        <w:spacing w:after="0" w:line="145"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jc w:val="both"/>
        <w:ind w:left="1160" w:right="4020" w:hanging="1147"/>
        <w:spacing w:after="0" w:line="243" w:lineRule="auto"/>
        <w:tabs>
          <w:tab w:leader="none" w:pos="114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 or Control Person.</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6"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Page 11 of 13 pages</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12" w:lineRule="exact"/>
        <w:rPr>
          <w:sz w:val="20"/>
          <w:szCs w:val="20"/>
          <w:color w:val="auto"/>
        </w:rPr>
      </w:pPr>
    </w:p>
    <w:p>
      <w:pPr>
        <w:ind w:right="40" w:firstLine="864"/>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60" w:firstLine="864"/>
        <w:spacing w:after="0" w:line="251" w:lineRule="auto"/>
        <w:rPr>
          <w:sz w:val="20"/>
          <w:szCs w:val="20"/>
          <w:color w:val="auto"/>
        </w:rPr>
      </w:pPr>
      <w:r>
        <w:rPr>
          <w:rFonts w:ascii="Arial" w:cs="Arial" w:eastAsia="Arial" w:hAnsi="Arial"/>
          <w:sz w:val="22"/>
          <w:szCs w:val="22"/>
          <w:color w:val="auto"/>
        </w:rPr>
        <w:t>After reasonable inquiry and to the best of my knowledge and belief, I hereby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April 2, 2003</w:t>
      </w:r>
    </w:p>
    <w:p>
      <w:pPr>
        <w:sectPr>
          <w:pgSz w:w="11900" w:h="16859" w:orient="portrait"/>
          <w:cols w:equalWidth="0" w:num="1">
            <w:col w:w="11400"/>
          </w:cols>
          <w:pgMar w:left="240" w:top="361" w:right="259" w:bottom="0" w:gutter="0" w:footer="0" w:header="0"/>
        </w:sectPr>
      </w:pPr>
    </w:p>
    <w:bookmarkStart w:id="7" w:name="page8"/>
    <w:bookmarkEnd w:id="7"/>
    <w:p>
      <w:pPr>
        <w:ind w:left="5980"/>
        <w:spacing w:after="0"/>
        <w:rPr>
          <w:sz w:val="20"/>
          <w:szCs w:val="20"/>
          <w:color w:val="auto"/>
        </w:rPr>
      </w:pPr>
      <w:r>
        <w:rPr>
          <w:rFonts w:ascii="Arial" w:cs="Arial" w:eastAsia="Arial" w:hAnsi="Arial"/>
          <w:sz w:val="22"/>
          <w:szCs w:val="22"/>
          <w:color w:val="auto"/>
        </w:rPr>
        <w:t>/s/ Andrew H.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Andrew H.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Daniel R.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Daniel R.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James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James J.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Thomas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Thomas J.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Julian C. Baker</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Felix J. Baker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Page 12 of 13 pages</w:t>
      </w:r>
    </w:p>
    <w:p>
      <w:pPr>
        <w:spacing w:after="0" w:line="206" w:lineRule="exact"/>
        <w:rPr>
          <w:sz w:val="20"/>
          <w:szCs w:val="20"/>
          <w:color w:val="auto"/>
        </w:rPr>
      </w:pPr>
    </w:p>
    <w:p>
      <w:pPr>
        <w:jc w:val="center"/>
        <w:ind w:right="-379"/>
        <w:spacing w:after="0"/>
        <w:rPr>
          <w:sz w:val="20"/>
          <w:szCs w:val="20"/>
          <w:color w:val="auto"/>
        </w:rPr>
      </w:pPr>
      <w:r>
        <w:rPr>
          <w:rFonts w:ascii="Arial" w:cs="Arial" w:eastAsia="Arial" w:hAnsi="Arial"/>
          <w:sz w:val="22"/>
          <w:szCs w:val="22"/>
          <w:color w:val="auto"/>
        </w:rPr>
        <w:t>AGREEMENT</w:t>
      </w:r>
    </w:p>
    <w:p>
      <w:pPr>
        <w:spacing w:after="0" w:line="206" w:lineRule="exact"/>
        <w:rPr>
          <w:sz w:val="20"/>
          <w:szCs w:val="20"/>
          <w:color w:val="auto"/>
        </w:rPr>
      </w:pPr>
    </w:p>
    <w:p>
      <w:pPr>
        <w:ind w:firstLine="864"/>
        <w:spacing w:after="0" w:line="297" w:lineRule="auto"/>
        <w:rPr>
          <w:sz w:val="20"/>
          <w:szCs w:val="20"/>
          <w:color w:val="auto"/>
        </w:rPr>
      </w:pPr>
      <w:r>
        <w:rPr>
          <w:rFonts w:ascii="Arial" w:cs="Arial" w:eastAsia="Arial" w:hAnsi="Arial"/>
          <w:sz w:val="19"/>
          <w:szCs w:val="19"/>
          <w:color w:val="auto"/>
        </w:rPr>
        <w:t>In accordance with Rule 13d-1(k)(1) under the Securities Exchange Act of 1934, as amended, the undersigned hereby agree that this Statement on Schedule 13G relating to the Common Stock, $0.001 par value per share, of Regeneron Pharmaceuticals, Inc., is being filed with the Securities and Exchange Commission on behalf of each of them.</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April 2, 2003</w:t>
      </w:r>
    </w:p>
    <w:p>
      <w:pPr>
        <w:spacing w:after="0" w:line="20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Andrew H.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Andrew H.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Daniel R.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Daniel R.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James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James J.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Thomas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Thomas J.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Julian C. Baker</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ectPr>
          <w:pgSz w:w="11900" w:h="16838" w:orient="portrait"/>
          <w:cols w:equalWidth="0" w:num="1">
            <w:col w:w="11040"/>
          </w:cols>
          <w:pgMar w:left="240" w:top="118" w:right="619" w:bottom="0" w:gutter="0" w:footer="0" w:header="0"/>
        </w:sectPr>
      </w:pPr>
    </w:p>
    <w:bookmarkStart w:id="8" w:name="page9"/>
    <w:bookmarkEnd w:id="8"/>
    <w:p>
      <w:pPr>
        <w:jc w:val="right"/>
        <w:ind w:right="3039"/>
        <w:spacing w:after="0"/>
        <w:rPr>
          <w:sz w:val="20"/>
          <w:szCs w:val="20"/>
          <w:color w:val="auto"/>
        </w:rPr>
      </w:pPr>
      <w:r>
        <w:rPr>
          <w:rFonts w:ascii="Arial" w:cs="Arial" w:eastAsia="Arial" w:hAnsi="Arial"/>
          <w:sz w:val="22"/>
          <w:szCs w:val="22"/>
          <w:color w:val="auto"/>
        </w:rPr>
        <w:t>Felix J. Baker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13 pages</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bullet"/>
      <w:start w:val="1"/>
    </w:lvl>
  </w:abstractNum>
  <w:abstractNum w:abstractNumId="2">
    <w:nsid w:val="5BD062C2"/>
    <w:multiLevelType w:val="hybridMultilevel"/>
    <w:lvl w:ilvl="0">
      <w:lvlJc w:val="left"/>
      <w:lvlText w:val="4"/>
      <w:numFmt w:val="bullet"/>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4"/>
      <w:numFmt w:val="bullet"/>
      <w:start w:val="1"/>
    </w:lvl>
  </w:abstractNum>
  <w:abstractNum w:abstractNumId="5">
    <w:nsid w:val="216231B"/>
    <w:multiLevelType w:val="hybridMultilevel"/>
    <w:lvl w:ilvl="0">
      <w:lvlJc w:val="left"/>
      <w:lvlText w:val="4"/>
      <w:numFmt w:val="bullet"/>
      <w:start w:val="1"/>
    </w:lvl>
  </w:abstractNum>
  <w:abstractNum w:abstractNumId="6">
    <w:nsid w:val="1F16E9E8"/>
    <w:multiLevelType w:val="hybridMultilevel"/>
    <w:lvl w:ilvl="0">
      <w:lvlJc w:val="left"/>
      <w:lvlText w:val="1"/>
      <w:numFmt w:val="bullet"/>
      <w:start w:val="1"/>
    </w:lvl>
  </w:abstractNum>
  <w:abstractNum w:abstractNumId="7">
    <w:nsid w:val="1190CDE7"/>
    <w:multiLevelType w:val="hybridMultilevel"/>
    <w:lvl w:ilvl="0">
      <w:lvlJc w:val="left"/>
      <w:lvlText w:val="4"/>
      <w:numFmt w:val="bullet"/>
      <w:start w:val="1"/>
    </w:lvl>
  </w:abstractNum>
  <w:abstractNum w:abstractNumId="8">
    <w:nsid w:val="66EF438D"/>
    <w:multiLevelType w:val="hybridMultilevel"/>
    <w:lvl w:ilvl="0">
      <w:lvlJc w:val="left"/>
      <w:lvlText w:val="1"/>
      <w:numFmt w:val="bullet"/>
      <w:start w:val="1"/>
    </w:lvl>
  </w:abstractNum>
  <w:abstractNum w:abstractNumId="9">
    <w:nsid w:val="140E0F76"/>
    <w:multiLevelType w:val="hybridMultilevel"/>
    <w:lvl w:ilvl="0">
      <w:lvlJc w:val="left"/>
      <w:lvlText w:val="4"/>
      <w:numFmt w:val="bullet"/>
      <w:start w:val="1"/>
    </w:lvl>
  </w:abstractNum>
  <w:abstractNum w:abstractNumId="10">
    <w:nsid w:val="3352255A"/>
    <w:multiLevelType w:val="hybridMultilevel"/>
    <w:lvl w:ilvl="0">
      <w:lvlJc w:val="left"/>
      <w:lvlText w:val="1"/>
      <w:numFmt w:val="bullet"/>
      <w:start w:val="1"/>
    </w:lvl>
  </w:abstractNum>
  <w:abstractNum w:abstractNumId="11">
    <w:nsid w:val="109CF92E"/>
    <w:multiLevelType w:val="hybridMultilevel"/>
    <w:lvl w:ilvl="0">
      <w:lvlJc w:val="left"/>
      <w:lvlText w:val="4"/>
      <w:numFmt w:val="bullet"/>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2019-12-19T23:34:17Z</dcterms:created>
  <dcterms:modified xsi:type="dcterms:W3CDTF">2019-12-19T23:34:17Z</dcterms:modified>
</cp:coreProperties>
</file>