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34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3425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GOLDSTEIN JOSEPH L</w:t>
              </w:r>
            </w:hyperlink>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11"/>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2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restart"/>
          </w:tcPr>
          <w:p>
            <w:pPr>
              <w:ind w:left="6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32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10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Borders>
              <w:top w:val="single" w:sz="8" w:color="2C2C2C"/>
            </w:tcBorders>
          </w:tcPr>
          <w:p>
            <w:pPr>
              <w:spacing w:after="0"/>
              <w:rPr>
                <w:sz w:val="13"/>
                <w:szCs w:val="13"/>
                <w:color w:val="auto"/>
              </w:rPr>
            </w:pPr>
          </w:p>
        </w:tc>
        <w:tc>
          <w:tcPr>
            <w:tcW w:w="420" w:type="dxa"/>
            <w:vAlign w:val="bottom"/>
            <w:tcBorders>
              <w:top w:val="single" w:sz="8" w:color="2C2C2C"/>
            </w:tcBorders>
          </w:tcPr>
          <w:p>
            <w:pPr>
              <w:spacing w:after="0"/>
              <w:rPr>
                <w:sz w:val="13"/>
                <w:szCs w:val="13"/>
                <w:color w:val="auto"/>
              </w:rPr>
            </w:pPr>
          </w:p>
        </w:tc>
        <w:tc>
          <w:tcPr>
            <w:tcW w:w="220" w:type="dxa"/>
            <w:vAlign w:val="bottom"/>
            <w:tcBorders>
              <w:top w:val="single" w:sz="8" w:color="2C2C2C"/>
            </w:tcBorders>
          </w:tcPr>
          <w:p>
            <w:pPr>
              <w:spacing w:after="0"/>
              <w:rPr>
                <w:sz w:val="13"/>
                <w:szCs w:val="13"/>
                <w:color w:val="auto"/>
              </w:rPr>
            </w:pPr>
          </w:p>
        </w:tc>
        <w:tc>
          <w:tcPr>
            <w:tcW w:w="220" w:type="dxa"/>
            <w:vAlign w:val="bottom"/>
            <w:tcBorders>
              <w:top w:val="single" w:sz="8" w:color="2C2C2C"/>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ind w:left="120"/>
              <w:spacing w:after="0" w:line="114"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ind w:left="240"/>
              <w:spacing w:after="0" w:line="114"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700" w:type="dxa"/>
            <w:vAlign w:val="bottom"/>
            <w:gridSpan w:val="6"/>
          </w:tcPr>
          <w:p>
            <w:pPr>
              <w:ind w:left="260"/>
              <w:spacing w:after="0"/>
              <w:rPr>
                <w:sz w:val="20"/>
                <w:szCs w:val="20"/>
                <w:color w:val="auto"/>
              </w:rPr>
            </w:pPr>
            <w:r>
              <w:rPr>
                <w:rFonts w:ascii="Arial" w:cs="Arial" w:eastAsia="Arial" w:hAnsi="Arial"/>
                <w:sz w:val="17"/>
                <w:szCs w:val="17"/>
                <w:color w:val="0000FF"/>
              </w:rPr>
              <w:t>03/25/2014</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880" w:type="dxa"/>
            <w:vAlign w:val="bottom"/>
            <w:tcBorders>
              <w:bottom w:val="single" w:sz="8" w:color="2C2C2C"/>
            </w:tcBorders>
            <w:gridSpan w:val="5"/>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740" w:type="dxa"/>
            <w:vAlign w:val="bottom"/>
            <w:gridSpan w:val="11"/>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vMerge w:val="restart"/>
          </w:tcPr>
          <w:p>
            <w:pPr>
              <w:spacing w:after="0"/>
              <w:rPr>
                <w:sz w:val="7"/>
                <w:szCs w:val="7"/>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spacing w:after="0"/>
              <w:rPr>
                <w:sz w:val="20"/>
                <w:szCs w:val="20"/>
                <w:color w:val="auto"/>
              </w:rPr>
            </w:pPr>
            <w:r>
              <w:rPr>
                <w:rFonts w:ascii="Arial" w:cs="Arial" w:eastAsia="Arial" w:hAnsi="Arial"/>
                <w:sz w:val="17"/>
                <w:szCs w:val="17"/>
                <w:color w:val="0000FF"/>
              </w:rPr>
              <w:t>10591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880" w:type="dxa"/>
            <w:vAlign w:val="bottom"/>
            <w:tcBorders>
              <w:bottom w:val="single" w:sz="8" w:color="2C2C2C"/>
            </w:tcBorders>
            <w:gridSpan w:val="5"/>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740" w:type="dxa"/>
            <w:vAlign w:val="bottom"/>
            <w:tcBorders>
              <w:top w:val="single" w:sz="8" w:color="2C2C2C"/>
            </w:tcBorders>
            <w:gridSpan w:val="20"/>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7"/>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00" w:type="dxa"/>
            <w:vAlign w:val="bottom"/>
            <w:gridSpan w:val="6"/>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gridSpan w:val="2"/>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03/25/2014</w:t>
            </w:r>
          </w:p>
        </w:tc>
        <w:tc>
          <w:tcPr>
            <w:tcW w:w="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8"/>
              </w:rPr>
              <w:t>10,000</w:t>
            </w:r>
          </w:p>
        </w:tc>
        <w:tc>
          <w:tcPr>
            <w:tcW w:w="64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w:t>
            </w:r>
            <w:r>
              <w:rPr>
                <w:rFonts w:ascii="Arial" w:cs="Arial" w:eastAsia="Arial" w:hAnsi="Arial"/>
                <w:sz w:val="22"/>
                <w:szCs w:val="22"/>
                <w:color w:val="008000"/>
                <w:vertAlign w:val="superscript"/>
              </w:rPr>
              <w:t>(1)</w:t>
            </w: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20"/>
          </w:tcPr>
          <w:p>
            <w:pPr>
              <w:ind w:left="2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00" w:type="dxa"/>
            <w:vAlign w:val="bottom"/>
            <w:gridSpan w:val="17"/>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6"/>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4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5"/>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2"/>
                <w:szCs w:val="22"/>
                <w:color w:val="008000"/>
                <w:vertAlign w:val="superscript"/>
              </w:rPr>
              <w:t>(1)</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03/25/2014</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4"/>
          </w:tcPr>
          <w:p>
            <w:pPr>
              <w:ind w:left="80"/>
              <w:spacing w:after="0"/>
              <w:rPr>
                <w:sz w:val="20"/>
                <w:szCs w:val="20"/>
                <w:color w:val="auto"/>
              </w:rPr>
            </w:pPr>
            <w:r>
              <w:rPr>
                <w:rFonts w:ascii="Arial" w:cs="Arial" w:eastAsia="Arial" w:hAnsi="Arial"/>
                <w:sz w:val="13"/>
                <w:szCs w:val="13"/>
                <w:color w:val="0000FF"/>
              </w:rPr>
              <w:t>C</w:t>
            </w:r>
          </w:p>
        </w:tc>
        <w:tc>
          <w:tcPr>
            <w:tcW w:w="940" w:type="dxa"/>
            <w:vAlign w:val="bottom"/>
          </w:tcPr>
          <w:p>
            <w:pPr>
              <w:ind w:left="480"/>
              <w:spacing w:after="0"/>
              <w:rPr>
                <w:sz w:val="20"/>
                <w:szCs w:val="20"/>
                <w:color w:val="auto"/>
              </w:rPr>
            </w:pPr>
            <w:r>
              <w:rPr>
                <w:rFonts w:ascii="Arial" w:cs="Arial" w:eastAsia="Arial" w:hAnsi="Arial"/>
                <w:sz w:val="13"/>
                <w:szCs w:val="13"/>
                <w:color w:val="0000FF"/>
              </w:rPr>
              <w:t>10,000</w:t>
            </w: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22"/>
                <w:szCs w:val="2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22"/>
                <w:szCs w:val="22"/>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jc w:val="right"/>
              <w:ind w:right="6"/>
              <w:spacing w:after="0"/>
              <w:rPr>
                <w:sz w:val="20"/>
                <w:szCs w:val="20"/>
                <w:color w:val="auto"/>
              </w:rPr>
            </w:pPr>
            <w:r>
              <w:rPr>
                <w:rFonts w:ascii="Arial" w:cs="Arial" w:eastAsia="Arial" w:hAnsi="Arial"/>
                <w:sz w:val="17"/>
                <w:szCs w:val="17"/>
                <w:color w:val="0000FF"/>
                <w:w w:val="88"/>
              </w:rPr>
              <w:t>10,000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20,000</w:t>
            </w:r>
          </w:p>
        </w:tc>
        <w:tc>
          <w:tcPr>
            <w:tcW w:w="280" w:type="dxa"/>
            <w:vAlign w:val="bottom"/>
          </w:tcPr>
          <w:p>
            <w:pPr>
              <w:spacing w:after="0"/>
              <w:rPr>
                <w:sz w:val="22"/>
                <w:szCs w:val="22"/>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Class A Stock of Regeneron Pharmaceuticals, Inc. ("Regeneron") converts to Common Stock of Regeneron on a one-to-one basis upon certain events or upon election of the shareholder.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Class A Stock are presently convertible and such conversion feature does not expire.</w:t>
      </w:r>
    </w:p>
    <w:p>
      <w:pPr>
        <w:spacing w:after="0" w:line="69"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By: /s/**Douglas McCorkle</w:t>
            </w:r>
          </w:p>
        </w:tc>
        <w:tc>
          <w:tcPr>
            <w:tcW w:w="32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03/27/2014</w:t>
            </w:r>
          </w:p>
        </w:tc>
        <w:tc>
          <w:tcPr>
            <w:tcW w:w="0" w:type="dxa"/>
            <w:vAlign w:val="bottom"/>
          </w:tcPr>
          <w:p>
            <w:pPr>
              <w:spacing w:after="0"/>
              <w:rPr>
                <w:sz w:val="1"/>
                <w:szCs w:val="1"/>
                <w:color w:val="auto"/>
              </w:rPr>
            </w:pPr>
          </w:p>
        </w:tc>
      </w:tr>
      <w:tr>
        <w:trPr>
          <w:trHeight w:val="92"/>
        </w:trPr>
        <w:tc>
          <w:tcPr>
            <w:tcW w:w="2080" w:type="dxa"/>
            <w:vAlign w:val="bottom"/>
            <w:gridSpan w:val="2"/>
            <w:vMerge w:val="restart"/>
          </w:tcPr>
          <w:p>
            <w:pPr>
              <w:spacing w:after="0"/>
              <w:rPr>
                <w:sz w:val="20"/>
                <w:szCs w:val="20"/>
                <w:color w:val="auto"/>
              </w:rPr>
            </w:pPr>
            <w:r>
              <w:rPr>
                <w:rFonts w:ascii="Arial" w:cs="Arial" w:eastAsia="Arial" w:hAnsi="Arial"/>
                <w:sz w:val="17"/>
                <w:szCs w:val="17"/>
                <w:color w:val="0000FF"/>
                <w:w w:val="95"/>
              </w:rPr>
              <w:t>For: /s/**Joseph L. Goldstein</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80" w:type="dxa"/>
            <w:vAlign w:val="bottom"/>
            <w:tcBorders>
              <w:bottom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36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12" w:lineRule="exact"/>
        <w:rPr>
          <w:sz w:val="20"/>
          <w:szCs w:val="20"/>
          <w:color w:val="auto"/>
        </w:rPr>
      </w:pPr>
    </w:p>
    <w:p>
      <w:pPr>
        <w:ind w:right="1839" w:firstLine="628"/>
        <w:spacing w:after="0" w:line="25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195" w:lineRule="exact"/>
        <w:rPr>
          <w:sz w:val="20"/>
          <w:szCs w:val="20"/>
          <w:color w:val="auto"/>
        </w:rPr>
      </w:pPr>
    </w:p>
    <w:p>
      <w:pPr>
        <w:ind w:left="1260" w:right="2139" w:hanging="624"/>
        <w:spacing w:after="0" w:line="253" w:lineRule="auto"/>
        <w:tabs>
          <w:tab w:leader="none" w:pos="12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195" w:lineRule="exact"/>
        <w:rPr>
          <w:rFonts w:ascii="Courier New" w:cs="Courier New" w:eastAsia="Courier New" w:hAnsi="Courier New"/>
          <w:sz w:val="17"/>
          <w:szCs w:val="17"/>
          <w:color w:val="auto"/>
        </w:rPr>
      </w:pPr>
    </w:p>
    <w:p>
      <w:pPr>
        <w:ind w:left="1260" w:right="1839" w:hanging="624"/>
        <w:spacing w:after="0" w:line="252" w:lineRule="auto"/>
        <w:tabs>
          <w:tab w:leader="none" w:pos="12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left="1260" w:right="1839" w:hanging="624"/>
        <w:spacing w:after="0" w:line="251" w:lineRule="auto"/>
        <w:tabs>
          <w:tab w:leader="none" w:pos="12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1839" w:firstLine="628"/>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1" w:lineRule="exact"/>
        <w:rPr>
          <w:sz w:val="20"/>
          <w:szCs w:val="20"/>
          <w:color w:val="auto"/>
        </w:rPr>
      </w:pPr>
    </w:p>
    <w:p>
      <w:pPr>
        <w:ind w:right="1939" w:firstLine="628"/>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7" w:lineRule="exact"/>
        <w:rPr>
          <w:sz w:val="20"/>
          <w:szCs w:val="20"/>
          <w:color w:val="auto"/>
        </w:rPr>
      </w:pPr>
    </w:p>
    <w:p>
      <w:pPr>
        <w:ind w:right="2359"/>
        <w:spacing w:after="0" w:line="25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September, 2005.</w:t>
      </w:r>
    </w:p>
    <w:p>
      <w:pPr>
        <w:spacing w:after="0" w:line="393"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**/s/Joseph L. Goldstein</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7"/>
          <w:szCs w:val="17"/>
          <w:color w:val="auto"/>
        </w:rPr>
        <w:t>Joseph L. Goldstein</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47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2019-12-18T09:24:18Z</dcterms:created>
  <dcterms:modified xsi:type="dcterms:W3CDTF">2019-12-18T09:24:18Z</dcterms:modified>
</cp:coreProperties>
</file>