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324731d9_sctota.htm"/>
      <w:bookmarkStart w:id="1" w:name="kstm2324731d9_sctota"/>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br/>
      </w: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SCHEDULE TO</w:t>
      </w:r>
      <w:r>
        <w:rPr>
          <w:rFonts w:ascii="Times New Roman;Times;Serif" w:hAnsi="Times New Roman;Times;Serif"/>
          <w:b/>
          <w:i w:val="false"/>
          <w:caps w:val="false"/>
          <w:smallCaps w:val="false"/>
          <w:sz w:val="20"/>
        </w:rPr>
        <w:br/>
        <w:t>Tender Offer Statement Pursuant to Section 14(d)(1) or 13(e)(1)</w:t>
        <w:br/>
        <w:t>of the Securities Exchange Act of 1934</w:t>
        <w:br/>
        <w:t>(Amendment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DECIBEL THERAPEUTICS, INC.</w:t>
        <w:br/>
      </w:r>
      <w:r>
        <w:rPr>
          <w:rFonts w:ascii="Times New Roman;Times;Serif" w:hAnsi="Times New Roman;Times;Serif"/>
          <w:b/>
          <w:i w:val="false"/>
          <w:caps w:val="false"/>
          <w:smallCaps w:val="false"/>
          <w:sz w:val="20"/>
        </w:rPr>
        <w:t>(Name of Subject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6"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SYMPHONY ACQUISITION SUB,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REGENERON PHARMACEUTICALS, INC.</w:t>
      </w:r>
      <w:r>
        <w:rPr>
          <w:rFonts w:ascii="Times New Roman;Times;Serif" w:hAnsi="Times New Roman;Times;Serif"/>
          <w:b/>
          <w:i w:val="false"/>
          <w:caps w:val="false"/>
          <w:smallCaps w:val="false"/>
          <w:sz w:val="20"/>
        </w:rPr>
        <w:br/>
        <w:t>(Parent of Offeror)</w:t>
        <w:br/>
        <w:t>(Names of Filing Persons)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$0.001 per share</w:t>
        <w:b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24343R106</w:t>
        <w:br/>
        <w:t>(CUSIP Number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J. LaRosa, Esq.</w:t>
        <w:br/>
        <w:t>Regeneron Pharmaceuticals, Inc.</w:t>
        <w:br/>
        <w:t>Executive Vice President, General Counsel and Secretary</w:t>
        <w:br/>
        <w:t>777 Old Saw Mill River Road</w:t>
        <w:br/>
        <w:t>Tarrytown, New York 10591-6707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 847-7000</w:t>
        <w:br/>
        <w:t xml:space="preserve">(Name, Address and Telephone Number of Person Authorized to Receive Notices and Communications on Behalf of Filing Persons)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With a copy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Andrew R. Brownstein, Esq.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Victor Goldfeld, Esq.</w:t>
        <w:br/>
        <w:t>Wachtell, Lipton, Rosen &amp; Katz</w:t>
        <w:br/>
        <w:t>51 West 52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w:t>
        <w:br/>
        <w:t>New York, NY 10019</w:t>
        <w:br/>
        <w:t>(212) 403-1000</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Check the box if the filing relates solely to preliminary communications made before the commencement of a tender offer.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firstLine="36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3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left"/>
              <w:rPr/>
            </w:pPr>
            <w:r>
              <w:rPr/>
              <w:t>third-party tender offer subject to Rule 14d-1.</w:t>
            </w:r>
          </w:p>
        </w:tc>
      </w:tr>
    </w:tbl>
    <w:p>
      <w:pPr>
        <w:pStyle w:val="TextBody"/>
        <w:bidi w:val="0"/>
        <w:spacing w:before="0" w:after="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23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pPr>
            <w:r>
              <w:rPr/>
              <w:t>issuer tender offer subject to Rule 13e-4.</w:t>
            </w:r>
          </w:p>
        </w:tc>
      </w:tr>
    </w:tbl>
    <w:p>
      <w:pPr>
        <w:pStyle w:val="TextBody"/>
        <w:bidi w:val="0"/>
        <w:spacing w:before="0" w:after="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3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left"/>
              <w:rPr/>
            </w:pPr>
            <w:r>
              <w:rPr/>
              <w:t>going-private transaction subject to Rule 13e-3.</w:t>
            </w:r>
          </w:p>
        </w:tc>
      </w:tr>
    </w:tbl>
    <w:p>
      <w:pPr>
        <w:pStyle w:val="TextBody"/>
        <w:bidi w:val="0"/>
        <w:spacing w:before="0" w:after="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23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pPr>
            <w:r>
              <w:rPr/>
              <w:t>amendment to Schedule 13D under Rule 13d-2.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firstLine="36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3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pPr>
            <w:r>
              <w:rPr/>
              <w:t>Rule 13e-4(i) (Cross-Border Issuer Tender Offer)</w:t>
            </w:r>
          </w:p>
        </w:tc>
      </w:tr>
    </w:tbl>
    <w:p>
      <w:pPr>
        <w:pStyle w:val="TextBody"/>
        <w:bidi w:val="0"/>
        <w:spacing w:before="0" w:after="0"/>
        <w:ind w:left="0" w:right="0" w:firstLine="81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23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pPr>
            <w:r>
              <w:rPr/>
              <w:t>Rule 14d-1(d) (Cross-Border Third-Party Tender Offer)</w:t>
            </w:r>
          </w:p>
        </w:tc>
      </w:tr>
    </w:tbl>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(this “Amendment”) amends and supplements the Tender Offer Statement on Schedule TO filed by Symphony Acquisition Sub, Inc., a Delaware corporation (“Purchaser”) and a wholly owned subsidiary of Regeneron Pharmaceuticals, Inc., a New York corporation (“Regeneron”), with the U.S. Securities and Exchange Commission on August 25, 2023 (together with any subsequent amendments and supplements thereto, the “Schedule TO”). The Schedule TO relates to the offer by Purchaser to purchase all of the outstanding shares of common stock, par value $0.001 per share (the “Shares”), of Decibel Therapeutics, Inc., a Delaware corporation (“Decibel”), in exchange for (i) $4.00 per Share, payable in cash, without interest and subject to reduction for any applicable withholding taxes, plus (ii) one non-tradeable contractual contingent value right per Share (each, a “CVR”) representing the right of the holder to potentially receive contingent payments of up to an aggregate of $3.50 per CVR payable in cash, without interest and subject to reduction for any applicable withholding taxes, upon the achievement of certain clinical development and regulatory milestones for Decibel’s lead investigational product candidate, DB-OTO, within specified time periods and in accordance with the terms and subject to the conditions of a contingent value rights agreement to be entered into with a rights agent mutually agreeable to Regeneron and Decibel, upon the terms and subject to the conditions set forth in the offer to purchase, dated August 25, 2023 (the “Offer to Purchase”), a copy of which is attached as Exhibit (a)(1)(A), and in the related letter of transmittal (the “Letter of Transmittal”), a copy of which is attached as Exhibit (a)(1)(B), which, as each may be amended or supplemented from time to time, collectively constitute the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1 through 9 and Item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under “The Tender Offer—Section 16—Certain Legal Matters; Regulatory Approvals” and Items 1 through 9 and Item 11 of the Schedule TO, to the extent such Items incorporate by reference the information contained in the Offer to Purchase, are hereby amended and supplemented by replacing in its entirety the subsection titled “Securityholder Litigation,” which was added to page 68 of the Offer to Purchase by Amendment No. 1 to the Tender Offer Statement on Schedule TO, filed on September 8, 2023, to read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Securityholder Litigation.</w:t>
      </w:r>
      <w:r>
        <w:rPr>
          <w:rFonts w:ascii="Times New Roman;Times;Serif" w:hAnsi="Times New Roman;Times;Serif"/>
          <w:b w:val="false"/>
          <w:i w:val="false"/>
          <w:caps w:val="false"/>
          <w:smallCaps w:val="false"/>
          <w:sz w:val="20"/>
        </w:rPr>
        <w:t xml:space="preserve"> On August 28, 2023, Shoshana Minzer, a purported stockholder of Decibel, filed a complaint in the United States District Court for the Southern District of New York, captioned </w:t>
      </w:r>
      <w:r>
        <w:rPr>
          <w:rFonts w:ascii="Times New Roman;Times;Serif" w:hAnsi="Times New Roman;Times;Serif"/>
          <w:b w:val="false"/>
          <w:i/>
          <w:caps w:val="false"/>
          <w:smallCaps w:val="false"/>
          <w:sz w:val="20"/>
        </w:rPr>
        <w:t>Minzer v. Decibel Therapeutics, Inc., et al.</w:t>
      </w:r>
      <w:r>
        <w:rPr>
          <w:rFonts w:ascii="Times New Roman;Times;Serif" w:hAnsi="Times New Roman;Times;Serif"/>
          <w:b w:val="false"/>
          <w:i w:val="false"/>
          <w:caps w:val="false"/>
          <w:smallCaps w:val="false"/>
          <w:sz w:val="20"/>
        </w:rPr>
        <w:t xml:space="preserve">, 1:23-cv-07626 (S.D.N.Y.) (the “Minzer Complaint”). On August 29, 2023, Catherine Coffman, a purported stockholder of Decibel, filed a complaint in the United States District Court for the Southern District of New York, captioned </w:t>
      </w:r>
      <w:r>
        <w:rPr>
          <w:rFonts w:ascii="Times New Roman;Times;Serif" w:hAnsi="Times New Roman;Times;Serif"/>
          <w:b w:val="false"/>
          <w:i/>
          <w:caps w:val="false"/>
          <w:smallCaps w:val="false"/>
          <w:sz w:val="20"/>
        </w:rPr>
        <w:t>Coffman v. Decibel Therapeutics, Inc., et al.</w:t>
      </w:r>
      <w:r>
        <w:rPr>
          <w:rFonts w:ascii="Times New Roman;Times;Serif" w:hAnsi="Times New Roman;Times;Serif"/>
          <w:b w:val="false"/>
          <w:i w:val="false"/>
          <w:caps w:val="false"/>
          <w:smallCaps w:val="false"/>
          <w:sz w:val="20"/>
        </w:rPr>
        <w:t xml:space="preserve">, 1:23-cv-07668 (S.D.N.Y.) (the “Coffman Complaint”). Also on August 29, 2023, Ryan O’Dell, a purported stockholder of Decibel, filed a complaint in the United States District Court for the Southern District of New York, captioned </w:t>
      </w:r>
      <w:r>
        <w:rPr>
          <w:rFonts w:ascii="Times New Roman;Times;Serif" w:hAnsi="Times New Roman;Times;Serif"/>
          <w:b w:val="false"/>
          <w:i/>
          <w:caps w:val="false"/>
          <w:smallCaps w:val="false"/>
          <w:sz w:val="20"/>
        </w:rPr>
        <w:t>O’Dell v. Decibel Therapeutics, Inc., et al.</w:t>
      </w:r>
      <w:r>
        <w:rPr>
          <w:rFonts w:ascii="Times New Roman;Times;Serif" w:hAnsi="Times New Roman;Times;Serif"/>
          <w:b w:val="false"/>
          <w:i w:val="false"/>
          <w:caps w:val="false"/>
          <w:smallCaps w:val="false"/>
          <w:sz w:val="20"/>
        </w:rPr>
        <w:t xml:space="preserve">, 1:23-cv-07672 (S.D.N.Y.) (the “O’Dell Complaint”). On August 30, 2023, John Clark, a purported stockholder of Decibel, filed a complaint in the United States District Court for the District of Delaware, captioned </w:t>
      </w:r>
      <w:r>
        <w:rPr>
          <w:rFonts w:ascii="Times New Roman;Times;Serif" w:hAnsi="Times New Roman;Times;Serif"/>
          <w:b w:val="false"/>
          <w:i/>
          <w:caps w:val="false"/>
          <w:smallCaps w:val="false"/>
          <w:sz w:val="20"/>
        </w:rPr>
        <w:t>Clark v. Decibel Therapeutics, Inc., et al.</w:t>
      </w:r>
      <w:r>
        <w:rPr>
          <w:rFonts w:ascii="Times New Roman;Times;Serif" w:hAnsi="Times New Roman;Times;Serif"/>
          <w:b w:val="false"/>
          <w:i w:val="false"/>
          <w:caps w:val="false"/>
          <w:smallCaps w:val="false"/>
          <w:sz w:val="20"/>
        </w:rPr>
        <w:t xml:space="preserve">, 1:23-cv-00946 (D. Del.) (the “Clark Complaint”). On September 1, 2023, Elaine Wang, a purported stockholder of Decibel, filed a complaint in the United States District Court for the Southern District of New York, captioned </w:t>
      </w:r>
      <w:r>
        <w:rPr>
          <w:rFonts w:ascii="Times New Roman;Times;Serif" w:hAnsi="Times New Roman;Times;Serif"/>
          <w:b w:val="false"/>
          <w:i/>
          <w:caps w:val="false"/>
          <w:smallCaps w:val="false"/>
          <w:sz w:val="20"/>
        </w:rPr>
        <w:t>Wang v. Decibel Therapeutics, Inc., et al.</w:t>
      </w:r>
      <w:r>
        <w:rPr>
          <w:rFonts w:ascii="Times New Roman;Times;Serif" w:hAnsi="Times New Roman;Times;Serif"/>
          <w:b w:val="false"/>
          <w:i w:val="false"/>
          <w:caps w:val="false"/>
          <w:smallCaps w:val="false"/>
          <w:sz w:val="20"/>
        </w:rPr>
        <w:t xml:space="preserve">, 1:23-cv-07816 (S.D.N.Y.) (the “Wang Complaint”). On September 6, 2023, Lisa Vorel, a purported stockholder of Decibel, filed a complaint in the United States District Court for the Southern District of New York, captioned </w:t>
      </w:r>
      <w:r>
        <w:rPr>
          <w:rFonts w:ascii="Times New Roman;Times;Serif" w:hAnsi="Times New Roman;Times;Serif"/>
          <w:b w:val="false"/>
          <w:i/>
          <w:caps w:val="false"/>
          <w:smallCaps w:val="false"/>
          <w:sz w:val="20"/>
        </w:rPr>
        <w:t>Vorel v. Decibel Therapeutics, Inc., et al.</w:t>
      </w:r>
      <w:r>
        <w:rPr>
          <w:rFonts w:ascii="Times New Roman;Times;Serif" w:hAnsi="Times New Roman;Times;Serif"/>
          <w:b w:val="false"/>
          <w:i w:val="false"/>
          <w:caps w:val="false"/>
          <w:smallCaps w:val="false"/>
          <w:sz w:val="20"/>
        </w:rPr>
        <w:t>, 1:23-cv-07899 (S.D.N.Y.) (the “Vorel Complaint” and, collectively with the Minzer Complaint, the Coffman Complaint, the O’Dell Complaint, the Clark Complaint, and the Wang Complaint, the “Complaints”).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Complaints name as defendants Decibel and each member of the Decibel Board of Directors. The Complaints allege, among other things, that the defendants violated Sections 14(d), 14(e), and 20(a) of the Exchange Act and Rule 14d-9 promulgated thereunder by omitting and/or misrepresenting certain material facts related to the transaction from the Schedule 14D-9 filed by Decibel on August 25, 2023. The Complaints seek, among other relief, (i) injunctive relief preventing the consummation of the Merger, (ii) rescission of the Merger Agreement or rescissory damages, (iii) other damages purportedly incurred on account of the alleged omissions or misstatements, and (iv) an award of plaintiffs’ costs and disbursements of the action, including attorneys’ and expert fees and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Decibel has also received correspondence from law firms claiming to represent purported stockholders, demanding that additional disclosures be provided and in some cases threatening litigation if additional disclosures are not made. Purchaser cannot predict whether any of such demands or threats will result in litigation, whether additional demands or litigation may materialize, or the outcome of any related litigation. If additional similar complaints are filed or additional demands are received, absent new or different allegations that are material, Purchaser will not necessarily disclose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Decibel believes that no supplemental disclosure is required under applicable laws and that the Schedule 14D-9 disclosed all material information required to be disclosed therein. However, to moot certain of the disclosure claims in the Complaints and the Demands, to avoid the risk that lawsuits may delay or otherwise adversely affect the Transactions and to minimize the expense of defending such actions, Decibel voluntarily made certain supplemental disclosures related to the proposed Transactions, all of which are set forth in Decibel’s Amendment No. 2 to its Solicitation/Recommendation Statement on Schedule 14D-9, filed by Decibel on September 12, 2023.”</w:t>
      </w:r>
    </w:p>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68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1.</w:t>
            </w:r>
          </w:p>
        </w:tc>
        <w:tc>
          <w:tcPr>
            <w:tcW w:w="2165" w:type="dxa"/>
            <w:tcBorders/>
            <w:vAlign w:val="center"/>
          </w:tcPr>
          <w:p>
            <w:pPr>
              <w:pStyle w:val="TableContents"/>
              <w:bidi w:val="0"/>
              <w:spacing w:before="0" w:after="283"/>
              <w:jc w:val="both"/>
              <w:rPr/>
            </w:pPr>
            <w:r>
              <w:rPr/>
              <w:t>Summary Term Sheet.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1001</w:t>
      </w:r>
    </w:p>
    <w:p>
      <w:pPr>
        <w:pStyle w:val="TextBody"/>
        <w:bidi w:val="0"/>
        <w:spacing w:before="0" w:after="0"/>
        <w:ind w:left="4320" w:right="432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under the caption SUMMARY TERM SHEET is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68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2.</w:t>
            </w:r>
          </w:p>
        </w:tc>
        <w:tc>
          <w:tcPr>
            <w:tcW w:w="2960" w:type="dxa"/>
            <w:tcBorders/>
            <w:vAlign w:val="center"/>
          </w:tcPr>
          <w:p>
            <w:pPr>
              <w:pStyle w:val="TableContents"/>
              <w:bidi w:val="0"/>
              <w:spacing w:before="0" w:after="283"/>
              <w:jc w:val="both"/>
              <w:rPr/>
            </w:pPr>
            <w:r>
              <w:rPr/>
              <w:t>Subject Company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283"/>
              <w:jc w:val="both"/>
              <w:rPr/>
            </w:pPr>
            <w:r>
              <w:rPr>
                <w:i/>
              </w:rPr>
              <w:t xml:space="preserve">Name and Address. </w:t>
            </w:r>
            <w:r>
              <w:rPr/>
              <w:t>The name, address, and telephone number of the subject company’s principal executive offices are as follows: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Decibel Therapeutics, Inc.</w:t>
        <w:br/>
        <w:t>1325 Boylston Street, Suite 500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02215</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370-8701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Trading Market and Price</w:t>
      </w:r>
      <w:r>
        <w:rPr>
          <w:rFonts w:ascii="Times New Roman;Times;Serif" w:hAnsi="Times New Roman;Times;Serif"/>
          <w:b w:val="false"/>
          <w:i w:val="false"/>
          <w:caps w:val="false"/>
          <w:smallCaps w:val="false"/>
          <w:sz w:val="20"/>
        </w:rPr>
        <w:t>. The information set forth in the Offer to Purchase under the following captions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6 (“Price Range of Shares; Dividends”)</w:t>
      </w:r>
    </w:p>
    <w:p>
      <w:pPr>
        <w:pStyle w:val="TextBody"/>
        <w:bidi w:val="0"/>
        <w:spacing w:before="0" w:after="0"/>
        <w:ind w:left="720" w:right="0" w:hanging="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68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3.</w:t>
            </w:r>
          </w:p>
        </w:tc>
        <w:tc>
          <w:tcPr>
            <w:tcW w:w="4025" w:type="dxa"/>
            <w:tcBorders/>
            <w:vAlign w:val="center"/>
          </w:tcPr>
          <w:p>
            <w:pPr>
              <w:pStyle w:val="TableContents"/>
              <w:bidi w:val="0"/>
              <w:spacing w:before="0" w:after="283"/>
              <w:jc w:val="both"/>
              <w:rPr/>
            </w:pPr>
            <w:r>
              <w:rPr/>
              <w:t>Identity and Background of Filing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1003</w:t>
      </w:r>
    </w:p>
    <w:p>
      <w:pPr>
        <w:pStyle w:val="TextBody"/>
        <w:bidi w:val="0"/>
        <w:spacing w:before="0" w:after="0"/>
        <w:ind w:left="4320" w:right="432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w:t>
      </w:r>
      <w:r>
        <w:rPr>
          <w:rFonts w:ascii="Times New Roman;Times;Serif" w:hAnsi="Times New Roman;Times;Serif"/>
          <w:b w:val="false"/>
          <w:i/>
          <w:caps w:val="false"/>
          <w:smallCaps w:val="false"/>
          <w:sz w:val="20"/>
        </w:rPr>
        <w:t>Name and Address; Business and Background of Entities; and Business and Background of Natural Persons</w:t>
      </w:r>
      <w:r>
        <w:rPr>
          <w:rFonts w:ascii="Times New Roman;Times;Serif" w:hAnsi="Times New Roman;Times;Serif"/>
          <w:b w:val="false"/>
          <w:i w:val="false"/>
          <w:caps w:val="false"/>
          <w:smallCaps w:val="false"/>
          <w:sz w:val="20"/>
        </w:rPr>
        <w:t>. The information set forth in the Offer to Purchase under the following captions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8 (“Certain Information Concerning Regeneron and Purchaser”)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 — Information Relating to Regeneron and Purchaser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68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4.</w:t>
            </w:r>
          </w:p>
        </w:tc>
        <w:tc>
          <w:tcPr>
            <w:tcW w:w="2465" w:type="dxa"/>
            <w:tcBorders/>
            <w:vAlign w:val="center"/>
          </w:tcPr>
          <w:p>
            <w:pPr>
              <w:pStyle w:val="TableContents"/>
              <w:bidi w:val="0"/>
              <w:spacing w:before="0" w:after="283"/>
              <w:jc w:val="both"/>
              <w:rPr/>
            </w:pPr>
            <w:r>
              <w:rPr/>
              <w:t>Terms of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1004</w:t>
      </w:r>
    </w:p>
    <w:p>
      <w:pPr>
        <w:pStyle w:val="TextBody"/>
        <w:bidi w:val="0"/>
        <w:spacing w:before="0" w:after="0"/>
        <w:ind w:left="4320" w:right="4320" w:hanging="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75"/>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680" w:type="dxa"/>
            <w:tcBorders/>
            <w:vAlign w:val="center"/>
          </w:tcPr>
          <w:p>
            <w:pPr>
              <w:pStyle w:val="TableContents"/>
              <w:bidi w:val="0"/>
              <w:spacing w:before="0" w:after="283"/>
              <w:jc w:val="both"/>
              <w:rPr/>
            </w:pPr>
            <w:r>
              <w:rPr>
                <w:i/>
              </w:rPr>
              <w:t xml:space="preserve">Material Terms. </w:t>
            </w:r>
            <w:r>
              <w:rPr/>
              <w:t>The information set forth in the Offer to Purchase is incorporated herein by reference.</w:t>
            </w:r>
          </w:p>
        </w:tc>
      </w:tr>
    </w:tbl>
    <w:p>
      <w:pPr>
        <w:pStyle w:val="TextBody"/>
        <w:bidi w:val="0"/>
        <w:spacing w:before="0" w:after="0"/>
        <w:ind w:left="0" w:right="0" w:firstLine="72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68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5.</w:t>
            </w:r>
          </w:p>
        </w:tc>
        <w:tc>
          <w:tcPr>
            <w:tcW w:w="5615" w:type="dxa"/>
            <w:tcBorders/>
            <w:vAlign w:val="center"/>
          </w:tcPr>
          <w:p>
            <w:pPr>
              <w:pStyle w:val="TableContents"/>
              <w:bidi w:val="0"/>
              <w:spacing w:before="0" w:after="283"/>
              <w:jc w:val="both"/>
              <w:rPr/>
            </w:pPr>
            <w:r>
              <w:rPr/>
              <w:t>Past Contacts, Transactions, Negotiations and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1005</w:t>
      </w:r>
    </w:p>
    <w:p>
      <w:pPr>
        <w:pStyle w:val="TextBody"/>
        <w:bidi w:val="0"/>
        <w:spacing w:before="0" w:after="0"/>
        <w:ind w:left="4320" w:right="43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i/>
              </w:rPr>
              <w:t>Transactions</w:t>
            </w:r>
            <w:r>
              <w:rPr/>
              <w:t>. The information set forth in the Offer to Purchase under the following captions is incorporated herein by reference: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10 (“Background of the Offer; Past Contacts or Negotiations with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Significant Corporate Events</w:t>
      </w:r>
      <w:r>
        <w:rPr>
          <w:rFonts w:ascii="Times New Roman;Times;Serif" w:hAnsi="Times New Roman;Times;Serif"/>
          <w:b w:val="false"/>
          <w:i w:val="false"/>
          <w:caps w:val="false"/>
          <w:smallCaps w:val="false"/>
          <w:sz w:val="20"/>
        </w:rPr>
        <w:t>. The information set forth in the Offer to Purchase under the following captions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10 (“Background of the Offer; Past Contacts or Negotiations with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—Section 11 (“The Merger Agreement; Other Agreements”)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12 (“Purpose of the Offer; Plans for Decibel”)</w:t>
      </w:r>
    </w:p>
    <w:p>
      <w:pPr>
        <w:pStyle w:val="TextBody"/>
        <w:bidi w:val="0"/>
        <w:spacing w:before="0" w:after="0"/>
        <w:ind w:left="720" w:right="0" w:hanging="0"/>
        <w:jc w:val="left"/>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68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6.</w:t>
            </w:r>
          </w:p>
        </w:tc>
        <w:tc>
          <w:tcPr>
            <w:tcW w:w="4925" w:type="dxa"/>
            <w:tcBorders/>
            <w:vAlign w:val="center"/>
          </w:tcPr>
          <w:p>
            <w:pPr>
              <w:pStyle w:val="TableContents"/>
              <w:bidi w:val="0"/>
              <w:spacing w:before="0" w:after="283"/>
              <w:jc w:val="both"/>
              <w:rPr/>
            </w:pPr>
            <w:r>
              <w:rPr/>
              <w:t>Purposes of the Transaction and Plans or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1006</w:t>
      </w:r>
    </w:p>
    <w:p>
      <w:pPr>
        <w:pStyle w:val="TextBody"/>
        <w:bidi w:val="0"/>
        <w:spacing w:before="0" w:after="0"/>
        <w:ind w:left="4320" w:right="43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i/>
              </w:rPr>
              <w:t>Purposes</w:t>
            </w:r>
            <w:r>
              <w:rPr/>
              <w:t>. The information set forth in the Offer to Purchase under the following captions is incorporated herein by reference: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12 (“Purpose of the Offer; Plans for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(1)-(7)          </w:t>
      </w:r>
      <w:r>
        <w:rPr>
          <w:rFonts w:ascii="Times New Roman;Times;Serif" w:hAnsi="Times New Roman;Times;Serif"/>
          <w:b w:val="false"/>
          <w:i/>
          <w:caps w:val="false"/>
          <w:smallCaps w:val="false"/>
          <w:sz w:val="20"/>
        </w:rPr>
        <w:t>Plans</w:t>
      </w:r>
      <w:r>
        <w:rPr>
          <w:rFonts w:ascii="Times New Roman;Times;Serif" w:hAnsi="Times New Roman;Times;Serif"/>
          <w:b w:val="false"/>
          <w:i w:val="false"/>
          <w:caps w:val="false"/>
          <w:smallCaps w:val="false"/>
          <w:sz w:val="20"/>
        </w:rPr>
        <w:t>. The information set forth in the Offer to Purchase under the following captions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9 (“Source and Amount of Funds”)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10 (“Background of the Offer; Past Contacts or Negotiations with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11 (“The Merger Agreement; Other Agreements”)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12 (“Purpose of the Offer; Plans for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13 (“Certain Effects of the Offer”)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14 (“Dividends and Distributions”)</w:t>
      </w:r>
    </w:p>
    <w:p>
      <w:pPr>
        <w:pStyle w:val="TextBody"/>
        <w:bidi w:val="0"/>
        <w:spacing w:before="0" w:after="0"/>
        <w:ind w:left="72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68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7.</w:t>
            </w:r>
          </w:p>
        </w:tc>
        <w:tc>
          <w:tcPr>
            <w:tcW w:w="5135" w:type="dxa"/>
            <w:tcBorders/>
            <w:vAlign w:val="center"/>
          </w:tcPr>
          <w:p>
            <w:pPr>
              <w:pStyle w:val="TableContents"/>
              <w:bidi w:val="0"/>
              <w:spacing w:before="0" w:after="283"/>
              <w:jc w:val="both"/>
              <w:rPr/>
            </w:pPr>
            <w:r>
              <w:rPr/>
              <w:t>Source and Amount of Funds or Other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1007</w:t>
      </w:r>
    </w:p>
    <w:p>
      <w:pPr>
        <w:pStyle w:val="TextBody"/>
        <w:bidi w:val="0"/>
        <w:spacing w:before="0" w:after="0"/>
        <w:ind w:left="4320" w:right="43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i/>
              </w:rPr>
              <w:t>Source of Funds</w:t>
            </w:r>
            <w:r>
              <w:rPr/>
              <w:t>. The information set forth in the Offer to Purchase under the following captions is incorporated herein by reference: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9 (“Source and Amount of Funds”)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10 (“Background of the Offer; Past Contacts or Negotiations with Decibel”)</w:t>
      </w:r>
    </w:p>
    <w:p>
      <w:pPr>
        <w:pStyle w:val="TextBody"/>
        <w:bidi w:val="0"/>
        <w:spacing w:before="0" w:after="0"/>
        <w:ind w:left="72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29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780" w:type="dxa"/>
            <w:tcBorders/>
            <w:vAlign w:val="center"/>
          </w:tcPr>
          <w:p>
            <w:pPr>
              <w:pStyle w:val="TableContents"/>
              <w:bidi w:val="0"/>
              <w:spacing w:before="0" w:after="283"/>
              <w:jc w:val="both"/>
              <w:rPr/>
            </w:pPr>
            <w:r>
              <w:rPr>
                <w:i/>
              </w:rPr>
              <w:t>Conditions</w:t>
            </w:r>
            <w:r>
              <w:rPr/>
              <w:t>. The Offer is not subject to a financing condition.</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both"/>
              <w:rPr/>
            </w:pPr>
            <w:r>
              <w:rPr>
                <w:i/>
              </w:rPr>
              <w:t>Borrowed Funds</w:t>
            </w:r>
            <w:r>
              <w:rPr/>
              <w:t>. The information set forth in the Offer to Purchase under the following captions is incorporated herein by reference: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9 (“Source and Amount of Funds”)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10 (“Background of the Offer; Past Contacts or Negotiations with Decibel”)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11 (“The Merger Agreement; Other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15 (“Conditions of the Offer”)</w:t>
      </w:r>
    </w:p>
    <w:p>
      <w:pPr>
        <w:pStyle w:val="TextBody"/>
        <w:bidi w:val="0"/>
        <w:spacing w:before="0" w:after="0"/>
        <w:ind w:left="0" w:right="0" w:firstLine="720"/>
        <w:jc w:val="left"/>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68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8.</w:t>
            </w:r>
          </w:p>
        </w:tc>
        <w:tc>
          <w:tcPr>
            <w:tcW w:w="4355" w:type="dxa"/>
            <w:tcBorders/>
            <w:vAlign w:val="center"/>
          </w:tcPr>
          <w:p>
            <w:pPr>
              <w:pStyle w:val="TableContents"/>
              <w:bidi w:val="0"/>
              <w:spacing w:before="0" w:after="283"/>
              <w:jc w:val="both"/>
              <w:rPr/>
            </w:pPr>
            <w:r>
              <w:rPr/>
              <w:t>Interest in Securities of the Subject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1008</w:t>
      </w:r>
    </w:p>
    <w:p>
      <w:pPr>
        <w:pStyle w:val="TextBody"/>
        <w:bidi w:val="0"/>
        <w:spacing w:before="0" w:after="0"/>
        <w:ind w:left="4320" w:right="43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i/>
              </w:rPr>
              <w:t>Securities Ownership</w:t>
            </w:r>
            <w:r>
              <w:rPr/>
              <w:t>. The information set forth in the Offer to Purchase under the following captions is incorporated herein by reference: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8 (“Certain Information Concerning Regeneron and Purchaser”)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11 (“The Merger Agreement; Other Agreements”)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12 (“Purpose of the Offer; Plans for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 — Information Relating to Regeneron and Purchaser</w:t>
      </w:r>
    </w:p>
    <w:p>
      <w:pPr>
        <w:pStyle w:val="TextBody"/>
        <w:bidi w:val="0"/>
        <w:spacing w:before="0" w:after="0"/>
        <w:ind w:left="720" w:right="0" w:hanging="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9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945" w:type="dxa"/>
            <w:tcBorders/>
            <w:vAlign w:val="center"/>
          </w:tcPr>
          <w:p>
            <w:pPr>
              <w:pStyle w:val="TableContents"/>
              <w:bidi w:val="0"/>
              <w:spacing w:before="0" w:after="283"/>
              <w:jc w:val="both"/>
              <w:rPr/>
            </w:pPr>
            <w:r>
              <w:rPr>
                <w:i/>
              </w:rPr>
              <w:t>Securities Transactions</w:t>
            </w:r>
            <w:r>
              <w:rPr/>
              <w:t>. None.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68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i w:val="false"/>
                <w:caps w:val="false"/>
                <w:smallCaps w:val="false"/>
              </w:rPr>
            </w:pPr>
            <w:r>
              <w:rPr>
                <w:i w:val="false"/>
                <w:caps w:val="false"/>
                <w:smallCaps w:val="false"/>
              </w:rPr>
              <w:t>Item 9.</w:t>
            </w:r>
          </w:p>
        </w:tc>
        <w:tc>
          <w:tcPr>
            <w:tcW w:w="5720" w:type="dxa"/>
            <w:tcBorders/>
            <w:vAlign w:val="center"/>
          </w:tcPr>
          <w:p>
            <w:pPr>
              <w:pStyle w:val="TableContents"/>
              <w:bidi w:val="0"/>
              <w:spacing w:before="0" w:after="283"/>
              <w:jc w:val="both"/>
              <w:rPr/>
            </w:pPr>
            <w:r>
              <w:rPr/>
              <w:t>Persons/Assets Retained, Employed, Compensated or Used.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1009</w:t>
      </w:r>
    </w:p>
    <w:p>
      <w:pPr>
        <w:pStyle w:val="TextBody"/>
        <w:bidi w:val="0"/>
        <w:spacing w:before="0" w:after="0"/>
        <w:ind w:left="4320" w:right="432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Solicitations or Recommendations</w:t>
      </w:r>
      <w:r>
        <w:rPr>
          <w:rFonts w:ascii="Times New Roman;Times;Serif" w:hAnsi="Times New Roman;Times;Serif"/>
          <w:b w:val="false"/>
          <w:i w:val="false"/>
          <w:caps w:val="false"/>
          <w:smallCaps w:val="false"/>
          <w:sz w:val="20"/>
        </w:rPr>
        <w:t>. The information set forth in the Offer to Purchase under the following captions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3 (“Procedures for Accepting the Offer and Tendering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10 (“Background of the Offer; Past Contacts or Negotiations with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18 (“Fees and Expenses”)</w:t>
      </w:r>
    </w:p>
    <w:p>
      <w:pPr>
        <w:pStyle w:val="TextBody"/>
        <w:bidi w:val="0"/>
        <w:spacing w:before="0" w:after="0"/>
        <w:ind w:left="72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80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i w:val="false"/>
                <w:caps w:val="false"/>
                <w:smallCaps w:val="false"/>
              </w:rPr>
            </w:pPr>
            <w:r>
              <w:rPr>
                <w:i w:val="false"/>
                <w:caps w:val="false"/>
                <w:smallCaps w:val="false"/>
              </w:rPr>
              <w:t>Item 10.</w:t>
            </w:r>
          </w:p>
        </w:tc>
        <w:tc>
          <w:tcPr>
            <w:tcW w:w="2045" w:type="dxa"/>
            <w:tcBorders/>
            <w:vAlign w:val="center"/>
          </w:tcPr>
          <w:p>
            <w:pPr>
              <w:pStyle w:val="TableContents"/>
              <w:bidi w:val="0"/>
              <w:spacing w:before="0" w:after="283"/>
              <w:jc w:val="both"/>
              <w:rPr/>
            </w:pPr>
            <w:r>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1010</w:t>
      </w:r>
    </w:p>
    <w:p>
      <w:pPr>
        <w:pStyle w:val="TextBody"/>
        <w:bidi w:val="0"/>
        <w:spacing w:before="0" w:after="0"/>
        <w:ind w:left="4320" w:right="432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27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770" w:type="dxa"/>
            <w:tcBorders/>
            <w:vAlign w:val="center"/>
          </w:tcPr>
          <w:p>
            <w:pPr>
              <w:pStyle w:val="TableContents"/>
              <w:bidi w:val="0"/>
              <w:spacing w:before="0" w:after="283"/>
              <w:jc w:val="both"/>
              <w:rPr/>
            </w:pPr>
            <w:r>
              <w:rPr>
                <w:i/>
              </w:rPr>
              <w:t>Financial Information</w:t>
            </w:r>
            <w:r>
              <w:rPr/>
              <w:t>. Not Applicable.</w:t>
            </w:r>
          </w:p>
        </w:tc>
      </w:tr>
    </w:tbl>
    <w:p>
      <w:pPr>
        <w:pStyle w:val="TextBody"/>
        <w:bidi w:val="0"/>
        <w:spacing w:before="0" w:after="0"/>
        <w:ind w:left="0" w:right="0" w:firstLine="72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9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935" w:type="dxa"/>
            <w:tcBorders/>
            <w:vAlign w:val="center"/>
          </w:tcPr>
          <w:p>
            <w:pPr>
              <w:pStyle w:val="TableContents"/>
              <w:bidi w:val="0"/>
              <w:spacing w:before="0" w:after="283"/>
              <w:jc w:val="both"/>
              <w:rPr/>
            </w:pPr>
            <w:r>
              <w:rPr>
                <w:i/>
              </w:rPr>
              <w:t>Pro Forma Information</w:t>
            </w:r>
            <w:r>
              <w:rPr/>
              <w:t>. Not Applicable.</w:t>
            </w:r>
          </w:p>
        </w:tc>
      </w:tr>
    </w:tbl>
    <w:p>
      <w:pPr>
        <w:pStyle w:val="TextBody"/>
        <w:bidi w:val="0"/>
        <w:spacing w:before="0" w:after="0"/>
        <w:ind w:left="0" w:right="0" w:firstLine="72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80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i w:val="false"/>
                <w:caps w:val="false"/>
                <w:smallCaps w:val="false"/>
              </w:rPr>
            </w:pPr>
            <w:r>
              <w:rPr>
                <w:i w:val="false"/>
                <w:caps w:val="false"/>
                <w:smallCaps w:val="false"/>
              </w:rPr>
              <w:t>Item 11.</w:t>
            </w:r>
          </w:p>
        </w:tc>
        <w:tc>
          <w:tcPr>
            <w:tcW w:w="2270" w:type="dxa"/>
            <w:tcBorders/>
            <w:vAlign w:val="center"/>
          </w:tcPr>
          <w:p>
            <w:pPr>
              <w:pStyle w:val="TableContents"/>
              <w:bidi w:val="0"/>
              <w:spacing w:before="0" w:after="283"/>
              <w:jc w:val="both"/>
              <w:rPr/>
            </w:pPr>
            <w:r>
              <w:rPr/>
              <w:t>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1011</w:t>
      </w:r>
    </w:p>
    <w:p>
      <w:pPr>
        <w:pStyle w:val="TextBody"/>
        <w:bidi w:val="0"/>
        <w:spacing w:before="0" w:after="0"/>
        <w:ind w:left="4320" w:right="432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Regulatory Requirements and Legal Proceedings</w:t>
      </w:r>
      <w:r>
        <w:rPr>
          <w:rFonts w:ascii="Times New Roman;Times;Serif" w:hAnsi="Times New Roman;Times;Serif"/>
          <w:b w:val="false"/>
          <w:i w:val="false"/>
          <w:caps w:val="false"/>
          <w:smallCaps w:val="false"/>
          <w:sz w:val="20"/>
        </w:rPr>
        <w:t>. The information set forth in the Offer to Purchase under the following captions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TERM SHEET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10 (“Background of the Offer; Past Contacts or Negotiations with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11 (“The Merger Agreement; Other Agreements”)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12 (“Purpose of the Offer; Plans for Decibel”)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13 (“Certain Effects of the Offer”)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 Section 16 (“Certain Legal Matters; Regulatory Approvals”)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Other Material Information</w:t>
      </w:r>
      <w:r>
        <w:rPr>
          <w:rFonts w:ascii="Times New Roman;Times;Serif" w:hAnsi="Times New Roman;Times;Serif"/>
          <w:b w:val="false"/>
          <w:i w:val="false"/>
          <w:caps w:val="false"/>
          <w:smallCaps w:val="false"/>
          <w:sz w:val="20"/>
        </w:rPr>
        <w:t>. The information set forth in the Offer to Purchase and the Letter of Transmittal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80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i w:val="false"/>
                <w:caps w:val="false"/>
                <w:smallCaps w:val="false"/>
              </w:rPr>
            </w:pPr>
            <w:r>
              <w:rPr>
                <w:i w:val="false"/>
                <w:caps w:val="false"/>
                <w:smallCaps w:val="false"/>
              </w:rPr>
              <w:t>Item 12.</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43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M-A Item 1016</w:t>
      </w:r>
    </w:p>
    <w:p>
      <w:pPr>
        <w:pStyle w:val="TextBody"/>
        <w:bidi w:val="0"/>
        <w:spacing w:before="0" w:after="0"/>
        <w:ind w:left="4320" w:right="43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3"/>
        <w:gridCol w:w="60"/>
        <w:gridCol w:w="9272"/>
      </w:tblGrid>
      <w:tr>
        <w:trPr/>
        <w:tc>
          <w:tcPr>
            <w:tcW w:w="873"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272"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873" w:type="dxa"/>
            <w:tcBorders/>
            <w:tcMar>
              <w:bottom w:w="0" w:type="dxa"/>
            </w:tcMar>
            <w:vAlign w:val="center"/>
          </w:tcPr>
          <w:p>
            <w:pPr>
              <w:pStyle w:val="TableContents"/>
              <w:bidi w:val="0"/>
              <w:spacing w:before="0" w:after="283"/>
              <w:jc w:val="left"/>
              <w:rPr/>
            </w:pPr>
            <w:hyperlink r:id="rId2">
              <w:r>
                <w:rPr>
                  <w:rStyle w:val="InternetLink"/>
                </w:rPr>
                <w:t>(a)(1)(A)*</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3">
              <w:r>
                <w:rPr>
                  <w:rStyle w:val="InternetLink"/>
                </w:rPr>
                <w:t>Offer to Purchase, dated August 25,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4">
              <w:r>
                <w:rPr>
                  <w:rStyle w:val="InternetLink"/>
                </w:rPr>
                <w:t>(a)(1)(B)*</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5">
              <w:r>
                <w:rPr>
                  <w:rStyle w:val="InternetLink"/>
                </w:rPr>
                <w:t>Letter of Transmittal.</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6">
              <w:r>
                <w:rPr>
                  <w:rStyle w:val="InternetLink"/>
                </w:rPr>
                <w:t>(a)(1)(C)*</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7">
              <w:r>
                <w:rPr>
                  <w:rStyle w:val="InternetLink"/>
                </w:rPr>
                <w:t>Letter to Brokers, Dealers, Commercial Banks, Trust Companies and Other Nominees.</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8">
              <w:r>
                <w:rPr>
                  <w:rStyle w:val="InternetLink"/>
                </w:rPr>
                <w:t>(a)(1)(D)*</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9">
              <w:r>
                <w:rPr>
                  <w:rStyle w:val="InternetLink"/>
                </w:rPr>
                <w:t>Letter to Clients for Use by Brokers, Dealers, Commercial Banks, Trust Companies and Other Nominees.</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10">
              <w:r>
                <w:rPr>
                  <w:rStyle w:val="InternetLink"/>
                </w:rPr>
                <w:t>(a)(1)(E)*</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11">
              <w:r>
                <w:rPr>
                  <w:rStyle w:val="InternetLink"/>
                </w:rPr>
                <w:t xml:space="preserve">Summary Advertisement as published in </w:t>
              </w:r>
            </w:hyperlink>
            <w:hyperlink r:id="rId12">
              <w:r>
                <w:rPr>
                  <w:rStyle w:val="InternetLink"/>
                  <w:i/>
                </w:rPr>
                <w:t xml:space="preserve">The New York Times </w:t>
              </w:r>
            </w:hyperlink>
            <w:hyperlink r:id="rId13">
              <w:r>
                <w:rPr>
                  <w:rStyle w:val="InternetLink"/>
                </w:rPr>
                <w:t>on August 25,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14">
              <w:r>
                <w:rPr>
                  <w:rStyle w:val="InternetLink"/>
                </w:rPr>
                <w:t>(a)(1)(F)*</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15">
              <w:r>
                <w:rPr>
                  <w:rStyle w:val="InternetLink"/>
                </w:rPr>
                <w:t>Joint Press Release issued by Regeneron Pharmaceuticals, Inc. and Decibel Therapeutics, Inc. on August 9, 2023 (incorporated by reference to Exhibit 99.1 to the Schedule TO-C filed by Regeneron Pharmaceuticals, Inc. with the U.S. Securities and Exchange Commission on August 9,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16">
              <w:r>
                <w:rPr>
                  <w:rStyle w:val="InternetLink"/>
                </w:rPr>
                <w:t>(a)(1)(G)*</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17">
              <w:r>
                <w:rPr>
                  <w:rStyle w:val="InternetLink"/>
                </w:rPr>
                <w:t>Social Media Posts from August 9, 2023 (incorporated by reference to Exhibit 99.2 to the Schedule TO-C filed by Regeneron Pharmaceuticals, Inc. with the U.S. Securities and Exchange Commission on August 9,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18">
              <w:r>
                <w:rPr>
                  <w:rStyle w:val="InternetLink"/>
                </w:rPr>
                <w:t>(d)(1)*</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19">
              <w:r>
                <w:rPr>
                  <w:rStyle w:val="InternetLink"/>
                </w:rPr>
                <w:t>Agreement and Plan of Merger, dated as of August 8, 2023, by and among Decibel Therapeutics, Inc., Regeneron Pharmaceuticals, Inc., and Symphony Acquisition Sub, Inc. (incorporated by reference to Exhibit 2.1 to the Form 8-K filed by Decibel Therapeutics, Inc. with the U.S. Securities and Exchange Commission on August 9,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20">
              <w:r>
                <w:rPr>
                  <w:rStyle w:val="InternetLink"/>
                </w:rPr>
                <w:t>(d)(2)*</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21">
              <w:r>
                <w:rPr>
                  <w:rStyle w:val="InternetLink"/>
                </w:rPr>
                <w:t>Form of Tender and Support Agreement, dated as of August 8, 2023, by and among Regeneron Pharmaceuticals, Inc., Symphony Acquisition Sub, Inc. and certain Stockholders of Decibel Therapeutics, Inc. (incorporated by reference to Exhibit 99.1 to the Form 8-K filed by Decibel Therapeutics, Inc. with the U.S. Securities and Exchange Commission on August 9,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22">
              <w:r>
                <w:rPr>
                  <w:rStyle w:val="InternetLink"/>
                </w:rPr>
                <w:t>(d)(3)*</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23">
              <w:r>
                <w:rPr>
                  <w:rStyle w:val="InternetLink"/>
                </w:rPr>
                <w:t>Form of Contingent Value Rights Agreement, by and among Regeneron Pharmaceuticals, Inc., Symphony Acquisition Sub, Inc., and a rights agent mutually agreeable to Regeneron Pharmaceuticals, Inc. and Decibel Therapeutics, Inc. (incorporated by reference to Exhibit 2.2 to the Form 8-K filed by Decibel Therapeutics, Inc. with the U.S. Securities and Exchange Commission on August 9,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24">
              <w:r>
                <w:rPr>
                  <w:rStyle w:val="InternetLink"/>
                </w:rPr>
                <w:t>(d)(4)*</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25">
              <w:r>
                <w:rPr>
                  <w:rStyle w:val="InternetLink"/>
                </w:rPr>
                <w:t>License and Collaboration Agreement, dated as of November 15, 2017, as amended, by and between Regeneron Pharmaceuticals, Inc. and Decibel Therapeutics, Inc. (incorporated by reference to Exhibit 10.11 to the Registration Statement on Form S-1, File No. 333-252347, filed by Decibel Therapeutics, Inc. on January 22, 2021).</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26">
              <w:r>
                <w:rPr>
                  <w:rStyle w:val="InternetLink"/>
                </w:rPr>
                <w:t>(d)(5)*</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27">
              <w:r>
                <w:rPr>
                  <w:rStyle w:val="InternetLink"/>
                </w:rPr>
                <w:t>Second Amendment, dated February 6, 2023, to the License and Collaboration Agreement, dated as of November 15, 2017, as amended, by and between Regeneron Pharmaceuticals, Inc. and Decibel Therapeutics, Inc. (incorporated by reference to Exhibit 10.30 to the Annual Report on Form 10-K, File No. 001-40030, filed by Decibel Therapeutics, Inc. on March 14,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28">
              <w:r>
                <w:rPr>
                  <w:rStyle w:val="InternetLink"/>
                </w:rPr>
                <w:t>(d)(6)*</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29">
              <w:r>
                <w:rPr>
                  <w:rStyle w:val="InternetLink"/>
                </w:rPr>
                <w:t>Series B Preferred Stock Agreement, dated as of November 15, 2017, by and between Decibel Therapeutics, Inc. and Regeneron Pharmaceuticals, Inc. (incorporated by reference to Exhibit 99.3 to the Schedule 13D filed by Regeneron Pharmaceuticals, Inc. with the U.S. Securities and Exchange Commission on August 18, 2023).</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30">
              <w:r>
                <w:rPr>
                  <w:rStyle w:val="InternetLink"/>
                </w:rPr>
                <w:t>(d)(7)*</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31">
              <w:r>
                <w:rPr>
                  <w:rStyle w:val="InternetLink"/>
                </w:rPr>
                <w:t>Confidentiality Agreement, dated as of June 30, 2023, between Decibel Therapeutics, Inc. and Regeneron Pharmaceuticals, Inc.</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hyperlink r:id="rId32">
              <w:r>
                <w:rPr>
                  <w:rStyle w:val="InternetLink"/>
                </w:rPr>
                <w:t>(d)(8)*</w:t>
              </w:r>
            </w:hyperlink>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hyperlink r:id="rId33">
              <w:r>
                <w:rPr>
                  <w:rStyle w:val="InternetLink"/>
                </w:rPr>
                <w:t>Exclusivity Agreement, dated as of June 30, 2023, by and between Regeneron Pharmaceuticals, Inc. and Decibel Therapeutics, Inc.</w:t>
              </w:r>
            </w:hyperlink>
          </w:p>
        </w:tc>
      </w:tr>
      <w:tr>
        <w:trPr/>
        <w:tc>
          <w:tcPr>
            <w:tcW w:w="87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 </w:t>
            </w:r>
          </w:p>
        </w:tc>
      </w:tr>
      <w:tr>
        <w:trPr/>
        <w:tc>
          <w:tcPr>
            <w:tcW w:w="873" w:type="dxa"/>
            <w:tcBorders/>
            <w:tcMar>
              <w:bottom w:w="0" w:type="dxa"/>
            </w:tcMar>
            <w:vAlign w:val="center"/>
          </w:tcPr>
          <w:p>
            <w:pPr>
              <w:pStyle w:val="TableContents"/>
              <w:bidi w:val="0"/>
              <w:spacing w:before="0" w:after="283"/>
              <w:jc w:val="left"/>
              <w:rPr/>
            </w:pPr>
            <w:r>
              <w:rPr/>
              <w:t>(g)</w:t>
            </w:r>
          </w:p>
        </w:tc>
        <w:tc>
          <w:tcPr>
            <w:tcW w:w="60" w:type="dxa"/>
            <w:tcBorders/>
            <w:tcMar>
              <w:bottom w:w="0" w:type="dxa"/>
            </w:tcMar>
            <w:vAlign w:val="center"/>
          </w:tcPr>
          <w:p>
            <w:pPr>
              <w:pStyle w:val="TableContents"/>
              <w:bidi w:val="0"/>
              <w:spacing w:before="0" w:after="283"/>
              <w:jc w:val="left"/>
              <w:rPr/>
            </w:pPr>
            <w:r>
              <w:rPr/>
              <w:t> </w:t>
            </w:r>
          </w:p>
        </w:tc>
        <w:tc>
          <w:tcPr>
            <w:tcW w:w="9272" w:type="dxa"/>
            <w:tcBorders/>
            <w:tcMar>
              <w:bottom w:w="0" w:type="dxa"/>
            </w:tcMar>
            <w:vAlign w:val="center"/>
          </w:tcPr>
          <w:p>
            <w:pPr>
              <w:pStyle w:val="TableContents"/>
              <w:bidi w:val="0"/>
              <w:spacing w:before="0" w:after="283"/>
              <w:jc w:val="left"/>
              <w:rPr/>
            </w:pPr>
            <w:r>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515"/>
        <w:gridCol w:w="60"/>
        <w:gridCol w:w="1445"/>
      </w:tblGrid>
      <w:tr>
        <w:trPr/>
        <w:tc>
          <w:tcPr>
            <w:tcW w:w="515" w:type="dxa"/>
            <w:tcBorders/>
            <w:vAlign w:val="center"/>
          </w:tcPr>
          <w:p>
            <w:pPr>
              <w:pStyle w:val="TableContents"/>
              <w:bidi w:val="0"/>
              <w:spacing w:before="0" w:after="283"/>
              <w:jc w:val="left"/>
              <w:rPr/>
            </w:pPr>
            <w:r>
              <w:rPr/>
              <w:t>(h)</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None.</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hyperlink r:id="rId34">
              <w:r>
                <w:rPr>
                  <w:rStyle w:val="InternetLink"/>
                </w:rPr>
                <w:t>107*</w:t>
              </w:r>
            </w:hyperlink>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hyperlink r:id="rId35">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4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Previously filed.</w:t>
            </w:r>
          </w:p>
        </w:tc>
      </w:tr>
    </w:tbl>
    <w:p>
      <w:pPr>
        <w:pStyle w:val="TextBody"/>
        <w:bidi w:val="0"/>
        <w:spacing w:before="0" w:after="0"/>
        <w:ind w:left="0" w:right="0" w:hanging="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80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i w:val="false"/>
                <w:caps w:val="false"/>
                <w:smallCaps w:val="false"/>
              </w:rPr>
            </w:pPr>
            <w:r>
              <w:rPr>
                <w:i w:val="false"/>
                <w:caps w:val="false"/>
                <w:smallCaps w:val="false"/>
              </w:rPr>
              <w:t>Item 13.</w:t>
            </w:r>
          </w:p>
        </w:tc>
        <w:tc>
          <w:tcPr>
            <w:tcW w:w="4010" w:type="dxa"/>
            <w:tcBorders/>
            <w:vAlign w:val="center"/>
          </w:tcPr>
          <w:p>
            <w:pPr>
              <w:pStyle w:val="TableContents"/>
              <w:bidi w:val="0"/>
              <w:spacing w:before="0" w:after="283"/>
              <w:jc w:val="both"/>
              <w:rPr/>
            </w:pPr>
            <w:r>
              <w:rPr/>
              <w:t>Information Required by Schedule 13E-3.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180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1800" w:right="180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their knowledge and belief, each of the undersigned certifies that the information set forth in this statement is true, complete and correct.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12, 2023</w:t>
      </w:r>
    </w:p>
    <w:p>
      <w:pPr>
        <w:pStyle w:val="TextBody"/>
        <w:bidi w:val="0"/>
        <w:spacing w:before="0" w:after="0"/>
        <w:ind w:left="0" w:right="0" w:hanging="0"/>
        <w:jc w:val="left"/>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835"/>
        <w:gridCol w:w="2559"/>
      </w:tblGrid>
      <w:tr>
        <w:trPr/>
        <w:tc>
          <w:tcPr>
            <w:tcW w:w="75"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SYMPHONY ACQUISITION SUB,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left"/>
              <w:rPr>
                <w:caps w:val="false"/>
                <w:smallCaps w:val="false"/>
              </w:rPr>
            </w:pPr>
            <w:r>
              <w:rPr>
                <w:caps w:val="false"/>
                <w:smallCaps w:val="false"/>
              </w:rPr>
              <w:t> </w:t>
            </w:r>
          </w:p>
        </w:tc>
        <w:tc>
          <w:tcPr>
            <w:tcW w:w="25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Nouhad Husseini</w:t>
            </w:r>
          </w:p>
        </w:tc>
      </w:tr>
      <w:tr>
        <w:trPr/>
        <w:tc>
          <w:tcPr>
            <w:tcW w:w="7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Nouhad Husseini</w:t>
            </w:r>
          </w:p>
        </w:tc>
      </w:tr>
      <w:tr>
        <w:trPr/>
        <w:tc>
          <w:tcPr>
            <w:tcW w:w="7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545"/>
        <w:gridCol w:w="4655"/>
      </w:tblGrid>
      <w:tr>
        <w:trPr/>
        <w:tc>
          <w:tcPr>
            <w:tcW w:w="75" w:type="dxa"/>
            <w:tcBorders/>
            <w:vAlign w:val="center"/>
          </w:tcPr>
          <w:p>
            <w:pPr>
              <w:pStyle w:val="TableContents"/>
              <w:bidi w:val="0"/>
              <w:spacing w:before="0" w:after="283"/>
              <w:jc w:val="left"/>
              <w:rPr>
                <w:sz w:val="4"/>
                <w:szCs w:val="4"/>
              </w:rPr>
            </w:pPr>
            <w:r>
              <w:rPr>
                <w:sz w:val="4"/>
                <w:szCs w:val="4"/>
              </w:rPr>
            </w:r>
          </w:p>
        </w:tc>
        <w:tc>
          <w:tcPr>
            <w:tcW w:w="52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REGENERON PHARMACEUTICALS,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J. Larosa</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J. LaRosa</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1800" w:right="1800" w:hanging="0"/>
        <w:jc w:val="center"/>
        <w:rPr>
          <w:caps/>
        </w:rPr>
      </w:pPr>
      <w:r>
        <w:rPr>
          <w:caps/>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2589/000110465923095116/tm2324731d1_ex99-a1a.htm" TargetMode="External"/><Relationship Id="rId3" Type="http://schemas.openxmlformats.org/officeDocument/2006/relationships/hyperlink" Target="https://www.sec.gov/Archives/edgar/data/872589/000110465923095116/tm2324731d1_ex99-a1a.htm" TargetMode="External"/><Relationship Id="rId4" Type="http://schemas.openxmlformats.org/officeDocument/2006/relationships/hyperlink" Target="https://www.sec.gov/Archives/edgar/data/872589/000110465923095116/tm2324731d1_ex99-a1b.htm" TargetMode="External"/><Relationship Id="rId5" Type="http://schemas.openxmlformats.org/officeDocument/2006/relationships/hyperlink" Target="https://www.sec.gov/Archives/edgar/data/872589/000110465923095116/tm2324731d1_ex99-a1b.htm" TargetMode="External"/><Relationship Id="rId6" Type="http://schemas.openxmlformats.org/officeDocument/2006/relationships/hyperlink" Target="https://www.sec.gov/Archives/edgar/data/872589/000110465923095116/tm2324731d1_ex99-a1c.htm" TargetMode="External"/><Relationship Id="rId7" Type="http://schemas.openxmlformats.org/officeDocument/2006/relationships/hyperlink" Target="https://www.sec.gov/Archives/edgar/data/872589/000110465923095116/tm2324731d1_ex99-a1c.htm" TargetMode="External"/><Relationship Id="rId8" Type="http://schemas.openxmlformats.org/officeDocument/2006/relationships/hyperlink" Target="https://www.sec.gov/Archives/edgar/data/872589/000110465923095116/tm2324731d1_ex99-a1d.htm" TargetMode="External"/><Relationship Id="rId9" Type="http://schemas.openxmlformats.org/officeDocument/2006/relationships/hyperlink" Target="https://www.sec.gov/Archives/edgar/data/872589/000110465923095116/tm2324731d1_ex99-a1d.htm" TargetMode="External"/><Relationship Id="rId10" Type="http://schemas.openxmlformats.org/officeDocument/2006/relationships/hyperlink" Target="https://www.sec.gov/Archives/edgar/data/872589/000110465923095116/tm2324731d2_ex99-a1e.htm" TargetMode="External"/><Relationship Id="rId11" Type="http://schemas.openxmlformats.org/officeDocument/2006/relationships/hyperlink" Target="https://www.sec.gov/Archives/edgar/data/872589/000110465923095116/tm2324731d2_ex99-a1e.htm" TargetMode="External"/><Relationship Id="rId12" Type="http://schemas.openxmlformats.org/officeDocument/2006/relationships/hyperlink" Target="https://www.sec.gov/Archives/edgar/data/872589/000110465923095116/tm2324731d2_ex99-a1e.htm" TargetMode="External"/><Relationship Id="rId13" Type="http://schemas.openxmlformats.org/officeDocument/2006/relationships/hyperlink" Target="https://www.sec.gov/Archives/edgar/data/872589/000110465923095116/tm2324731d2_ex99-a1e.htm" TargetMode="External"/><Relationship Id="rId14" Type="http://schemas.openxmlformats.org/officeDocument/2006/relationships/hyperlink" Target="https://www.sec.gov/Archives/edgar/data/872589/000110465923089313/tm2323273d1_ex99-1.htm" TargetMode="External"/><Relationship Id="rId15" Type="http://schemas.openxmlformats.org/officeDocument/2006/relationships/hyperlink" Target="https://www.sec.gov/Archives/edgar/data/872589/000110465923089313/tm2323273d1_ex99-1.htm" TargetMode="External"/><Relationship Id="rId16" Type="http://schemas.openxmlformats.org/officeDocument/2006/relationships/hyperlink" Target="https://www.sec.gov/Archives/edgar/data/872589/000110465923089313/tm2323273d1_ex99-2.htm" TargetMode="External"/><Relationship Id="rId17" Type="http://schemas.openxmlformats.org/officeDocument/2006/relationships/hyperlink" Target="https://www.sec.gov/Archives/edgar/data/872589/000110465923089313/tm2323273d1_ex99-2.htm" TargetMode="External"/><Relationship Id="rId18" Type="http://schemas.openxmlformats.org/officeDocument/2006/relationships/hyperlink" Target="https://www.sec.gov/Archives/edgar/data/1656536/000119312523206819/d515299dex21.htm" TargetMode="External"/><Relationship Id="rId19" Type="http://schemas.openxmlformats.org/officeDocument/2006/relationships/hyperlink" Target="https://www.sec.gov/Archives/edgar/data/1656536/000119312523206819/d515299dex21.htm" TargetMode="External"/><Relationship Id="rId20" Type="http://schemas.openxmlformats.org/officeDocument/2006/relationships/hyperlink" Target="https://www.sec.gov/Archives/edgar/data/1656536/000119312523206819/d515299dex991.htm" TargetMode="External"/><Relationship Id="rId21" Type="http://schemas.openxmlformats.org/officeDocument/2006/relationships/hyperlink" Target="https://www.sec.gov/Archives/edgar/data/1656536/000119312523206819/d515299dex991.htm" TargetMode="External"/><Relationship Id="rId22" Type="http://schemas.openxmlformats.org/officeDocument/2006/relationships/hyperlink" Target="https://www.sec.gov/Archives/edgar/data/1656536/000119312523206819/d515299dex22.htm" TargetMode="External"/><Relationship Id="rId23" Type="http://schemas.openxmlformats.org/officeDocument/2006/relationships/hyperlink" Target="https://www.sec.gov/Archives/edgar/data/1656536/000119312523206819/d515299dex22.htm" TargetMode="External"/><Relationship Id="rId24" Type="http://schemas.openxmlformats.org/officeDocument/2006/relationships/hyperlink" Target="https://www.sec.gov/Archives/edgar/data/1656536/000119312521014818/d109406dex1011.htm" TargetMode="External"/><Relationship Id="rId25" Type="http://schemas.openxmlformats.org/officeDocument/2006/relationships/hyperlink" Target="https://www.sec.gov/Archives/edgar/data/1656536/000119312521014818/d109406dex1011.htm" TargetMode="External"/><Relationship Id="rId26" Type="http://schemas.openxmlformats.org/officeDocument/2006/relationships/hyperlink" Target="https://www.sec.gov/Archives/edgar/data/1656536/000095017023007849/dbtx-ex10_30.htm" TargetMode="External"/><Relationship Id="rId27" Type="http://schemas.openxmlformats.org/officeDocument/2006/relationships/hyperlink" Target="https://www.sec.gov/Archives/edgar/data/1656536/000095017023007849/dbtx-ex10_30.htm" TargetMode="External"/><Relationship Id="rId28" Type="http://schemas.openxmlformats.org/officeDocument/2006/relationships/hyperlink" Target="https://www.sec.gov/Archives/edgar/data/872589/000110465923093555/tm2324112d1_ex99-3.htm" TargetMode="External"/><Relationship Id="rId29" Type="http://schemas.openxmlformats.org/officeDocument/2006/relationships/hyperlink" Target="https://www.sec.gov/Archives/edgar/data/872589/000110465923093555/tm2324112d1_ex99-3.htm" TargetMode="External"/><Relationship Id="rId30" Type="http://schemas.openxmlformats.org/officeDocument/2006/relationships/hyperlink" Target="https://www.sec.gov/Archives/edgar/data/872589/000110465923095116/tm2324731d2_ex99-d7.htm" TargetMode="External"/><Relationship Id="rId31" Type="http://schemas.openxmlformats.org/officeDocument/2006/relationships/hyperlink" Target="https://www.sec.gov/Archives/edgar/data/872589/000110465923095116/tm2324731d2_ex99-d7.htm" TargetMode="External"/><Relationship Id="rId32" Type="http://schemas.openxmlformats.org/officeDocument/2006/relationships/hyperlink" Target="https://www.sec.gov/Archives/edgar/data/872589/000110465923095116/tm2324731d2_ex99-d8.htm" TargetMode="External"/><Relationship Id="rId33" Type="http://schemas.openxmlformats.org/officeDocument/2006/relationships/hyperlink" Target="https://www.sec.gov/Archives/edgar/data/872589/000110465923095116/tm2324731d2_ex99-d8.htm" TargetMode="External"/><Relationship Id="rId34" Type="http://schemas.openxmlformats.org/officeDocument/2006/relationships/hyperlink" Target="https://www.sec.gov/Archives/edgar/data/872589/000110465923095116/tm2324731d2_ex-filingfees.htm" TargetMode="External"/><Relationship Id="rId35" Type="http://schemas.openxmlformats.org/officeDocument/2006/relationships/hyperlink" Target="https://www.sec.gov/Archives/edgar/data/872589/000110465923095116/tm2324731d2_ex-filingfees.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2720</Words>
  <Characters>15445</Characters>
  <CharactersWithSpaces>18268</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