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4, 2016 (August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On August 4, 2016, Regeneron Pharmaceuticals, Inc. issued a press release announcing its financial and operating results for the quarter ended June 30, 2016.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4, 2016, Reporting Second Quarter 2016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4, 2016</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80" w:type="dxa"/>
            <w:vAlign w:val="bottom"/>
          </w:tcPr>
          <w:p>
            <w:pPr>
              <w:spacing w:after="0"/>
              <w:rPr>
                <w:sz w:val="23"/>
                <w:szCs w:val="23"/>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4, 2016, Reporting Second Quarter 2016 Financial and Operating Results.</w:t>
      </w:r>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2016 Financial and Operating Results</w:t>
      </w:r>
    </w:p>
    <w:p>
      <w:pPr>
        <w:spacing w:after="0" w:line="164" w:lineRule="exact"/>
        <w:rPr>
          <w:sz w:val="20"/>
          <w:szCs w:val="20"/>
          <w:color w:val="auto"/>
        </w:rPr>
      </w:pPr>
    </w:p>
    <w:p>
      <w:pPr>
        <w:ind w:left="340" w:right="34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2016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27% to $831 million versus second quarter 2015</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2016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33% to $1.32 billion versus second quarter 2015</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Biologics License Application for dupilumab in atopic dermatitis submitted in the United States</w:t>
      </w:r>
    </w:p>
    <w:p>
      <w:pPr>
        <w:spacing w:after="0" w:line="234"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4, 2016)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2016 and provided a business update.</w:t>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31750</wp:posOffset>
            </wp:positionV>
            <wp:extent cx="5419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6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300" w:type="dxa"/>
            <w:vAlign w:val="bottom"/>
          </w:tcPr>
          <w:p>
            <w:pPr>
              <w:spacing w:after="0"/>
              <w:rPr>
                <w:sz w:val="19"/>
                <w:szCs w:val="19"/>
                <w:color w:val="auto"/>
              </w:rPr>
            </w:pPr>
          </w:p>
        </w:tc>
        <w:tc>
          <w:tcPr>
            <w:tcW w:w="2660" w:type="dxa"/>
            <w:vAlign w:val="bottom"/>
            <w:gridSpan w:val="6"/>
          </w:tcPr>
          <w:p>
            <w:pPr>
              <w:jc w:val="center"/>
              <w:ind w:left="761"/>
              <w:spacing w:after="0"/>
              <w:rPr>
                <w:sz w:val="20"/>
                <w:szCs w:val="20"/>
                <w:color w:val="auto"/>
              </w:rPr>
            </w:pPr>
            <w:r>
              <w:rPr>
                <w:rFonts w:ascii="Arial" w:cs="Arial" w:eastAsia="Arial" w:hAnsi="Arial"/>
                <w:sz w:val="20"/>
                <w:szCs w:val="20"/>
                <w:b w:val="1"/>
                <w:bCs w:val="1"/>
                <w:color w:val="auto"/>
                <w:w w:val="90"/>
              </w:rPr>
              <w:t>Three Months Ended</w:t>
            </w:r>
          </w:p>
        </w:tc>
        <w:tc>
          <w:tcPr>
            <w:tcW w:w="1140" w:type="dxa"/>
            <w:vAlign w:val="bottom"/>
          </w:tcPr>
          <w:p>
            <w:pPr>
              <w:spacing w:after="0"/>
              <w:rPr>
                <w:sz w:val="19"/>
                <w:szCs w:val="19"/>
                <w:color w:val="auto"/>
              </w:rPr>
            </w:pPr>
          </w:p>
        </w:tc>
      </w:tr>
      <w:tr>
        <w:trPr>
          <w:trHeight w:val="256"/>
        </w:trPr>
        <w:tc>
          <w:tcPr>
            <w:tcW w:w="4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20"/>
                <w:szCs w:val="20"/>
                <w:b w:val="1"/>
                <w:bCs w:val="1"/>
                <w:color w:val="auto"/>
                <w:w w:val="87"/>
              </w:rPr>
              <w:t>June 30,</w:t>
            </w:r>
          </w:p>
        </w:tc>
        <w:tc>
          <w:tcPr>
            <w:tcW w:w="1140" w:type="dxa"/>
            <w:vAlign w:val="bottom"/>
          </w:tcPr>
          <w:p>
            <w:pPr>
              <w:spacing w:after="0"/>
              <w:rPr>
                <w:sz w:val="22"/>
                <w:szCs w:val="22"/>
                <w:color w:val="auto"/>
              </w:rPr>
            </w:pPr>
          </w:p>
        </w:tc>
      </w:tr>
      <w:tr>
        <w:trPr>
          <w:trHeight w:val="23"/>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4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81"/>
              <w:spacing w:after="0" w:line="277" w:lineRule="exact"/>
              <w:rPr>
                <w:sz w:val="20"/>
                <w:szCs w:val="20"/>
                <w:color w:val="auto"/>
              </w:rPr>
            </w:pPr>
            <w:r>
              <w:rPr>
                <w:rFonts w:ascii="Arial" w:cs="Arial" w:eastAsia="Arial" w:hAnsi="Arial"/>
                <w:sz w:val="20"/>
                <w:szCs w:val="20"/>
                <w:b w:val="1"/>
                <w:bCs w:val="1"/>
                <w:color w:val="auto"/>
                <w:w w:val="90"/>
              </w:rPr>
              <w:t>2015</w:t>
            </w:r>
            <w:r>
              <w:rPr>
                <w:rFonts w:ascii="Arial" w:cs="Arial" w:eastAsia="Arial" w:hAnsi="Arial"/>
                <w:sz w:val="25"/>
                <w:szCs w:val="25"/>
                <w:b w:val="1"/>
                <w:bCs w:val="1"/>
                <w:color w:val="auto"/>
                <w:w w:val="90"/>
                <w:vertAlign w:val="superscript"/>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0"/>
              </w:rPr>
              <w:t>% Change</w:t>
            </w: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r>
      <w:tr>
        <w:trPr>
          <w:trHeight w:val="261"/>
        </w:trPr>
        <w:tc>
          <w:tcPr>
            <w:tcW w:w="442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r>
      <w:tr>
        <w:trPr>
          <w:trHeight w:val="261"/>
        </w:trPr>
        <w:tc>
          <w:tcPr>
            <w:tcW w:w="442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4420" w:type="dxa"/>
            <w:vAlign w:val="bottom"/>
            <w:shd w:val="clear" w:color="auto" w:fill="CCEEFF"/>
          </w:tcPr>
          <w:p>
            <w:pPr>
              <w:ind w:left="2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w:t>
            </w:r>
          </w:p>
        </w:tc>
      </w:tr>
      <w:tr>
        <w:trPr>
          <w:trHeight w:val="341"/>
        </w:trPr>
        <w:tc>
          <w:tcPr>
            <w:tcW w:w="442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76" w:lineRule="exact"/>
        <w:rPr>
          <w:sz w:val="20"/>
          <w:szCs w:val="20"/>
          <w:color w:val="auto"/>
        </w:rPr>
      </w:pPr>
    </w:p>
    <w:p>
      <w:pPr>
        <w:ind w:left="1720" w:right="1660" w:firstLine="55"/>
        <w:spacing w:after="0" w:line="277" w:lineRule="auto"/>
        <w:tabs>
          <w:tab w:leader="none" w:pos="191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Table 3 of this press release for an explanation of revisions made to 2015 non-GAAP amounts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-1905</wp:posOffset>
            </wp:positionV>
            <wp:extent cx="5419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88"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"In the first half of this year, EYLEA continued to demonstrate strong sales growth, and Praluent sales made steady progress as healthcare providers become more familiar with this new therapeutic class and learn to navigate payer utilization management criteria," said Leonard S. Schleifer, M.D., Ph.D., President and Chief Executive Officer of Regeneron. "In the second half of the year, for sarilumab in rheumatoid arthritis, we look forward to the upcoming U.S. regulatory decision and potential launch. We also recently completed a U.S. regulatory submission for dupilumab for the treatment of atopic dermatitis and are working to bring this breakthrough therapy to patients as soon as possible."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second quarter of 2016, net sales of EYLEA in the United States increased 27% to $831 million from $655 million in the second quarter of 2015.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40" w:hanging="332"/>
        <w:spacing w:after="0" w:line="23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second quarter of 2016,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$486 million, compared to $338 million in the second quarter of 2015. In the second quarter of 2016, Regeneron recognized $167 million from its share of net profit from EYLEA sales outside the United States, compared to $107 million in the second quarter of 2015.</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2016, global net sales of Praluent were $24 million. Product sales for Praluent are recorded by Sanofi, and the Company shares in any profits or losses from the commercialization of Praluent. Praluent was launched in the United States in the third quarter of 2015 and in certain countries in the European Union commencing in the fourth quarter of 2015.</w:t>
      </w:r>
    </w:p>
    <w:p>
      <w:pPr>
        <w:spacing w:after="0" w:line="1" w:lineRule="exact"/>
        <w:rPr>
          <w:rFonts w:ascii="Arial" w:cs="Arial" w:eastAsia="Arial" w:hAnsi="Arial"/>
          <w:sz w:val="22"/>
          <w:szCs w:val="22"/>
          <w:color w:val="auto"/>
        </w:rPr>
      </w:pPr>
    </w:p>
    <w:p>
      <w:pPr>
        <w:ind w:left="340" w:right="1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2016, the U.S. Food and Drug Administration (FDA) accepted for review a supplemental Biologics License Application (sBLA) for a monthly dosing regimen of Praluent, with a target action date of January 24, 2017.</w:t>
      </w:r>
    </w:p>
    <w:p>
      <w:pPr>
        <w:spacing w:after="0" w:line="1" w:lineRule="exact"/>
        <w:rPr>
          <w:rFonts w:ascii="Arial" w:cs="Arial" w:eastAsia="Arial" w:hAnsi="Arial"/>
          <w:sz w:val="22"/>
          <w:szCs w:val="22"/>
          <w:color w:val="auto"/>
        </w:rPr>
      </w:pPr>
    </w:p>
    <w:p>
      <w:pPr>
        <w:ind w:left="340" w:right="110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2016, the Japanese Ministry of Health, Labour and Welfare granted marketing and manufacturing authorization for Praluent for the treatment of uncontrolled LDL cholesterol, in certain adult patients with hypercholesterolemia at high cardiovascular risk.</w:t>
      </w:r>
    </w:p>
    <w:p>
      <w:pPr>
        <w:spacing w:after="0" w:line="1" w:lineRule="exact"/>
        <w:rPr>
          <w:rFonts w:ascii="Arial" w:cs="Arial" w:eastAsia="Arial" w:hAnsi="Arial"/>
          <w:sz w:val="22"/>
          <w:szCs w:val="22"/>
          <w:color w:val="auto"/>
        </w:rPr>
      </w:pPr>
    </w:p>
    <w:p>
      <w:pPr>
        <w:ind w:left="340" w:right="66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ODYSSEY OUTCOMES trial remains ongoing, and is assessing the potential of Praluent to demonstrate cardiovascular benefit.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0" w:lineRule="exact"/>
        <w:rPr>
          <w:sz w:val="20"/>
          <w:szCs w:val="20"/>
          <w:color w:val="auto"/>
        </w:rPr>
      </w:pPr>
    </w:p>
    <w:p>
      <w:pPr>
        <w:jc w:val="both"/>
        <w:ind w:right="200"/>
        <w:spacing w:after="0" w:line="224" w:lineRule="auto"/>
        <w:rPr>
          <w:sz w:val="20"/>
          <w:szCs w:val="20"/>
          <w:color w:val="auto"/>
        </w:rPr>
      </w:pPr>
      <w:r>
        <w:rPr>
          <w:rFonts w:ascii="Arial" w:cs="Arial" w:eastAsia="Arial" w:hAnsi="Arial"/>
          <w:sz w:val="22"/>
          <w:szCs w:val="22"/>
          <w:color w:val="auto"/>
        </w:rPr>
        <w:t xml:space="preserve">Regeneron has fifteen product candidates in clinical development. These consist of EYLEA and fourteen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four in collaboration with Sanofi. In addition to EYLEA and Praluent, highlights from the antibody pipeline include:</w:t>
      </w:r>
    </w:p>
    <w:p>
      <w:pPr>
        <w:spacing w:after="0" w:line="132" w:lineRule="exact"/>
        <w:rPr>
          <w:sz w:val="20"/>
          <w:szCs w:val="20"/>
          <w:color w:val="auto"/>
        </w:rPr>
      </w:pPr>
    </w:p>
    <w:p>
      <w:pPr>
        <w:ind w:left="340" w:right="220"/>
        <w:spacing w:after="0" w:line="243"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w:t>
      </w:r>
    </w:p>
    <w:p>
      <w:pPr>
        <w:spacing w:after="0" w:line="1" w:lineRule="exact"/>
        <w:rPr>
          <w:sz w:val="20"/>
          <w:szCs w:val="20"/>
          <w:color w:val="auto"/>
        </w:rPr>
      </w:pPr>
    </w:p>
    <w:p>
      <w:pPr>
        <w:ind w:left="980" w:right="160" w:hanging="324"/>
        <w:spacing w:after="0" w:line="243"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December 2015, the FDA accepted for review a Biologics License Application (BLA) for sarilumab, with a target action date of October 30, 2016.</w:t>
      </w:r>
    </w:p>
    <w:p>
      <w:pPr>
        <w:ind w:left="980" w:right="720" w:hanging="324"/>
        <w:spacing w:after="0" w:line="249"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July 2016, the European Medicines Agency (EMA) accepted for review the Marketing Authorization Application (MAA) for sarilumab.</w:t>
      </w:r>
    </w:p>
    <w:p>
      <w:pPr>
        <w:spacing w:after="0" w:line="245" w:lineRule="exact"/>
        <w:rPr>
          <w:sz w:val="20"/>
          <w:szCs w:val="20"/>
          <w:color w:val="auto"/>
        </w:rPr>
      </w:pPr>
    </w:p>
    <w:p>
      <w:pPr>
        <w:ind w:left="340" w:right="580"/>
        <w:spacing w:after="0" w:line="243"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and eosinophilic esophagitis.</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BLA for atopic dermatitis was recently submitted to the FDA.</w:t>
      </w:r>
    </w:p>
    <w:p>
      <w:pPr>
        <w:spacing w:after="0" w:line="3" w:lineRule="exact"/>
        <w:rPr>
          <w:rFonts w:ascii="Arial" w:cs="Arial" w:eastAsia="Arial" w:hAnsi="Arial"/>
          <w:sz w:val="22"/>
          <w:szCs w:val="22"/>
          <w:color w:val="auto"/>
        </w:rPr>
      </w:pPr>
    </w:p>
    <w:p>
      <w:pPr>
        <w:ind w:left="980" w:right="80" w:hanging="324"/>
        <w:spacing w:after="0" w:line="246"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2016, the Company and Sanofi reported that the Phase 3 LIBERTY AD SOLO 1 and SOLO 2 trials evaluating dupilumab in adult patients with inadequately controlled moderate-to-severe atopic dermatitis met their primary endpoints.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6" w:name="page7"/>
    <w:bookmarkEnd w:id="6"/>
    <w:p>
      <w:pPr>
        <w:ind w:left="980" w:right="260" w:hanging="324"/>
        <w:spacing w:after="0" w:line="246"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June 2016, the Company and Sanofi reported that the Phase 3 LIBERTY AD CHRONOS trial evaluating dupilumab with topical corticosteroids in adult patients with inadequately controlled moderate-to-severe atopic dermatitis met its primary and key secondary endpoints.</w:t>
      </w:r>
    </w:p>
    <w:p>
      <w:pPr>
        <w:spacing w:after="0" w:line="249" w:lineRule="exact"/>
        <w:rPr>
          <w:sz w:val="20"/>
          <w:szCs w:val="20"/>
          <w:color w:val="auto"/>
        </w:rPr>
      </w:pPr>
    </w:p>
    <w:p>
      <w:pPr>
        <w:ind w:left="340" w:right="400"/>
        <w:spacing w:after="0" w:line="243"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the Company's antibody targeting Nerve Growth Factor (NGF), is currently being studied in patients with pain due to osteoarthritis (Phase 3) and chronic low back pain (Phase 2b/3).</w:t>
      </w:r>
    </w:p>
    <w:p>
      <w:pPr>
        <w:spacing w:after="0" w:line="1" w:lineRule="exact"/>
        <w:rPr>
          <w:sz w:val="20"/>
          <w:szCs w:val="20"/>
          <w:color w:val="auto"/>
        </w:rPr>
      </w:pPr>
    </w:p>
    <w:p>
      <w:pPr>
        <w:jc w:val="both"/>
        <w:ind w:left="980" w:right="80" w:hanging="324"/>
        <w:spacing w:after="0" w:line="246"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May 2016, the Company reported top-line results from a Phase 2/3 study evaluating fasinumab in patients with moderate-to-severe osteoarthritis pain of the hip or knee who have a history of inadequate pain relief or intolerance to current analgesic therapies. The study met its primary endpoint at 16 weeks.</w:t>
      </w:r>
    </w:p>
    <w:p>
      <w:pPr>
        <w:spacing w:after="0" w:line="249" w:lineRule="exact"/>
        <w:rPr>
          <w:sz w:val="20"/>
          <w:szCs w:val="20"/>
          <w:color w:val="auto"/>
        </w:rPr>
      </w:pPr>
    </w:p>
    <w:p>
      <w:pPr>
        <w:ind w:left="340" w:right="300"/>
        <w:spacing w:after="0" w:line="249"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an antibody to programmed cell death protein 1 (PD-1), entered a potentially pivotal clinical study for the treatment of advanced cutaneous squamous cell carcinoma in the second quarter of 2016.</w:t>
      </w:r>
    </w:p>
    <w:p>
      <w:pPr>
        <w:spacing w:after="0" w:line="245"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xml:space="preserve"> is an antibody to Angptl-3. In May 2016, the Company reported positive interim results from an ongoing proof-of-concept study in patients with homozygous familial hypercholesterolemia (HoFH).</w:t>
      </w:r>
    </w:p>
    <w:p>
      <w:pPr>
        <w:spacing w:after="0" w:line="245" w:lineRule="exact"/>
        <w:rPr>
          <w:sz w:val="20"/>
          <w:szCs w:val="20"/>
          <w:color w:val="auto"/>
        </w:rPr>
      </w:pPr>
    </w:p>
    <w:p>
      <w:pPr>
        <w:ind w:left="340" w:right="40"/>
        <w:spacing w:after="0" w:line="246" w:lineRule="auto"/>
        <w:rPr>
          <w:sz w:val="20"/>
          <w:szCs w:val="20"/>
          <w:color w:val="auto"/>
        </w:rPr>
      </w:pPr>
      <w:r>
        <w:rPr>
          <w:rFonts w:ascii="Arial" w:cs="Arial" w:eastAsia="Arial" w:hAnsi="Arial"/>
          <w:sz w:val="22"/>
          <w:szCs w:val="22"/>
          <w:u w:val="single" w:color="auto"/>
          <w:color w:val="auto"/>
        </w:rPr>
        <w:t>REGN3470-3471-3479</w:t>
      </w:r>
      <w:r>
        <w:rPr>
          <w:rFonts w:ascii="Arial" w:cs="Arial" w:eastAsia="Arial" w:hAnsi="Arial"/>
          <w:sz w:val="22"/>
          <w:szCs w:val="22"/>
          <w:color w:val="auto"/>
        </w:rPr>
        <w:t xml:space="preserve"> is a combination of antibodies to Ebola virus. A Phase 1 clinical study in healthy volunteers was initiated in the second quarter of 2016. In addition, in the second quarter of 2016, the FDA granted orphan-drug designation to REGN3470-3471-3479 for the treatment of Ebola virus infection.</w:t>
      </w:r>
    </w:p>
    <w:p>
      <w:pPr>
        <w:spacing w:after="0" w:line="249" w:lineRule="exact"/>
        <w:rPr>
          <w:sz w:val="20"/>
          <w:szCs w:val="20"/>
          <w:color w:val="auto"/>
        </w:rPr>
      </w:pPr>
    </w:p>
    <w:p>
      <w:pPr>
        <w:ind w:left="340" w:right="20"/>
        <w:spacing w:after="0" w:line="249" w:lineRule="auto"/>
        <w:rPr>
          <w:sz w:val="20"/>
          <w:szCs w:val="20"/>
          <w:color w:val="auto"/>
        </w:rPr>
      </w:pPr>
      <w:r>
        <w:rPr>
          <w:rFonts w:ascii="Arial" w:cs="Arial" w:eastAsia="Arial" w:hAnsi="Arial"/>
          <w:sz w:val="22"/>
          <w:szCs w:val="22"/>
          <w:u w:val="single" w:color="auto"/>
          <w:color w:val="auto"/>
        </w:rPr>
        <w:t>REGN2477</w:t>
      </w:r>
      <w:r>
        <w:rPr>
          <w:rFonts w:ascii="Arial" w:cs="Arial" w:eastAsia="Arial" w:hAnsi="Arial"/>
          <w:sz w:val="22"/>
          <w:szCs w:val="22"/>
          <w:color w:val="auto"/>
        </w:rPr>
        <w:t xml:space="preserve"> is an antibody to Activin A being developed for Fibrodysplasia Ossificans Progressiva (FOP). A Phase 1 clinical study was initiated in the second quarter of 2016 in healthy volunteers.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2016 Milestones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266"/>
        </w:trPr>
        <w:tc>
          <w:tcPr>
            <w:tcW w:w="32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Clinical Programs</w:t>
            </w:r>
          </w:p>
        </w:tc>
        <w:tc>
          <w:tcPr>
            <w:tcW w:w="200" w:type="dxa"/>
            <w:vAlign w:val="bottom"/>
            <w:tcBorders>
              <w:bottom w:val="single" w:sz="8" w:color="auto"/>
            </w:tcBorders>
          </w:tcPr>
          <w:p>
            <w:pPr>
              <w:spacing w:after="0"/>
              <w:rPr>
                <w:sz w:val="23"/>
                <w:szCs w:val="23"/>
                <w:color w:val="auto"/>
              </w:rPr>
            </w:pPr>
          </w:p>
        </w:tc>
        <w:tc>
          <w:tcPr>
            <w:tcW w:w="6320" w:type="dxa"/>
            <w:vAlign w:val="bottom"/>
            <w:tcBorders>
              <w:bottom w:val="single" w:sz="8" w:color="auto"/>
            </w:tcBorders>
          </w:tcPr>
          <w:p>
            <w:pPr>
              <w:ind w:left="264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REGN2176-3 (PDGFR-beta</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Ÿ Report results from Phase 2 study</w:t>
            </w:r>
          </w:p>
        </w:tc>
      </w:tr>
      <w:tr>
        <w:trPr>
          <w:trHeight w:val="216"/>
        </w:trPr>
        <w:tc>
          <w:tcPr>
            <w:tcW w:w="32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42"/>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tcBorders>
              <w:bottom w:val="single" w:sz="8" w:color="auto"/>
            </w:tcBorders>
            <w:shd w:val="clear" w:color="auto" w:fill="CCEEFF"/>
          </w:tcPr>
          <w:p>
            <w:pPr>
              <w:spacing w:after="0"/>
              <w:rPr>
                <w:sz w:val="21"/>
                <w:szCs w:val="21"/>
                <w:color w:val="auto"/>
              </w:rPr>
            </w:pPr>
          </w:p>
        </w:tc>
        <w:tc>
          <w:tcPr>
            <w:tcW w:w="6320" w:type="dxa"/>
            <w:vAlign w:val="bottom"/>
            <w:tcBorders>
              <w:bottom w:val="single" w:sz="8" w:color="auto"/>
            </w:tcBorders>
            <w:shd w:val="clear" w:color="auto" w:fill="CCEEFF"/>
          </w:tcPr>
          <w:p>
            <w:pPr>
              <w:spacing w:after="0"/>
              <w:rPr>
                <w:sz w:val="21"/>
                <w:szCs w:val="21"/>
                <w:color w:val="auto"/>
              </w:rPr>
            </w:pPr>
          </w:p>
        </w:tc>
      </w:tr>
      <w:tr>
        <w:trPr>
          <w:trHeight w:val="238"/>
        </w:trPr>
        <w:tc>
          <w:tcPr>
            <w:tcW w:w="3200" w:type="dxa"/>
            <w:vAlign w:val="bottom"/>
          </w:tcPr>
          <w:p>
            <w:pPr>
              <w:ind w:left="20"/>
              <w:spacing w:after="0"/>
              <w:rPr>
                <w:sz w:val="20"/>
                <w:szCs w:val="20"/>
                <w:color w:val="auto"/>
              </w:rPr>
            </w:pPr>
            <w:r>
              <w:rPr>
                <w:rFonts w:ascii="Arial" w:cs="Arial" w:eastAsia="Arial" w:hAnsi="Arial"/>
                <w:sz w:val="20"/>
                <w:szCs w:val="20"/>
                <w:color w:val="auto"/>
              </w:rPr>
              <w:t>Praluent</w:t>
            </w:r>
          </w:p>
        </w:tc>
        <w:tc>
          <w:tcPr>
            <w:tcW w:w="6520" w:type="dxa"/>
            <w:vAlign w:val="bottom"/>
            <w:gridSpan w:val="2"/>
          </w:tcPr>
          <w:p>
            <w:pPr>
              <w:ind w:left="20"/>
              <w:spacing w:after="0"/>
              <w:rPr>
                <w:sz w:val="20"/>
                <w:szCs w:val="20"/>
                <w:color w:val="auto"/>
              </w:rPr>
            </w:pPr>
            <w:r>
              <w:rPr>
                <w:rFonts w:ascii="Arial" w:cs="Arial" w:eastAsia="Arial" w:hAnsi="Arial"/>
                <w:sz w:val="20"/>
                <w:szCs w:val="20"/>
                <w:color w:val="auto"/>
                <w:w w:val="99"/>
              </w:rPr>
              <w:t>Ÿ Data Monitoring Committee interim analysis of ODYSSEY OUTCOMES</w:t>
            </w:r>
          </w:p>
        </w:tc>
      </w:tr>
      <w:tr>
        <w:trPr>
          <w:trHeight w:val="237"/>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trial</w:t>
            </w:r>
          </w:p>
        </w:tc>
      </w:tr>
      <w:tr>
        <w:trPr>
          <w:trHeight w:val="270"/>
        </w:trPr>
        <w:tc>
          <w:tcPr>
            <w:tcW w:w="3200" w:type="dxa"/>
            <w:vAlign w:val="bottom"/>
          </w:tcPr>
          <w:p>
            <w:pPr>
              <w:spacing w:after="0"/>
              <w:rPr>
                <w:sz w:val="23"/>
                <w:szCs w:val="23"/>
                <w:color w:val="auto"/>
              </w:rPr>
            </w:pP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Ongoing launch in additional countries</w:t>
            </w:r>
          </w:p>
        </w:tc>
      </w:tr>
      <w:tr>
        <w:trPr>
          <w:trHeight w:val="23"/>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r>
        <w:trPr>
          <w:trHeight w:val="254"/>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Sarilumab (IL-6R Antibody)</w:t>
            </w: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FDA target action date of October 30, 2016</w:t>
            </w:r>
          </w:p>
        </w:tc>
      </w:tr>
      <w:tr>
        <w:trPr>
          <w:trHeight w:val="312"/>
        </w:trPr>
        <w:tc>
          <w:tcPr>
            <w:tcW w:w="3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File for additional regulatory approvals outside the United States</w:t>
            </w:r>
          </w:p>
        </w:tc>
      </w:tr>
      <w:tr>
        <w:trPr>
          <w:trHeight w:val="233"/>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Dupilumab (IL-4R Antibody)</w:t>
            </w:r>
          </w:p>
        </w:tc>
        <w:tc>
          <w:tcPr>
            <w:tcW w:w="652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Ÿ FDA to provide target action date related to BLA submission for atopic</w:t>
            </w:r>
          </w:p>
        </w:tc>
      </w:tr>
      <w:tr>
        <w:trPr>
          <w:trHeight w:val="237"/>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dermatitis in the United States</w:t>
            </w:r>
          </w:p>
        </w:tc>
      </w:tr>
      <w:tr>
        <w:trPr>
          <w:trHeight w:val="270"/>
        </w:trPr>
        <w:tc>
          <w:tcPr>
            <w:tcW w:w="3200" w:type="dxa"/>
            <w:vAlign w:val="bottom"/>
          </w:tcPr>
          <w:p>
            <w:pPr>
              <w:spacing w:after="0"/>
              <w:rPr>
                <w:sz w:val="23"/>
                <w:szCs w:val="23"/>
                <w:color w:val="auto"/>
              </w:rPr>
            </w:pP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Complete patient enrollment in Phase 3 asthma trial</w:t>
            </w:r>
          </w:p>
        </w:tc>
      </w:tr>
      <w:tr>
        <w:trPr>
          <w:trHeight w:val="284"/>
        </w:trPr>
        <w:tc>
          <w:tcPr>
            <w:tcW w:w="320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Initiate Phase 3 study in pediatric patients in atopic dermatitis</w:t>
            </w:r>
          </w:p>
        </w:tc>
      </w:tr>
      <w:tr>
        <w:trPr>
          <w:trHeight w:val="23"/>
        </w:trPr>
        <w:tc>
          <w:tcPr>
            <w:tcW w:w="320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gridSpan w:val="2"/>
          </w:tcPr>
          <w:p>
            <w:pPr>
              <w:spacing w:after="0"/>
              <w:rPr>
                <w:sz w:val="2"/>
                <w:szCs w:val="2"/>
                <w:color w:val="auto"/>
              </w:rPr>
            </w:pPr>
          </w:p>
        </w:tc>
      </w:tr>
      <w:tr>
        <w:trPr>
          <w:trHeight w:val="709"/>
        </w:trPr>
        <w:tc>
          <w:tcPr>
            <w:tcW w:w="3200" w:type="dxa"/>
            <w:vAlign w:val="bottom"/>
          </w:tcPr>
          <w:p>
            <w:pPr>
              <w:spacing w:after="0"/>
              <w:rPr>
                <w:sz w:val="24"/>
                <w:szCs w:val="24"/>
                <w:color w:val="auto"/>
              </w:rPr>
            </w:pPr>
          </w:p>
        </w:tc>
        <w:tc>
          <w:tcPr>
            <w:tcW w:w="6520" w:type="dxa"/>
            <w:vAlign w:val="bottom"/>
            <w:gridSpan w:val="2"/>
          </w:tcPr>
          <w:p>
            <w:pPr>
              <w:ind w:left="15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390"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240" w:hanging="332"/>
        <w:spacing w:after="0" w:line="255" w:lineRule="auto"/>
        <w:tabs>
          <w:tab w:leader="none" w:pos="3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In April 2016, the Company and Intellia Therapeutics, Inc. entered into a license and collaboration agreement to advance CRISPR/Cas gene-editing technology for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therapeutic development. In addition to the discovery, development and commercialization of new therapies, the companies will focus on technology development of the CRISPR/Cas platform. In May 2016, Intellia completed an initial public offering of its common stock and the Company purchased $50.0 million of Intellia common stock in a concurrent private placement.</w:t>
      </w:r>
    </w:p>
    <w:p>
      <w:pPr>
        <w:ind w:left="340" w:right="80" w:hanging="332"/>
        <w:spacing w:after="0" w:line="245"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July 2016, the Company and Adicet Bio, Inc. entered into a license and collaboration agreement to develop next-generation engineered immune-cell therapeutics with fully human chimeric antigen receptors and T-cell receptors directed to disease-specific cell surface antigens in order to enable the precise engagement and killing of tumor cells.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Second Quarter 2016 Financial Results</w:t>
      </w:r>
    </w:p>
    <w:p>
      <w:pPr>
        <w:spacing w:after="0" w:line="260" w:lineRule="exact"/>
        <w:rPr>
          <w:sz w:val="20"/>
          <w:szCs w:val="20"/>
          <w:color w:val="auto"/>
        </w:rPr>
      </w:pPr>
    </w:p>
    <w:p>
      <w:pPr>
        <w:jc w:val="both"/>
        <w:ind w:right="28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$834 million in the second quarter of 2016, compared to $658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2015. EYLEA net product sales in the United States were $831 million in the second quarter of 2016, compared to $655 million in the second quarter of 2015.</w:t>
      </w: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b w:val="1"/>
          <w:bCs w:val="1"/>
          <w:color w:val="auto"/>
        </w:rPr>
        <w:t xml:space="preserve">Total Revenues: </w:t>
      </w:r>
      <w:r>
        <w:rPr>
          <w:rFonts w:ascii="Arial" w:cs="Arial" w:eastAsia="Arial" w:hAnsi="Arial"/>
          <w:sz w:val="21"/>
          <w:szCs w:val="21"/>
          <w:color w:val="auto"/>
        </w:rPr>
        <w:t>Total revenues, which include product revenues described above, increased by 21% to $1,213 million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second quarter of 2016, compared to $999 million in the second quarter of 2015. Total revenues also include Sanofi and Bayer collaboration revenues of $355 million in the second quarter of 2016, compared to $329 million in the second quarter of 2015. Collaboration revenues in the second quarter of 2016 increased primarily due to an increase in the Company's net profit from commercialization of EYLEA outside the United States and reimbursement of the Company's research and development expenses and amortization of up-front payments received in connection with the Company's July 2015 immuno-oncology collaboration with Sanofi, partly offset by lower reimbursement of the Company's research and development expenses and an increase in the Company's share of losses primarily from the commercialization of Praluent under the Company's antibody collaboration with Sanofi.</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$560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2016, compared to $390 million in the second quarter of 2015. The higher R&amp;D expenses in the second quarter of 2016 were principally due to the $75 million up-front payment made in connection with the April 2016 license and collaboration agreement with Intellia, higher development costs primarily related to fasinumab and REGN2810, and higher headcount to support the Company's increased R&amp;D activities, partly offset by lower development costs primarily related to dupilumab. In addition, in the second quarter of 2016, R&amp;D-related non-cash share-based compensation expense was $79 million, compared to $60 million in the second quarter of 2015.</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8" w:name="page9"/>
    <w:bookmarkEnd w:id="8"/>
    <w:p>
      <w:pPr>
        <w:ind w:right="16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$292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2016, compared to $175 million in the second quarter of 2015. The increase was primarily due to higher commercialization-related expenses in connection with EYLEA and Praluent, and higher headcount. In addition, in the second quarter of 2016, SG&amp;A-related non-cash share-based compensation expense was $48 million, compared to $32 million in the second quarter of 2015.</w:t>
      </w:r>
    </w:p>
    <w:p>
      <w:pPr>
        <w:spacing w:after="0" w:line="21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$41 million in the second quarter of 2016, compared to $61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2015. COGS primarily consists of royalties as well as costs in connection with producing U.S. EYLEA commercial supplies, and various start-up costs in connection with the Company's Limerick, Ireland commercial manufacturing facility. COGS decreased principally due to a decrease in royalties since the Company's obligation to pay Genentech based on sales of EYLEA ended in May 2016.</w:t>
      </w:r>
    </w:p>
    <w:p>
      <w:pPr>
        <w:spacing w:after="0" w:line="217"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second quarter of 2016, GAAP income tax expense was $96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rate was 32.9%, compared to $133 million and 40.7% in the second quarter of 2015. The effective tax rate for the second quarter of 2016 was positively impacted, compared to the U.S. federal statutory rate, by the tax benefit associated with stock-based compensation, the domestic manufacturing deduction, and the federal tax credit for increased research activities, partly offset by the negative impact of losses incurred in foreign jurisdictions with rates lower than the federal statutory rate and the non-tax deductible Branded Prescription Drug Fee. As described in Table 3 of this press release, the Company adopted Accounting Standards Update 2016-09 (ASU 2016-09), </w:t>
      </w:r>
      <w:r>
        <w:rPr>
          <w:rFonts w:ascii="Arial" w:cs="Arial" w:eastAsia="Arial" w:hAnsi="Arial"/>
          <w:sz w:val="22"/>
          <w:szCs w:val="22"/>
          <w:i w:val="1"/>
          <w:iCs w:val="1"/>
          <w:color w:val="auto"/>
        </w:rPr>
        <w:t>Compensation -</w:t>
      </w:r>
      <w:r>
        <w:rPr>
          <w:rFonts w:ascii="Arial" w:cs="Arial" w:eastAsia="Arial" w:hAnsi="Arial"/>
          <w:sz w:val="22"/>
          <w:szCs w:val="22"/>
          <w:color w:val="auto"/>
        </w:rPr>
        <w:t xml:space="preserve"> </w:t>
      </w:r>
      <w:r>
        <w:rPr>
          <w:rFonts w:ascii="Arial" w:cs="Arial" w:eastAsia="Arial" w:hAnsi="Arial"/>
          <w:sz w:val="22"/>
          <w:szCs w:val="22"/>
          <w:i w:val="1"/>
          <w:iCs w:val="1"/>
          <w:color w:val="auto"/>
        </w:rPr>
        <w:t>Stock Compensation, Improvements to Employee Share-Based Payment Accounting</w:t>
      </w:r>
      <w:r>
        <w:rPr>
          <w:rFonts w:ascii="Arial" w:cs="Arial" w:eastAsia="Arial" w:hAnsi="Arial"/>
          <w:sz w:val="22"/>
          <w:szCs w:val="22"/>
          <w:color w:val="auto"/>
        </w:rPr>
        <w:t>, during the second quarter of</w:t>
      </w:r>
      <w:r>
        <w:rPr>
          <w:rFonts w:ascii="Arial" w:cs="Arial" w:eastAsia="Arial" w:hAnsi="Arial"/>
          <w:sz w:val="22"/>
          <w:szCs w:val="22"/>
          <w:i w:val="1"/>
          <w:iCs w:val="1"/>
          <w:color w:val="auto"/>
        </w:rPr>
        <w:t xml:space="preserve"> </w:t>
      </w:r>
      <w:r>
        <w:rPr>
          <w:rFonts w:ascii="Arial" w:cs="Arial" w:eastAsia="Arial" w:hAnsi="Arial"/>
          <w:sz w:val="22"/>
          <w:szCs w:val="22"/>
          <w:color w:val="auto"/>
        </w:rPr>
        <w:t>2016. ASU 2016-09 requires companies to recognize all excess tax benefits and tax deficiencies in connection with stock-based compensation as income tax expense or benefit in the income statement (previously, excess tax benefits were recognized in additional paid-in capital on the balance sheet).</w:t>
      </w:r>
    </w:p>
    <w:p>
      <w:pPr>
        <w:spacing w:after="0" w:line="227" w:lineRule="exact"/>
        <w:rPr>
          <w:sz w:val="20"/>
          <w:szCs w:val="20"/>
          <w:color w:val="auto"/>
        </w:rPr>
      </w:pPr>
    </w:p>
    <w:p>
      <w:pPr>
        <w:ind w:right="380"/>
        <w:spacing w:after="0" w:line="258" w:lineRule="auto"/>
        <w:rPr>
          <w:sz w:val="20"/>
          <w:szCs w:val="20"/>
          <w:color w:val="auto"/>
        </w:rPr>
      </w:pPr>
      <w:r>
        <w:rPr>
          <w:rFonts w:ascii="Arial" w:cs="Arial" w:eastAsia="Arial" w:hAnsi="Arial"/>
          <w:sz w:val="22"/>
          <w:szCs w:val="22"/>
          <w:b w:val="1"/>
          <w:bCs w:val="1"/>
          <w:color w:val="auto"/>
        </w:rPr>
        <w:t xml:space="preserve">GAAP and Non-GAAP Net Income: </w:t>
      </w:r>
      <w:r>
        <w:rPr>
          <w:rFonts w:ascii="Arial" w:cs="Arial" w:eastAsia="Arial" w:hAnsi="Arial"/>
          <w:sz w:val="22"/>
          <w:szCs w:val="22"/>
          <w:color w:val="auto"/>
        </w:rPr>
        <w:t>The Company reported GAAP net income of $196 million, or $1.88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$1.69 per diluted share, in the second quarter of 2016, compared to GAAP net income of $195 million, or $1.89 per basic share and $1.69 per diluted share, in the second quarter of 2015.</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reported non-GAAP net income of $329 million, or $3.15 per basic share and $2.82 per diluted share, in the second quarter of 2016, compared to non-GAAP net income of $265 million, or $2.58 per basic share and $2.27 per diluted share, in the second quarter of 2015.</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2016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2016 financial guidance consists of the following components:</w:t>
      </w:r>
    </w:p>
    <w:p>
      <w:pPr>
        <w:spacing w:after="0" w:line="112" w:lineRule="exact"/>
        <w:rPr>
          <w:sz w:val="20"/>
          <w:szCs w:val="20"/>
          <w:color w:val="auto"/>
        </w:rPr>
      </w:pPr>
    </w:p>
    <w:tbl>
      <w:tblPr>
        <w:tblLayout w:type="fixed"/>
        <w:tblInd w:w="550" w:type="dxa"/>
        <w:tblCellMar>
          <w:top w:w="0" w:type="dxa"/>
          <w:left w:w="0" w:type="dxa"/>
          <w:bottom w:w="0" w:type="dxa"/>
          <w:right w:w="0" w:type="dxa"/>
        </w:tblCellMar>
      </w:tblPr>
      <w:tr>
        <w:trPr>
          <w:trHeight w:val="302"/>
        </w:trPr>
        <w:tc>
          <w:tcPr>
            <w:tcW w:w="49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48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 xml:space="preserve">20% - 25% growth over 2015 </w:t>
            </w:r>
            <w:r>
              <w:rPr>
                <w:rFonts w:ascii="Arial" w:cs="Arial" w:eastAsia="Arial" w:hAnsi="Arial"/>
                <w:sz w:val="20"/>
                <w:szCs w:val="20"/>
                <w:i w:val="1"/>
                <w:iCs w:val="1"/>
                <w:color w:val="auto"/>
              </w:rPr>
              <w:t>(reaffirmed)</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Sanofi reimbursement of Regeneron commercialization-</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$310 million - $340 million</w:t>
            </w:r>
          </w:p>
        </w:tc>
      </w:tr>
      <w:tr>
        <w:trPr>
          <w:trHeight w:val="250"/>
        </w:trPr>
        <w:tc>
          <w:tcPr>
            <w:tcW w:w="4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related expenses</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$320 million - $370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 (4)</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$970 million - $1.01 billion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$875 million - $950 million)</w:t>
            </w:r>
          </w:p>
        </w:tc>
      </w:tr>
      <w:tr>
        <w:trPr>
          <w:trHeight w:val="233"/>
        </w:trPr>
        <w:tc>
          <w:tcPr>
            <w:tcW w:w="490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 (4)</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$980 million - $1.02 billion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$925 million - $1.0 billion)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82"/>
        </w:trPr>
        <w:tc>
          <w:tcPr>
            <w:tcW w:w="4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33% - 41%</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$480 million - $530 million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$550 million - $625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777"/>
        </w:trPr>
        <w:tc>
          <w:tcPr>
            <w:tcW w:w="4900" w:type="dxa"/>
            <w:vAlign w:val="bottom"/>
          </w:tcPr>
          <w:p>
            <w:pPr>
              <w:spacing w:after="0"/>
              <w:rPr>
                <w:sz w:val="24"/>
                <w:szCs w:val="24"/>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00"/>
          </w:cols>
          <w:pgMar w:left="240" w:top="363" w:right="759" w:bottom="1440" w:gutter="0" w:footer="0" w:header="0"/>
        </w:sectPr>
      </w:pPr>
    </w:p>
    <w:bookmarkStart w:id="10" w:name="page11"/>
    <w:bookmarkEnd w:id="10"/>
    <w:p>
      <w:pPr>
        <w:ind w:left="345" w:right="26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56"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8"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The Company's 2016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2016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R&amp;D: Upfront payments related to license and collaboration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agreements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5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1,020</w:t>
            </w: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5"/>
          </w:cols>
          <w:pgMar w:left="275" w:top="555"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second quarter 2016 financial and operating results on Thursday, August 4, 2016,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high LDL-cholesterol, and a rare inflammatory condition and has product candidates in development in other areas of high unmet medical need, including rheumatoid arthritis, asthma, atopic dermatitis, pain, cancer,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dupilumab, fasinumab, REGN2810, evinacumab, REGN3470-3471-3479, and REGN2477; ongoing regulatory obligations and oversight impacting Regeneron's marketed products (such as EYLEA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4" w:right="279" w:bottom="1440" w:gutter="0" w:footer="0" w:header="0"/>
        </w:sectPr>
      </w:pPr>
    </w:p>
    <w:bookmarkStart w:id="12" w:name="page13"/>
    <w:bookmarkEnd w:id="12"/>
    <w:p>
      <w:pPr>
        <w:spacing w:after="0" w:line="243" w:lineRule="auto"/>
        <w:rPr>
          <w:sz w:val="20"/>
          <w:szCs w:val="20"/>
          <w:color w:val="auto"/>
        </w:rPr>
      </w:pPr>
      <w:r>
        <w:rPr>
          <w:rFonts w:ascii="Arial" w:cs="Arial" w:eastAsia="Arial" w:hAnsi="Arial"/>
          <w:sz w:val="22"/>
          <w:szCs w:val="22"/>
          <w:color w:val="auto"/>
        </w:rPr>
        <w:t>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the potential for any license or collaboration agreement, including Regeneron's agreements with Sanofi and Bayer HealthCare LLC (or their respective affiliated companies, as applicable),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2015 and its Form 10-Q for the quarterly period ended June 30, 2016.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3"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60"/>
          </w:cols>
          <w:pgMar w:left="240" w:top="390" w:right="29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60"/>
          </w:cols>
          <w:pgMar w:left="240" w:top="390" w:right="2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60"/>
          </w:cols>
          <w:pgMar w:left="240" w:top="390" w:right="2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60"/>
          </w:cols>
          <w:pgMar w:left="240" w:top="390" w:right="29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60"/>
          </w:cols>
          <w:pgMar w:left="240" w:top="39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390" w:right="2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i w:val="1"/>
                <w:iCs w:val="1"/>
                <w:color w:val="auto"/>
                <w:w w:val="88"/>
              </w:rPr>
              <w:t>(In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marketable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1,635,016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1,677,385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Sanofi and Bayer</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315,304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626,191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461,945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1,594,120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102,732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169,311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6,204,906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880,357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760,619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818,166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Facility lease obligations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364,708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4,076,506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3,654,837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6,204,906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center"/>
              <w:ind w:left="2990"/>
              <w:spacing w:after="0"/>
              <w:rPr>
                <w:sz w:val="20"/>
                <w:szCs w:val="20"/>
                <w:color w:val="auto"/>
              </w:rPr>
            </w:pPr>
            <w:r>
              <w:rPr>
                <w:rFonts w:ascii="Arial" w:cs="Arial" w:eastAsia="Arial" w:hAnsi="Arial"/>
                <w:sz w:val="18"/>
                <w:szCs w:val="18"/>
                <w:color w:val="auto"/>
                <w:w w:val="89"/>
              </w:rPr>
              <w:t>10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TABLE 2</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30"/>
        </w:trPr>
        <w:tc>
          <w:tcPr>
            <w:tcW w:w="7500" w:type="dxa"/>
            <w:vAlign w:val="bottom"/>
            <w:gridSpan w:val="5"/>
          </w:tcPr>
          <w:p>
            <w:pPr>
              <w:jc w:val="center"/>
              <w:ind w:left="3830"/>
              <w:spacing w:after="0"/>
              <w:rPr>
                <w:sz w:val="20"/>
                <w:szCs w:val="20"/>
                <w:color w:val="auto"/>
              </w:rPr>
            </w:pPr>
            <w:r>
              <w:rPr>
                <w:rFonts w:ascii="Arial" w:cs="Arial" w:eastAsia="Arial" w:hAnsi="Arial"/>
                <w:sz w:val="18"/>
                <w:szCs w:val="18"/>
                <w:b w:val="1"/>
                <w:bCs w:val="1"/>
                <w:color w:val="auto"/>
              </w:rPr>
              <w:t>REGENERON PHARMACEUTICALS, INC.</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9000" w:type="dxa"/>
            <w:vAlign w:val="bottom"/>
            <w:gridSpan w:val="8"/>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500" w:type="dxa"/>
            <w:vAlign w:val="bottom"/>
            <w:gridSpan w:val="5"/>
          </w:tcPr>
          <w:p>
            <w:pPr>
              <w:jc w:val="center"/>
              <w:ind w:left="385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7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4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834,219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657,819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1,618,401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1,202,392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195,110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Bayer collaboration revenue</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191,896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134,237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371,488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258,083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11,451</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39,288</w:t>
            </w:r>
          </w:p>
        </w:tc>
      </w:tr>
      <w:tr>
        <w:trPr>
          <w:trHeight w:val="237"/>
        </w:trPr>
        <w:tc>
          <w:tcPr>
            <w:tcW w:w="5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1,212,629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998,617</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2,413,478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1,868,229</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559,930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390,330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1,030,042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733,443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174,588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333,579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60,855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120,189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103,425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and contract manufacturing (COCM)</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69,370</w:t>
            </w:r>
          </w:p>
        </w:tc>
      </w:tr>
      <w:tr>
        <w:trPr>
          <w:trHeight w:val="237"/>
        </w:trPr>
        <w:tc>
          <w:tcPr>
            <w:tcW w:w="5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921,001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653,758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1,792,542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1,239,817</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291,628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344,859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620,936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628,412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(16,863)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(23,893)</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292,256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327,996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622,407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604,519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(96,038)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(133,353)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(244,804)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(333,855)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194,643</w:t>
            </w: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377,603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270,664</w:t>
            </w:r>
          </w:p>
        </w:tc>
      </w:tr>
      <w:tr>
        <w:trPr>
          <w:trHeight w:val="311"/>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32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102,886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102,558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116,231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115,259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116,617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114,962</w:t>
            </w: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101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3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9940" w:type="dxa"/>
            <w:vAlign w:val="bottom"/>
            <w:gridSpan w:val="10"/>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160" w:type="dxa"/>
            <w:vAlign w:val="bottom"/>
            <w:gridSpan w:val="5"/>
          </w:tcPr>
          <w:p>
            <w:pPr>
              <w:jc w:val="center"/>
              <w:ind w:left="419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194,643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270,664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60,045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119,547</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R&amp;D: Upfront payment related to license and collaboration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1"/>
              </w:rPr>
              <w:t>COGS and COCM: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2,053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4,135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Other expense: Non-cash interest and loss on extinguishment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related to convertible senior notes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16,299</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19,489</w:t>
            </w:r>
          </w:p>
        </w:tc>
      </w:tr>
      <w:tr>
        <w:trPr>
          <w:trHeight w:val="270"/>
        </w:trPr>
        <w:tc>
          <w:tcPr>
            <w:tcW w:w="50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Income tax effect of reconciling items above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(74,287)</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(39,734)</w:t>
            </w:r>
          </w:p>
        </w:tc>
        <w:tc>
          <w:tcPr>
            <w:tcW w:w="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(125,014)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(78,222)</w:t>
            </w:r>
          </w:p>
        </w:tc>
      </w:tr>
      <w:tr>
        <w:trPr>
          <w:trHeight w:val="264"/>
        </w:trPr>
        <w:tc>
          <w:tcPr>
            <w:tcW w:w="504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Non-GAAP net income </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329,116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265,465</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602,108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409,947</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102,886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102,558</w:t>
            </w:r>
          </w:p>
        </w:tc>
      </w:tr>
      <w:tr>
        <w:trPr>
          <w:trHeight w:val="341"/>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116,523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116,977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116,836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116,778</w:t>
            </w:r>
          </w:p>
        </w:tc>
      </w:tr>
    </w:tbl>
    <w:p>
      <w:pPr>
        <w:spacing w:after="0" w:line="76" w:lineRule="exact"/>
        <w:rPr>
          <w:sz w:val="20"/>
          <w:szCs w:val="20"/>
          <w:color w:val="auto"/>
        </w:rPr>
      </w:pPr>
    </w:p>
    <w:p>
      <w:pPr>
        <w:ind w:left="380" w:right="260" w:hanging="345"/>
        <w:spacing w:after="0" w:line="264" w:lineRule="auto"/>
        <w:tabs>
          <w:tab w:leader="none" w:pos="380" w:val="left"/>
        </w:tabs>
        <w:numPr>
          <w:ilvl w:val="0"/>
          <w:numId w:val="13"/>
        </w:numPr>
        <w:rPr>
          <w:rFonts w:ascii="Arial" w:cs="Arial" w:eastAsia="Arial" w:hAnsi="Arial"/>
          <w:sz w:val="13"/>
          <w:szCs w:val="13"/>
          <w:color w:val="auto"/>
        </w:rPr>
      </w:pPr>
      <w:r>
        <w:rPr>
          <w:rFonts w:ascii="Arial" w:cs="Arial" w:eastAsia="Arial" w:hAnsi="Arial"/>
          <w:sz w:val="18"/>
          <w:szCs w:val="18"/>
          <w:color w:val="auto"/>
        </w:rPr>
        <w:t>For diluted non-GAAP net income per share calculations, interest expense related to the contractual coupon interest rate on the Company's 1.875% convertible senior notes were excluded since these securities were dilutive. Such interest expense was not material for the three and six months ended June 30, 2016 and 2015.</w:t>
      </w:r>
    </w:p>
    <w:p>
      <w:pPr>
        <w:spacing w:after="0" w:line="140" w:lineRule="exact"/>
        <w:rPr>
          <w:rFonts w:ascii="Arial" w:cs="Arial" w:eastAsia="Arial" w:hAnsi="Arial"/>
          <w:sz w:val="13"/>
          <w:szCs w:val="13"/>
          <w:color w:val="auto"/>
        </w:rPr>
      </w:pPr>
    </w:p>
    <w:p>
      <w:pPr>
        <w:ind w:left="380" w:right="40" w:hanging="345"/>
        <w:spacing w:after="0" w:line="277" w:lineRule="auto"/>
        <w:tabs>
          <w:tab w:leader="none" w:pos="380" w:val="left"/>
        </w:tabs>
        <w:numPr>
          <w:ilvl w:val="0"/>
          <w:numId w:val="13"/>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129" w:lineRule="exact"/>
        <w:rPr>
          <w:rFonts w:ascii="Arial" w:cs="Arial" w:eastAsia="Arial" w:hAnsi="Arial"/>
          <w:sz w:val="13"/>
          <w:szCs w:val="13"/>
          <w:color w:val="auto"/>
        </w:rPr>
      </w:pPr>
    </w:p>
    <w:p>
      <w:pPr>
        <w:ind w:left="380" w:right="40" w:hanging="345"/>
        <w:spacing w:after="0" w:line="271"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7"/>
          <w:szCs w:val="17"/>
          <w:color w:val="auto"/>
        </w:rPr>
        <w:t xml:space="preserve">Prior to the quarter ended June 30, 2016, non-GAAP measures presented by the Company also included an income tax expense adjustment from GAAP tax expense to the amount of taxes that were paid or payable in cash in respect of the relevant period. Historically, there had been a significant difference between the Company's GAAP effective tax rate and actual cash income taxes paid or payable primarily due to the utilization of excess tax benefits in connection with employee exercises of stock options (which were recorded to additional paid-in capital for GAAP reporting purposes). In connection with the adoption of ASU 2016-09, </w:t>
      </w:r>
      <w:r>
        <w:rPr>
          <w:rFonts w:ascii="Arial" w:cs="Arial" w:eastAsia="Arial" w:hAnsi="Arial"/>
          <w:sz w:val="17"/>
          <w:szCs w:val="17"/>
          <w:i w:val="1"/>
          <w:iCs w:val="1"/>
          <w:color w:val="auto"/>
        </w:rPr>
        <w:t>Compensation - Stock Compensation, Improvements to Employee Share-Based Payment Accounting</w:t>
      </w:r>
      <w:r>
        <w:rPr>
          <w:rFonts w:ascii="Arial" w:cs="Arial" w:eastAsia="Arial" w:hAnsi="Arial"/>
          <w:sz w:val="17"/>
          <w:szCs w:val="17"/>
          <w:color w:val="auto"/>
        </w:rPr>
        <w:t>, during the second quarter of 2016, the Company chose to discontinue such non-GAAP adjustment as ASU 2016-09 requires entities to recognize excess tax benefits in connection with employee exercises of stock options in the income statement. The Company adopted this aspect of ASU 2016-09 prospectively. A reconciliation to the previously reported non-GAAP adjustment is presented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8"/>
                <w:szCs w:val="18"/>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June 30, 2015</w:t>
            </w:r>
          </w:p>
        </w:tc>
        <w:tc>
          <w:tcPr>
            <w:tcW w:w="22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 2015</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 as revised (see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409,947</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Income tax effect of reconciling items (see above)</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78,222</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income taxes (as previously reported)</w:t>
            </w: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185,891</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Non-GAAP net income - as previously reported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674,060</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i w:val="1"/>
          <w:iCs w:val="1"/>
          <w:color w:val="auto"/>
        </w:rPr>
        <w:t>Note: As a result of the above revisions to non-GAAP net income, non-GAAP net income per share (basic and diluted) have also been revised accordingly.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220"/>
          </w:cols>
          <w:pgMar w:left="1340" w:top="526" w:right="1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TABLE 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4"/>
        </w:trPr>
        <w:tc>
          <w:tcPr>
            <w:tcW w:w="7580" w:type="dxa"/>
            <w:vAlign w:val="bottom"/>
            <w:gridSpan w:val="8"/>
          </w:tcPr>
          <w:p>
            <w:pPr>
              <w:jc w:val="center"/>
              <w:ind w:left="3750"/>
              <w:spacing w:after="0"/>
              <w:rPr>
                <w:sz w:val="20"/>
                <w:szCs w:val="20"/>
                <w:color w:val="auto"/>
              </w:rPr>
            </w:pPr>
            <w:r>
              <w:rPr>
                <w:rFonts w:ascii="Arial" w:cs="Arial" w:eastAsia="Arial" w:hAnsi="Arial"/>
                <w:sz w:val="18"/>
                <w:szCs w:val="18"/>
                <w:b w:val="1"/>
                <w:bCs w:val="1"/>
                <w:color w:val="auto"/>
              </w:rPr>
              <w:t>REGENERON PHARMACEUTICALS, INC.</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7580" w:type="dxa"/>
            <w:vAlign w:val="bottom"/>
            <w:gridSpan w:val="8"/>
          </w:tcPr>
          <w:p>
            <w:pPr>
              <w:jc w:val="center"/>
              <w:ind w:left="3750"/>
              <w:spacing w:after="0"/>
              <w:rPr>
                <w:sz w:val="20"/>
                <w:szCs w:val="20"/>
                <w:color w:val="auto"/>
              </w:rPr>
            </w:pPr>
            <w:r>
              <w:rPr>
                <w:rFonts w:ascii="Arial" w:cs="Arial" w:eastAsia="Arial" w:hAnsi="Arial"/>
                <w:sz w:val="18"/>
                <w:szCs w:val="18"/>
                <w:b w:val="1"/>
                <w:bCs w:val="1"/>
                <w:color w:val="auto"/>
                <w:w w:val="98"/>
              </w:rPr>
              <w:t>COLLABORATION REVENUE (Unaudited)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76"/>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211,516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399,459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381,022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commercialization-related</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35,804</w:t>
            </w: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(68,718)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20,358</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195,110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383,108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368,466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Regeneron's net profit in connection with commercialization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EYLEA outside the United States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167,492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196,057</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Sales milestones</w:t>
            </w: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12,301</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34,725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collaboration revenue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258,083</w:t>
            </w:r>
          </w:p>
        </w:tc>
      </w:tr>
      <w:tr>
        <w:trPr>
          <w:trHeight w:val="318"/>
        </w:trPr>
        <w:tc>
          <w:tcPr>
            <w:tcW w:w="4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355,310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754,596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626,549</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i w:val="1"/>
          <w:iCs w:val="1"/>
          <w:color w:val="auto"/>
        </w:rPr>
        <w:t>Note: In addition to amounts noted in the table above, the Company recorded $0.4 million and $0.6 million for the three and six months ended June 30, 2016, respectively, related to reimbursements of Regeneron research and development expenses by other entities.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2019-12-05T23:31:57Z</dcterms:created>
  <dcterms:modified xsi:type="dcterms:W3CDTF">2019-12-05T23:31:57Z</dcterms:modified>
</cp:coreProperties>
</file>