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 (D)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Date of Report (Date of earliest event reported): November 12, 2009 (November 10, 2009)</w:t>
      </w:r>
    </w:p>
    <w:p>
      <w:pPr>
        <w:spacing w:after="0" w:line="260"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400"/>
          </w:cols>
          <w:pgMar w:left="240" w:top="949" w:right="259" w:bottom="141" w:gutter="0" w:footer="0" w:header="0"/>
        </w:sectPr>
      </w:pPr>
    </w:p>
    <w:p>
      <w:pPr>
        <w:spacing w:after="0" w:line="240"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000-19034</w:t>
      </w:r>
    </w:p>
    <w:p>
      <w:pPr>
        <w:spacing w:after="0" w:line="21"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13-3444607</w:t>
      </w:r>
    </w:p>
    <w:p>
      <w:pPr>
        <w:spacing w:after="0" w:line="21"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00" w:space="720"/>
            <w:col w:w="4080"/>
          </w:cols>
          <w:pgMar w:left="240" w:top="949" w:right="259" w:bottom="141" w:gutter="0" w:footer="0" w:header="0"/>
          <w:type w:val="continuous"/>
        </w:sectPr>
      </w:pPr>
    </w:p>
    <w:p>
      <w:pPr>
        <w:spacing w:after="0" w:line="90"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777 Old Saw Mill River Road, Tarrytown, New York</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10591-6707</w:t>
      </w:r>
    </w:p>
    <w:p>
      <w:pPr>
        <w:spacing w:after="0" w:line="65" w:lineRule="exact"/>
        <w:rPr>
          <w:sz w:val="24"/>
          <w:szCs w:val="24"/>
          <w:color w:val="auto"/>
        </w:rPr>
      </w:pPr>
    </w:p>
    <w:p>
      <w:pPr>
        <w:sectPr>
          <w:pgSz w:w="11900" w:h="16838" w:orient="portrait"/>
          <w:cols w:equalWidth="0" w:num="2">
            <w:col w:w="7240" w:space="720"/>
            <w:col w:w="3440"/>
          </w:cols>
          <w:pgMar w:left="240" w:top="949" w:right="259" w:bottom="141" w:gutter="0" w:footer="0" w:header="0"/>
          <w:type w:val="continuous"/>
        </w:sectPr>
      </w:pPr>
    </w:p>
    <w:p>
      <w:pPr>
        <w:ind w:left="7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40" w:space="720"/>
            <w:col w:w="3440"/>
          </w:cols>
          <w:pgMar w:left="240" w:top="949" w:right="259" w:bottom="141" w:gutter="0" w:footer="0" w:header="0"/>
          <w:type w:val="continuous"/>
        </w:sect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(914) 347-7000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right="380"/>
        <w:spacing w:after="0" w:line="29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7"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8" w:lineRule="exact"/>
        <w:rPr>
          <w:sz w:val="24"/>
          <w:szCs w:val="24"/>
          <w:color w:val="auto"/>
        </w:rPr>
      </w:pPr>
    </w:p>
    <w:p>
      <w:pPr>
        <w:ind w:left="280"/>
        <w:spacing w:after="0"/>
        <w:rPr>
          <w:sz w:val="20"/>
          <w:szCs w:val="20"/>
          <w:color w:val="auto"/>
        </w:rPr>
      </w:pPr>
      <w:r>
        <w:rPr>
          <w:rFonts w:ascii="Arial" w:cs="Arial" w:eastAsia="Arial" w:hAnsi="Arial"/>
          <w:sz w:val="18"/>
          <w:szCs w:val="18"/>
          <w:i w:val="1"/>
          <w:iCs w:val="1"/>
          <w:color w:val="auto"/>
        </w:rPr>
        <w:t>Amended and Restated Collaboration Agreements</w:t>
      </w:r>
    </w:p>
    <w:p>
      <w:pPr>
        <w:spacing w:after="0" w:line="252" w:lineRule="exact"/>
        <w:rPr>
          <w:sz w:val="24"/>
          <w:szCs w:val="24"/>
          <w:color w:val="auto"/>
        </w:rPr>
      </w:pPr>
    </w:p>
    <w:p>
      <w:pPr>
        <w:ind w:firstLine="270"/>
        <w:spacing w:after="0" w:line="291" w:lineRule="auto"/>
        <w:rPr>
          <w:sz w:val="20"/>
          <w:szCs w:val="20"/>
          <w:color w:val="auto"/>
        </w:rPr>
      </w:pPr>
      <w:r>
        <w:rPr>
          <w:rFonts w:ascii="Arial" w:cs="Arial" w:eastAsia="Arial" w:hAnsi="Arial"/>
          <w:sz w:val="16"/>
          <w:szCs w:val="16"/>
          <w:color w:val="auto"/>
        </w:rPr>
        <w:t>On November 28, 2007, Regeneron Pharmaceuticals, Inc. (the "Company") entered into a global, strategic collaboration with various affiliates of sanofi-aventis, a company organized under the laws of France (sanofi-aventis and its affiliates are referred to herein as "Sanofi"), to discover, develop and commercialize fully-human therapeutic antibodies utilizing the Company's VelociSuite of technologies (the "Collaboration"). The Collaboration has been governed by a Discovery and Preclinical Agreement, dated November 28, 2007 (the "Discovery Agreement"), by and between Aventis Pharmaceuticals Inc. and the Company, and a License and Collaboration Agreement, dated November 28, 2007, by and among Aventis Pharmaceuticals Inc., sanofi-aventis Amérique du Nord and the Company (the "License and Collaboration Agreement" and, together with the Discovery Agreement, the "Original Collaboration Agreements").</w:t>
      </w:r>
    </w:p>
    <w:p>
      <w:pPr>
        <w:spacing w:after="0" w:line="201" w:lineRule="exact"/>
        <w:rPr>
          <w:sz w:val="24"/>
          <w:szCs w:val="24"/>
          <w:color w:val="auto"/>
        </w:rPr>
      </w:pPr>
    </w:p>
    <w:p>
      <w:pPr>
        <w:ind w:firstLine="270"/>
        <w:spacing w:after="0" w:line="286" w:lineRule="auto"/>
        <w:rPr>
          <w:sz w:val="20"/>
          <w:szCs w:val="20"/>
          <w:color w:val="auto"/>
        </w:rPr>
      </w:pPr>
      <w:r>
        <w:rPr>
          <w:rFonts w:ascii="Arial" w:cs="Arial" w:eastAsia="Arial" w:hAnsi="Arial"/>
          <w:sz w:val="16"/>
          <w:szCs w:val="16"/>
          <w:color w:val="auto"/>
        </w:rPr>
        <w:t>On November 10, 2009, the Company and Sanofi amended the Original Collaboration Agreements by entering into an Amended and Restated Discovery and Preclinical Agreement (the “Amended and Restated Discovery Agreement”) and an Amended and Restated License and Collaboration Agreement (the “Amended and Restated License Agreement”). The material amendments to the Original Collaboration Agreements are as follows: (i) the funded program for Regeneron to identify and validate potential drug discovery targets and develop fully-human therapeutic antibodies against such targets (the "Discovery Program") was extended by an additional five years to end on December 31, 2017, subject to an option for Sanofi to extend certain antibody development and preclinical activities under the Discovery Program for up to three additional years; (ii) the maximum annual amount reimbursed by Sanofi under the Discovery Program was increased from $100 million per year to $160 million per year, subject to a one-time option for Sanofi to adjust the maximum reimbursement amount down to $120 million per year commencing in 2014 if over the prior two years certain specified criteria are not satisfied; (iii) the exclusivity provisions in the Original Collaboration Agreements were amended to give Sanofi additional flexibility to license and develop antibodies outside the collaboration; (iv) under certain conditions the Company will be entitled to receive a $10 million milestone payment for each antibody product candidate licensed by Sanofi from the Discovery Program to the extent it was derived using new antibody technologies developed by the Company; and (v) Sanofi agreed to reimburse up to $30 million of costs to expand the Company’s antibody manufacturing facilities in Rensselaer,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949" w:right="259" w:bottom="141" w:gutter="0" w:footer="0" w:header="0"/>
          <w:type w:val="continuous"/>
        </w:sectPr>
      </w:pPr>
    </w:p>
    <w:bookmarkStart w:id="1" w:name="page2"/>
    <w:bookmarkEnd w:id="1"/>
    <w:p>
      <w:pPr>
        <w:ind w:left="280"/>
        <w:spacing w:after="0"/>
        <w:rPr>
          <w:sz w:val="20"/>
          <w:szCs w:val="20"/>
          <w:color w:val="auto"/>
        </w:rPr>
      </w:pPr>
      <w:r>
        <w:rPr>
          <w:rFonts w:ascii="Arial" w:cs="Arial" w:eastAsia="Arial" w:hAnsi="Arial"/>
          <w:sz w:val="18"/>
          <w:szCs w:val="18"/>
          <w:i w:val="1"/>
          <w:iCs w:val="1"/>
          <w:color w:val="auto"/>
        </w:rPr>
        <w:t>Amended Investor Agreement</w:t>
      </w:r>
    </w:p>
    <w:p>
      <w:pPr>
        <w:spacing w:after="0" w:line="252" w:lineRule="exact"/>
        <w:rPr>
          <w:sz w:val="20"/>
          <w:szCs w:val="20"/>
          <w:color w:val="auto"/>
        </w:rPr>
      </w:pPr>
    </w:p>
    <w:p>
      <w:pPr>
        <w:ind w:right="80" w:firstLine="270"/>
        <w:spacing w:after="0" w:line="289" w:lineRule="auto"/>
        <w:rPr>
          <w:sz w:val="20"/>
          <w:szCs w:val="20"/>
          <w:color w:val="auto"/>
        </w:rPr>
      </w:pPr>
      <w:r>
        <w:rPr>
          <w:rFonts w:ascii="Arial" w:cs="Arial" w:eastAsia="Arial" w:hAnsi="Arial"/>
          <w:sz w:val="16"/>
          <w:szCs w:val="16"/>
          <w:color w:val="auto"/>
        </w:rPr>
        <w:t>In connection with the Original Collaboration Agreements, December 2007, the Company sold to Sanofi 12,000,000 shares of its Common Stock, par value $0.001 per share (the "Common Stock"), at an aggregate cash price of $312 million, or $26.00 per share of Common Stock (the “Transaction”), pursuant to the terms of a Stock Purchase Agreement, dated November 28, 2007, by and among sanofi-aventis Amérique du Nord, sanofi-aventis US LLC and the Company. In connection with the Transaction, Sanofi entered into an Investor Agreement with the Company (the “Investor Agreement”). Under the Investor Agreement, Sanofi agreed, among other things, not to dispose of any shares of Common Stock beneficially owned by it immediately after the closing of the Transaction until the fifth anniversary of the closing of the Transaction (the “Lock-Up”), subject to certain limited exceptions. On November 10, 2009, Sanofi and the Company amended the Investor Agreement to extend the term of the Lock-Up for an additional five years, ending on December 20, 2017, the tenth anniversary of the closing of the Transaction, subject to certain limited exceptions.</w:t>
      </w:r>
    </w:p>
    <w:p>
      <w:pPr>
        <w:spacing w:after="0" w:line="199"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press release issued by the Company, dated November 10, 2009, contains further information concerning the amendments to the Original Collaboration Agreements and the amended Investor Agreement. A copy of this press release is attached to this Current Report on Form 8-K as Exhibit 99.1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 Exhibits.</w:t>
      </w: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Document</w:t>
      </w:r>
    </w:p>
    <w:p>
      <w:pPr>
        <w:spacing w:after="0" w:line="4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dated November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316"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12, 2009</w:t>
      </w:r>
      <w:r>
        <w:rPr>
          <w:sz w:val="20"/>
          <w:szCs w:val="20"/>
          <w:color w:val="auto"/>
        </w:rPr>
        <w:tab/>
      </w:r>
      <w:r>
        <w:rPr>
          <w:rFonts w:ascii="Arial" w:cs="Arial" w:eastAsia="Arial" w:hAnsi="Arial"/>
          <w:sz w:val="16"/>
          <w:szCs w:val="16"/>
          <w:b w:val="1"/>
          <w:bCs w:val="1"/>
          <w:color w:val="auto"/>
        </w:rPr>
        <w:t xml:space="preserve">By: </w:t>
      </w:r>
      <w:r>
        <w:rPr>
          <w:rFonts w:ascii="Arial" w:cs="Arial" w:eastAsia="Arial" w:hAnsi="Arial"/>
          <w:sz w:val="16"/>
          <w:szCs w:val="16"/>
          <w:u w:val="single" w:color="auto"/>
          <w:color w:val="auto"/>
        </w:rPr>
        <w:t>/s/ Stuart Kolinski</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Stuart Kolinski</w:t>
      </w:r>
    </w:p>
    <w:p>
      <w:pPr>
        <w:spacing w:after="0" w:line="36"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5"/>
          <w:szCs w:val="15"/>
          <w:color w:val="auto"/>
        </w:rPr>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Index</w:t>
      </w:r>
    </w:p>
    <w:p>
      <w:pPr>
        <w:spacing w:after="0" w:line="2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dated November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58" w:right="2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075180"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51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0"/>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6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2"/>
          <w:szCs w:val="32"/>
          <w:b w:val="1"/>
          <w:bCs w:val="1"/>
          <w:color w:val="125CA7"/>
        </w:rPr>
        <w:t>Sanofi-aventis and Regeneron Expand Strategic Antibody Collaboration</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New agreements expand and extend November 2007 antibody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-83185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Collaboration goal is to advance 4 to 5 antibodies per year into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-92075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i w:val="1"/>
          <w:iCs w:val="1"/>
          <w:color w:val="auto"/>
        </w:rPr>
        <w:t>Sanofi-aventis to fund up to $160M annually for Regeneron antibody discovery research until end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-92075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Paris, France and Tarrytown, New York (November 10, 2009) </w:t>
      </w:r>
      <w:r>
        <w:rPr>
          <w:rFonts w:ascii="Arial" w:cs="Arial" w:eastAsia="Arial" w:hAnsi="Arial"/>
          <w:sz w:val="18"/>
          <w:szCs w:val="18"/>
          <w:color w:val="auto"/>
        </w:rPr>
        <w:t>-- Sanofi-aventis (EURONEXT:</w:t>
      </w:r>
      <w:r>
        <w:rPr>
          <w:rFonts w:ascii="Arial" w:cs="Arial" w:eastAsia="Arial" w:hAnsi="Arial"/>
          <w:sz w:val="18"/>
          <w:szCs w:val="18"/>
          <w:b w:val="1"/>
          <w:bCs w:val="1"/>
          <w:color w:val="auto"/>
        </w:rPr>
        <w:t xml:space="preserve"> SAN </w:t>
      </w:r>
      <w:r>
        <w:rPr>
          <w:rFonts w:ascii="Arial" w:cs="Arial" w:eastAsia="Arial" w:hAnsi="Arial"/>
          <w:sz w:val="18"/>
          <w:szCs w:val="18"/>
          <w:color w:val="auto"/>
        </w:rPr>
        <w:t>and NYSE:</w:t>
      </w:r>
      <w:r>
        <w:rPr>
          <w:rFonts w:ascii="Arial" w:cs="Arial" w:eastAsia="Arial" w:hAnsi="Arial"/>
          <w:sz w:val="18"/>
          <w:szCs w:val="18"/>
          <w:b w:val="1"/>
          <w:bCs w:val="1"/>
          <w:color w:val="auto"/>
        </w:rPr>
        <w:t xml:space="preserve"> SNY</w:t>
      </w:r>
      <w:r>
        <w:rPr>
          <w:rFonts w:ascii="Arial" w:cs="Arial" w:eastAsia="Arial" w:hAnsi="Arial"/>
          <w:sz w:val="18"/>
          <w:szCs w:val="18"/>
          <w:color w:val="auto"/>
        </w:rPr>
        <w:t>) and Regeneron Pharmaceuticals, Inc.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(NASDAQ: </w:t>
      </w:r>
      <w:r>
        <w:rPr>
          <w:rFonts w:ascii="Arial" w:cs="Arial" w:eastAsia="Arial" w:hAnsi="Arial"/>
          <w:sz w:val="18"/>
          <w:szCs w:val="18"/>
          <w:b w:val="1"/>
          <w:bCs w:val="1"/>
          <w:color w:val="auto"/>
        </w:rPr>
        <w:t>REGN</w:t>
      </w:r>
      <w:r>
        <w:rPr>
          <w:rFonts w:ascii="Arial" w:cs="Arial" w:eastAsia="Arial" w:hAnsi="Arial"/>
          <w:sz w:val="18"/>
          <w:szCs w:val="18"/>
          <w:color w:val="auto"/>
        </w:rPr>
        <w:t>) announced today that they have entered into agreements to expand and extend their existing global collaboration to discover, develop, and commercialize fully-human therapeutic monoclonal antibodies.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Sanofi-aventis will increase its annual funding commitment from $100M to $160 million beginning in 2010, and the research funding will now extend through</w:t>
      </w:r>
    </w:p>
    <w:p>
      <w:pPr>
        <w:spacing w:after="0" w:line="38" w:lineRule="exact"/>
        <w:rPr>
          <w:sz w:val="20"/>
          <w:szCs w:val="20"/>
          <w:color w:val="auto"/>
        </w:rPr>
      </w:pPr>
    </w:p>
    <w:p>
      <w:pPr>
        <w:ind w:right="480"/>
        <w:spacing w:after="0" w:line="209" w:lineRule="auto"/>
        <w:rPr>
          <w:sz w:val="20"/>
          <w:szCs w:val="20"/>
          <w:color w:val="auto"/>
        </w:rPr>
      </w:pPr>
      <w:r>
        <w:rPr>
          <w:rFonts w:ascii="Arial" w:cs="Arial" w:eastAsia="Arial" w:hAnsi="Arial"/>
          <w:sz w:val="18"/>
          <w:szCs w:val="18"/>
          <w:color w:val="auto"/>
        </w:rPr>
        <w:t xml:space="preserve">2017. The companies aim to advance an average of four to five antibodies into clinical development each year. In addition to its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technology, Regeneron will contribute to the collaboration its next generation technologies related to antibody generation.</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Sanofi-aventis has an option to extend the discovery program for up to an additional three years for further antibody development and preclinical activities. The amendments announced today do not change the financial terms of the November 2007 agreement governing the development and commercialization of antibody drug candidates arising from the discovery collaboration.</w:t>
      </w:r>
    </w:p>
    <w:p>
      <w:pPr>
        <w:spacing w:after="0" w:line="19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first two years of our collaboration with sanofi-aventis have been extremely productive, with five 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human antibodies in or entering clinical</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w:t>
      </w:r>
      <w:r>
        <w:rPr>
          <w:rFonts w:ascii="Arial" w:cs="Arial" w:eastAsia="Arial" w:hAnsi="Arial"/>
          <w:sz w:val="16"/>
          <w:szCs w:val="16"/>
          <w:color w:val="auto"/>
        </w:rPr>
        <w:t>,” commented Leonard S. Schleifer, M.D., Ph.D., President and Chief Executive Officer of Regeneron. “</w:t>
      </w:r>
      <w:r>
        <w:rPr>
          <w:rFonts w:ascii="Arial" w:cs="Arial" w:eastAsia="Arial" w:hAnsi="Arial"/>
          <w:sz w:val="16"/>
          <w:szCs w:val="16"/>
          <w:i w:val="1"/>
          <w:iCs w:val="1"/>
          <w:color w:val="auto"/>
        </w:rPr>
        <w:t>The expansion of our collaboration provides even greater resources over a longer time horizon and will boost our efforts to build a deep pipeline of new human antibody product candidates. Sanofi-aventis is an ideal partner with the expertise and global reach to collaborate with us on our mission to bring important new medicines to patients around the world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This collaboration expansion demonstrates sanofi-aventis’ commitment to become a key player in the field of monoclonal antibodies and our confidence in our</w:t>
      </w:r>
      <w:r>
        <w:rPr>
          <w:rFonts w:ascii="Arial" w:cs="Arial" w:eastAsia="Arial" w:hAnsi="Arial"/>
          <w:sz w:val="18"/>
          <w:szCs w:val="18"/>
          <w:color w:val="auto"/>
        </w:rPr>
        <w:t xml:space="preserve"> </w:t>
      </w:r>
      <w:r>
        <w:rPr>
          <w:rFonts w:ascii="Arial" w:cs="Arial" w:eastAsia="Arial" w:hAnsi="Arial"/>
          <w:sz w:val="18"/>
          <w:szCs w:val="18"/>
          <w:i w:val="1"/>
          <w:iCs w:val="1"/>
          <w:color w:val="auto"/>
        </w:rPr>
        <w:t>partner Regeneron</w:t>
      </w:r>
      <w:r>
        <w:rPr>
          <w:rFonts w:ascii="Arial" w:cs="Arial" w:eastAsia="Arial" w:hAnsi="Arial"/>
          <w:sz w:val="18"/>
          <w:szCs w:val="18"/>
          <w:color w:val="auto"/>
        </w:rPr>
        <w:t>,” declared Marc Cluzel, Executive Vice President, R&amp;D, sanofi-aventis. “</w:t>
      </w:r>
      <w:r>
        <w:rPr>
          <w:rFonts w:ascii="Arial" w:cs="Arial" w:eastAsia="Arial" w:hAnsi="Arial"/>
          <w:sz w:val="18"/>
          <w:szCs w:val="18"/>
          <w:i w:val="1"/>
          <w:iCs w:val="1"/>
          <w:color w:val="auto"/>
        </w:rPr>
        <w:t>It will further fuel our product pipeline and will allow us to bring multiple antibody product candidates into the clinic, thereby significantly increasing the chance of providing patients access to innovative drugs in various therapeutic areas</w:t>
      </w:r>
      <w:r>
        <w:rPr>
          <w:rFonts w:ascii="Arial" w:cs="Arial" w:eastAsia="Arial" w:hAnsi="Arial"/>
          <w:sz w:val="18"/>
          <w:szCs w:val="18"/>
          <w:color w:val="auto"/>
        </w:rPr>
        <w:t>.”</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date, Regeneron and sanofi-aventis have advanced four therapeutic antibodies into clinical development and have filed an IND for a fifth additional antibody. Among the four antibodies in clinical development, three are antibodies to (1) the Interleukin-6 receptor (IL-6R), being developed for the treatment of rheumatoid arthritis, (2) Nerve Growth Factor, being developed for the treatment of pain, and (3) Delta-like Ligand 4 (Dll4), being developed for the treatment of advanced malignancies. The targets of the two other antibodies have not been disclosed.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collaboration</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antibody collaboration entered into in November 2007 was scheduled to expire at year-end 2012. As amended, the collaboration will continue at higher levels of funding through 2017. As under the original terms, sanofi-aventis has the exclusive option to co-develop with Regeneron each antibody drug candidate discovered under the collaboration. Development costs for drug candidates co-developed by the parties will be shared, with sanofi-aventis funding development costs up front and Regeneron reimbursing half of the development costs for all collaboration drug candidates from Regeneron’s share of future profits from commercialization of collaboration products to the extent future profits are sufficient for this purpose. In the United States, profits will be shared equally, while outside the United States, profits will be split on a predetermined sliding scale with sanofi-aventis’ share ranging from 65 percent to 55 percent.</w:t>
      </w:r>
    </w:p>
    <w:p>
      <w:pPr>
        <w:spacing w:after="0" w:line="1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any products successfully developed as part of the collaboration, sanofi-aventis will take the lead in commercialization activities and will consolidate the sales. Regeneron will have the right to co-promote any and all collaboration products worldwide. In addition, Regeneron is entitled to receive up to a total of $250 million of sales milestone payments when collaboration products achieve certain aggregate annual ex-U.S. sales levels, starting at $1 billion.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2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inflammatory diseases, and pain, and has preclinical programs in other diseases and disorders. Additional information about Regeneron and recent news releases are available on Regeneron's web site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w:t>
      </w:r>
    </w:p>
    <w:p>
      <w:pPr>
        <w:spacing w:after="0" w:line="21"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Sanofi-aventis, a leading global pharmaceutical company, discovers, develops and distributes therapeutic solutions to improve the lives of everyone. Sanofi-aventis is listed in Paris (EURONEXT: SAN) and in New York (NYSE: SNY). For more information, visit: www.sanofi-aventis.com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 for Regeneron</w:t>
      </w:r>
    </w:p>
    <w:p>
      <w:pPr>
        <w:spacing w:after="0" w:line="21"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its drug candidates, determinations by regulatory and administrative governmental authorities which may delay or restrict the ability to continue to develop or commercialize its drug candidates, competing drugs that are superior to its product candidates, unanticipated expenses, the availability and cost of capital, the costs of developing, producing, and selling products, the potential for any collaboration agreement, including its agreements with the sanofi-aventis Group and Bayer HealthCare, to be canceled or</w:t>
      </w:r>
    </w:p>
    <w:p>
      <w:pPr>
        <w:sectPr>
          <w:pgSz w:w="11900" w:h="16838" w:orient="portrait"/>
          <w:cols w:equalWidth="0" w:num="1">
            <w:col w:w="11420"/>
          </w:cols>
          <w:pgMar w:left="240" w:top="131" w:right="239" w:bottom="0" w:gutter="0" w:footer="0" w:header="0"/>
        </w:sectPr>
      </w:pPr>
    </w:p>
    <w:bookmarkStart w:id="3" w:name="page4"/>
    <w:bookmarkEnd w:id="3"/>
    <w:p>
      <w:pPr>
        <w:ind w:right="160"/>
        <w:spacing w:after="0" w:line="256" w:lineRule="auto"/>
        <w:rPr>
          <w:sz w:val="20"/>
          <w:szCs w:val="20"/>
          <w:color w:val="auto"/>
        </w:rPr>
      </w:pPr>
      <w:r>
        <w:rPr>
          <w:rFonts w:ascii="Arial" w:cs="Arial" w:eastAsia="Arial" w:hAnsi="Arial"/>
          <w:sz w:val="18"/>
          <w:szCs w:val="18"/>
          <w:i w:val="1"/>
          <w:iCs w:val="1"/>
          <w:color w:val="auto"/>
        </w:rPr>
        <w:t>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10-Q for the quarter ended September 30, 2009. Regeneron does not undertake any obligation to update publicly any forward-looking statement, whether as a result of new information, future events, or otherwise unless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 for sanofi-aventis</w:t>
      </w:r>
    </w:p>
    <w:p>
      <w:pPr>
        <w:spacing w:after="0" w:line="2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i w:val="1"/>
          <w:iCs w:val="1"/>
          <w:color w:val="auto"/>
        </w:rPr>
        <w:t>This press release contains forward-looking statements as defined in the Private Securities Litigation Reform Act of 1995, as amended. Forward-looking statements are statements that are not historical facts. These statements include product development, product potential projections and estimates and their underlying assumptions, statements regarding plans, objectives, intentions and expectations with respect to future events, operations, products and services, and statements regarding future performance. Forward-looking statements are generally identified by the words “expects,” “anticipates,” “believes,” “intends,” “estimates,” “plans” and similar expressions. Although sanofi-aventis’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sanofi-aventis, that could cause actual results and developments to differ materially from those expressed in, or implied or projected by, the forward-looking information and statements. These risks and uncertainties include among other things, the uncertainties inherent in research and development, future clinical data and analysis, including post marketing, decisions by regulatory authorities, such as the FDA or the EMEA, regarding whether and when to approve any drug, device or biological application that may be filed for any such product candidates as well as their decisions regarding labelling and other matters that could affect the availability or commercial potential of such products candidates, the absence of guarantee that the products candidates if approved will be commercially successful, the future approval and commercial success of therapeutic alternatives as well as those discussed or identified in the public filings with the SEC and the AMF made by sanofi-aventis, including those listed under “Risk Factors” and “Cautionary Statement Regarding Forward-Looking Statements” in sanofi-aventis’ annual report on Form 20-F for the year ended December 31, 2008. Other than as required by applicable law, sanofi-aventis does not undertake any obligation to update or revise any forward-looking information or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Pr>
          <w:p>
            <w:pPr>
              <w:spacing w:after="0"/>
              <w:rPr>
                <w:sz w:val="19"/>
                <w:szCs w:val="19"/>
                <w:color w:val="auto"/>
              </w:rPr>
            </w:pPr>
          </w:p>
        </w:tc>
        <w:tc>
          <w:tcPr>
            <w:tcW w:w="756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459"/>
        </w:trPr>
        <w:tc>
          <w:tcPr>
            <w:tcW w:w="388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560" w:type="dxa"/>
            <w:vAlign w:val="bottom"/>
          </w:tcPr>
          <w:p>
            <w:pPr>
              <w:spacing w:after="0"/>
              <w:rPr>
                <w:sz w:val="24"/>
                <w:szCs w:val="24"/>
                <w:color w:val="auto"/>
              </w:rPr>
            </w:pPr>
          </w:p>
        </w:tc>
      </w:tr>
      <w:tr>
        <w:trPr>
          <w:trHeight w:val="486"/>
        </w:trPr>
        <w:tc>
          <w:tcPr>
            <w:tcW w:w="3880" w:type="dxa"/>
            <w:vAlign w:val="bottom"/>
          </w:tcPr>
          <w:p>
            <w:pPr>
              <w:spacing w:after="0"/>
              <w:rPr>
                <w:sz w:val="20"/>
                <w:szCs w:val="20"/>
                <w:color w:val="auto"/>
              </w:rPr>
            </w:pPr>
            <w:r>
              <w:rPr>
                <w:rFonts w:ascii="Arial" w:cs="Arial" w:eastAsia="Arial" w:hAnsi="Arial"/>
                <w:sz w:val="18"/>
                <w:szCs w:val="18"/>
                <w:color w:val="auto"/>
              </w:rPr>
              <w:t>Peter Dworkin</w:t>
            </w:r>
          </w:p>
        </w:tc>
        <w:tc>
          <w:tcPr>
            <w:tcW w:w="7560" w:type="dxa"/>
            <w:vAlign w:val="bottom"/>
          </w:tcPr>
          <w:p>
            <w:pPr>
              <w:ind w:left="1880"/>
              <w:spacing w:after="0"/>
              <w:rPr>
                <w:sz w:val="20"/>
                <w:szCs w:val="20"/>
                <w:color w:val="auto"/>
              </w:rPr>
            </w:pPr>
            <w:r>
              <w:rPr>
                <w:rFonts w:ascii="Arial" w:cs="Arial" w:eastAsia="Arial" w:hAnsi="Arial"/>
                <w:sz w:val="18"/>
                <w:szCs w:val="18"/>
                <w:color w:val="auto"/>
              </w:rPr>
              <w:t>Laura Lindsay</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Investor Relations</w:t>
            </w:r>
          </w:p>
        </w:tc>
        <w:tc>
          <w:tcPr>
            <w:tcW w:w="7560" w:type="dxa"/>
            <w:vAlign w:val="bottom"/>
          </w:tcPr>
          <w:p>
            <w:pPr>
              <w:ind w:left="1880"/>
              <w:spacing w:after="0"/>
              <w:rPr>
                <w:sz w:val="20"/>
                <w:szCs w:val="20"/>
                <w:color w:val="auto"/>
              </w:rPr>
            </w:pPr>
            <w:r>
              <w:rPr>
                <w:rFonts w:ascii="Arial" w:cs="Arial" w:eastAsia="Arial" w:hAnsi="Arial"/>
                <w:sz w:val="18"/>
                <w:szCs w:val="18"/>
                <w:color w:val="auto"/>
              </w:rPr>
              <w:t>Media Relations</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914.345.7640</w:t>
            </w:r>
          </w:p>
        </w:tc>
        <w:tc>
          <w:tcPr>
            <w:tcW w:w="7560" w:type="dxa"/>
            <w:vAlign w:val="bottom"/>
          </w:tcPr>
          <w:p>
            <w:pPr>
              <w:ind w:left="1880"/>
              <w:spacing w:after="0"/>
              <w:rPr>
                <w:sz w:val="20"/>
                <w:szCs w:val="20"/>
                <w:color w:val="auto"/>
              </w:rPr>
            </w:pPr>
            <w:r>
              <w:rPr>
                <w:rFonts w:ascii="Arial" w:cs="Arial" w:eastAsia="Arial" w:hAnsi="Arial"/>
                <w:sz w:val="18"/>
                <w:szCs w:val="18"/>
                <w:color w:val="auto"/>
              </w:rPr>
              <w:t>914.345.7800</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peter.dworkin@regeneron.com</w:t>
            </w:r>
          </w:p>
        </w:tc>
        <w:tc>
          <w:tcPr>
            <w:tcW w:w="7560" w:type="dxa"/>
            <w:vAlign w:val="bottom"/>
          </w:tcPr>
          <w:p>
            <w:pPr>
              <w:ind w:left="1880"/>
              <w:spacing w:after="0"/>
              <w:rPr>
                <w:sz w:val="20"/>
                <w:szCs w:val="20"/>
                <w:color w:val="auto"/>
              </w:rPr>
            </w:pPr>
            <w:r>
              <w:rPr>
                <w:rFonts w:ascii="Arial" w:cs="Arial" w:eastAsia="Arial" w:hAnsi="Arial"/>
                <w:sz w:val="18"/>
                <w:szCs w:val="18"/>
                <w:color w:val="auto"/>
              </w:rPr>
              <w:t>laura.lindsay@regeneron.com</w:t>
            </w:r>
          </w:p>
        </w:tc>
      </w:tr>
      <w:tr>
        <w:trPr>
          <w:trHeight w:val="363"/>
        </w:trPr>
        <w:tc>
          <w:tcPr>
            <w:tcW w:w="3880" w:type="dxa"/>
            <w:vAlign w:val="bottom"/>
            <w:tcBorders>
              <w:bottom w:val="single" w:sz="8" w:color="808080"/>
            </w:tcBorders>
          </w:tcPr>
          <w:p>
            <w:pPr>
              <w:spacing w:after="0"/>
              <w:rPr>
                <w:sz w:val="24"/>
                <w:szCs w:val="24"/>
                <w:color w:val="auto"/>
              </w:rPr>
            </w:pPr>
          </w:p>
        </w:tc>
        <w:tc>
          <w:tcPr>
            <w:tcW w:w="7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2019-12-10T09:42:44Z</dcterms:created>
  <dcterms:modified xsi:type="dcterms:W3CDTF">2019-12-10T09:42:44Z</dcterms:modified>
</cp:coreProperties>
</file>