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Arial" w:cs="Arial" w:eastAsia="Arial" w:hAnsi="Arial"/>
          <w:sz w:val="22"/>
          <w:szCs w:val="22"/>
          <w:b w:val="1"/>
          <w:bCs w:val="1"/>
          <w:color w:val="auto"/>
        </w:rPr>
        <w:t>UNITED STATES</w:t>
      </w:r>
    </w:p>
    <w:p>
      <w:pPr>
        <w:spacing w:after="0" w:line="4" w:lineRule="exact"/>
        <w:rPr>
          <w:sz w:val="24"/>
          <w:szCs w:val="24"/>
          <w:color w:val="auto"/>
        </w:rPr>
      </w:pPr>
    </w:p>
    <w:p>
      <w:pPr>
        <w:jc w:val="center"/>
        <w:spacing w:after="0"/>
        <w:rPr>
          <w:sz w:val="20"/>
          <w:szCs w:val="20"/>
          <w:color w:val="auto"/>
        </w:rPr>
      </w:pPr>
      <w:r>
        <w:rPr>
          <w:rFonts w:ascii="Arial" w:cs="Arial" w:eastAsia="Arial" w:hAnsi="Arial"/>
          <w:sz w:val="22"/>
          <w:szCs w:val="22"/>
          <w:b w:val="1"/>
          <w:bCs w:val="1"/>
          <w:color w:val="auto"/>
        </w:rPr>
        <w:t>SECURITIES AND EXCHANGE COMMISSION</w:t>
      </w:r>
    </w:p>
    <w:p>
      <w:pPr>
        <w:jc w:val="center"/>
        <w:spacing w:after="0"/>
        <w:rPr>
          <w:sz w:val="20"/>
          <w:szCs w:val="20"/>
          <w:color w:val="auto"/>
        </w:rPr>
      </w:pPr>
      <w:r>
        <w:rPr>
          <w:rFonts w:ascii="Arial" w:cs="Arial" w:eastAsia="Arial" w:hAnsi="Arial"/>
          <w:sz w:val="22"/>
          <w:szCs w:val="22"/>
          <w:b w:val="1"/>
          <w:bCs w:val="1"/>
          <w:color w:val="auto"/>
        </w:rPr>
        <w:t>WASHINGTON, D.C. 20549</w:t>
      </w:r>
    </w:p>
    <w:p>
      <w:pPr>
        <w:spacing w:after="0" w:line="209" w:lineRule="exact"/>
        <w:rPr>
          <w:sz w:val="24"/>
          <w:szCs w:val="24"/>
          <w:color w:val="auto"/>
        </w:rPr>
      </w:pPr>
    </w:p>
    <w:p>
      <w:pPr>
        <w:jc w:val="center"/>
        <w:spacing w:after="0"/>
        <w:rPr>
          <w:sz w:val="20"/>
          <w:szCs w:val="20"/>
          <w:color w:val="auto"/>
        </w:rPr>
      </w:pPr>
      <w:r>
        <w:rPr>
          <w:rFonts w:ascii="Arial" w:cs="Arial" w:eastAsia="Arial" w:hAnsi="Arial"/>
          <w:sz w:val="22"/>
          <w:szCs w:val="22"/>
          <w:b w:val="1"/>
          <w:bCs w:val="1"/>
          <w:color w:val="auto"/>
        </w:rPr>
        <w:t>FORM 8-K</w:t>
      </w:r>
    </w:p>
    <w:p>
      <w:pPr>
        <w:spacing w:after="0" w:line="14" w:lineRule="exact"/>
        <w:rPr>
          <w:sz w:val="24"/>
          <w:szCs w:val="24"/>
          <w:color w:val="auto"/>
        </w:rPr>
      </w:pPr>
    </w:p>
    <w:p>
      <w:pPr>
        <w:jc w:val="center"/>
        <w:spacing w:after="0"/>
        <w:rPr>
          <w:sz w:val="20"/>
          <w:szCs w:val="20"/>
          <w:color w:val="auto"/>
        </w:rPr>
      </w:pPr>
      <w:r>
        <w:rPr>
          <w:rFonts w:ascii="Arial" w:cs="Arial" w:eastAsia="Arial" w:hAnsi="Arial"/>
          <w:sz w:val="22"/>
          <w:szCs w:val="22"/>
          <w:b w:val="1"/>
          <w:bCs w:val="1"/>
          <w:color w:val="auto"/>
        </w:rPr>
        <w:t>CURRENT REPORT</w:t>
      </w:r>
    </w:p>
    <w:p>
      <w:pPr>
        <w:spacing w:after="0" w:line="222"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Pursuant to Section 13 or 15(d) of the</w:t>
      </w:r>
    </w:p>
    <w:p>
      <w:pPr>
        <w:spacing w:after="0" w:line="21"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Securities Exchange Act of 1934</w:t>
      </w:r>
    </w:p>
    <w:p>
      <w:pPr>
        <w:spacing w:after="0" w:line="259"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Date of Report (Date of earliest event reported): October 28, 2010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19685</wp:posOffset>
            </wp:positionV>
            <wp:extent cx="7246620" cy="88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00" w:lineRule="exact"/>
        <w:rPr>
          <w:sz w:val="24"/>
          <w:szCs w:val="24"/>
          <w:color w:val="auto"/>
        </w:rPr>
      </w:pPr>
    </w:p>
    <w:p>
      <w:pPr>
        <w:spacing w:after="0" w:line="310"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REGENERON PHARMACEUTICALS, INC.</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1823085</wp:posOffset>
            </wp:positionH>
            <wp:positionV relativeFrom="paragraph">
              <wp:posOffset>23495</wp:posOffset>
            </wp:positionV>
            <wp:extent cx="3618865"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3618865" cy="8890"/>
                    </a:xfrm>
                    <a:prstGeom prst="rect">
                      <a:avLst/>
                    </a:prstGeom>
                    <a:noFill/>
                  </pic:spPr>
                </pic:pic>
              </a:graphicData>
            </a:graphic>
          </wp:anchor>
        </w:drawing>
      </w:r>
    </w:p>
    <w:p>
      <w:pPr>
        <w:spacing w:after="0" w:line="36"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(Exact Name of Registrant as Specified in Charter)</w:t>
      </w:r>
    </w:p>
    <w:p>
      <w:pPr>
        <w:spacing w:after="0" w:line="273" w:lineRule="exact"/>
        <w:rPr>
          <w:sz w:val="24"/>
          <w:szCs w:val="24"/>
          <w:color w:val="auto"/>
        </w:rPr>
      </w:pPr>
    </w:p>
    <w:tbl>
      <w:tblPr>
        <w:tblLayout w:type="fixed"/>
        <w:tblInd w:w="0" w:type="dxa"/>
        <w:tblCellMar>
          <w:top w:w="0" w:type="dxa"/>
          <w:left w:w="0" w:type="dxa"/>
          <w:bottom w:w="0" w:type="dxa"/>
          <w:right w:w="0" w:type="dxa"/>
        </w:tblCellMar>
      </w:tblPr>
      <w:tr>
        <w:trPr>
          <w:trHeight w:val="237"/>
        </w:trPr>
        <w:tc>
          <w:tcPr>
            <w:tcW w:w="2880" w:type="dxa"/>
            <w:vAlign w:val="bottom"/>
            <w:tcBorders>
              <w:bottom w:val="single" w:sz="8" w:color="auto"/>
            </w:tcBorders>
            <w:gridSpan w:val="2"/>
          </w:tcPr>
          <w:p>
            <w:pPr>
              <w:jc w:val="center"/>
              <w:ind w:left="692"/>
              <w:spacing w:after="0"/>
              <w:rPr>
                <w:sz w:val="20"/>
                <w:szCs w:val="20"/>
                <w:color w:val="auto"/>
              </w:rPr>
            </w:pPr>
            <w:r>
              <w:rPr>
                <w:rFonts w:ascii="Arial" w:cs="Arial" w:eastAsia="Arial" w:hAnsi="Arial"/>
                <w:sz w:val="18"/>
                <w:szCs w:val="18"/>
                <w:b w:val="1"/>
                <w:bCs w:val="1"/>
                <w:color w:val="auto"/>
                <w:w w:val="90"/>
              </w:rPr>
              <w:t>New York</w:t>
            </w:r>
          </w:p>
        </w:tc>
        <w:tc>
          <w:tcPr>
            <w:tcW w:w="780" w:type="dxa"/>
            <w:vAlign w:val="bottom"/>
            <w:tcBorders>
              <w:bottom w:val="single" w:sz="8" w:color="auto"/>
            </w:tcBorders>
          </w:tcPr>
          <w:p>
            <w:pPr>
              <w:spacing w:after="0"/>
              <w:rPr>
                <w:sz w:val="20"/>
                <w:szCs w:val="20"/>
                <w:color w:val="auto"/>
              </w:rPr>
            </w:pPr>
          </w:p>
        </w:tc>
        <w:tc>
          <w:tcPr>
            <w:tcW w:w="260" w:type="dxa"/>
            <w:vAlign w:val="bottom"/>
          </w:tcPr>
          <w:p>
            <w:pPr>
              <w:spacing w:after="0"/>
              <w:rPr>
                <w:sz w:val="20"/>
                <w:szCs w:val="20"/>
                <w:color w:val="auto"/>
              </w:rPr>
            </w:pPr>
          </w:p>
        </w:tc>
        <w:tc>
          <w:tcPr>
            <w:tcW w:w="354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w w:val="88"/>
              </w:rPr>
              <w:t>000-19034</w:t>
            </w:r>
          </w:p>
        </w:tc>
        <w:tc>
          <w:tcPr>
            <w:tcW w:w="280" w:type="dxa"/>
            <w:vAlign w:val="bottom"/>
          </w:tcPr>
          <w:p>
            <w:pPr>
              <w:spacing w:after="0"/>
              <w:rPr>
                <w:sz w:val="20"/>
                <w:szCs w:val="20"/>
                <w:color w:val="auto"/>
              </w:rPr>
            </w:pPr>
          </w:p>
        </w:tc>
        <w:tc>
          <w:tcPr>
            <w:tcW w:w="500" w:type="dxa"/>
            <w:vAlign w:val="bottom"/>
            <w:tcBorders>
              <w:bottom w:val="single" w:sz="8" w:color="auto"/>
            </w:tcBorders>
          </w:tcPr>
          <w:p>
            <w:pPr>
              <w:spacing w:after="0"/>
              <w:rPr>
                <w:sz w:val="20"/>
                <w:szCs w:val="20"/>
                <w:color w:val="auto"/>
              </w:rPr>
            </w:pPr>
          </w:p>
        </w:tc>
        <w:tc>
          <w:tcPr>
            <w:tcW w:w="3180" w:type="dxa"/>
            <w:vAlign w:val="bottom"/>
            <w:tcBorders>
              <w:bottom w:val="single" w:sz="8" w:color="auto"/>
            </w:tcBorders>
            <w:gridSpan w:val="3"/>
          </w:tcPr>
          <w:p>
            <w:pPr>
              <w:jc w:val="right"/>
              <w:ind w:right="1420"/>
              <w:spacing w:after="0"/>
              <w:rPr>
                <w:sz w:val="20"/>
                <w:szCs w:val="20"/>
                <w:color w:val="auto"/>
              </w:rPr>
            </w:pPr>
            <w:r>
              <w:rPr>
                <w:rFonts w:ascii="Arial" w:cs="Arial" w:eastAsia="Arial" w:hAnsi="Arial"/>
                <w:sz w:val="18"/>
                <w:szCs w:val="18"/>
                <w:b w:val="1"/>
                <w:bCs w:val="1"/>
                <w:color w:val="auto"/>
              </w:rPr>
              <w:t>13-3444607</w:t>
            </w:r>
          </w:p>
        </w:tc>
      </w:tr>
      <w:tr>
        <w:trPr>
          <w:trHeight w:val="228"/>
        </w:trPr>
        <w:tc>
          <w:tcPr>
            <w:tcW w:w="2880" w:type="dxa"/>
            <w:vAlign w:val="bottom"/>
            <w:gridSpan w:val="2"/>
          </w:tcPr>
          <w:p>
            <w:pPr>
              <w:jc w:val="center"/>
              <w:ind w:left="712"/>
              <w:spacing w:after="0"/>
              <w:rPr>
                <w:sz w:val="20"/>
                <w:szCs w:val="20"/>
                <w:color w:val="auto"/>
              </w:rPr>
            </w:pPr>
            <w:r>
              <w:rPr>
                <w:rFonts w:ascii="Arial" w:cs="Arial" w:eastAsia="Arial" w:hAnsi="Arial"/>
                <w:sz w:val="18"/>
                <w:szCs w:val="18"/>
                <w:color w:val="auto"/>
                <w:w w:val="90"/>
              </w:rPr>
              <w:t>(State or other jurisdiction of</w:t>
            </w:r>
          </w:p>
        </w:tc>
        <w:tc>
          <w:tcPr>
            <w:tcW w:w="78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4320" w:type="dxa"/>
            <w:vAlign w:val="bottom"/>
            <w:gridSpan w:val="3"/>
          </w:tcPr>
          <w:p>
            <w:pPr>
              <w:jc w:val="center"/>
              <w:ind w:right="780"/>
              <w:spacing w:after="0"/>
              <w:rPr>
                <w:sz w:val="20"/>
                <w:szCs w:val="20"/>
                <w:color w:val="auto"/>
              </w:rPr>
            </w:pPr>
            <w:r>
              <w:rPr>
                <w:rFonts w:ascii="Arial" w:cs="Arial" w:eastAsia="Arial" w:hAnsi="Arial"/>
                <w:sz w:val="18"/>
                <w:szCs w:val="18"/>
                <w:color w:val="auto"/>
                <w:w w:val="90"/>
              </w:rPr>
              <w:t>(Commission File No.)</w:t>
            </w:r>
          </w:p>
        </w:tc>
        <w:tc>
          <w:tcPr>
            <w:tcW w:w="3180" w:type="dxa"/>
            <w:vAlign w:val="bottom"/>
            <w:gridSpan w:val="3"/>
          </w:tcPr>
          <w:p>
            <w:pPr>
              <w:jc w:val="center"/>
              <w:ind w:right="520"/>
              <w:spacing w:after="0"/>
              <w:rPr>
                <w:sz w:val="20"/>
                <w:szCs w:val="20"/>
                <w:color w:val="auto"/>
              </w:rPr>
            </w:pPr>
            <w:r>
              <w:rPr>
                <w:rFonts w:ascii="Arial" w:cs="Arial" w:eastAsia="Arial" w:hAnsi="Arial"/>
                <w:sz w:val="18"/>
                <w:szCs w:val="18"/>
                <w:color w:val="auto"/>
                <w:w w:val="92"/>
              </w:rPr>
              <w:t>(IRS Employer Identification No.)</w:t>
            </w:r>
          </w:p>
        </w:tc>
      </w:tr>
      <w:tr>
        <w:trPr>
          <w:trHeight w:val="243"/>
        </w:trPr>
        <w:tc>
          <w:tcPr>
            <w:tcW w:w="2880" w:type="dxa"/>
            <w:vAlign w:val="bottom"/>
            <w:gridSpan w:val="2"/>
          </w:tcPr>
          <w:p>
            <w:pPr>
              <w:jc w:val="center"/>
              <w:ind w:left="692"/>
              <w:spacing w:after="0"/>
              <w:rPr>
                <w:sz w:val="20"/>
                <w:szCs w:val="20"/>
                <w:color w:val="auto"/>
              </w:rPr>
            </w:pPr>
            <w:r>
              <w:rPr>
                <w:rFonts w:ascii="Arial" w:cs="Arial" w:eastAsia="Arial" w:hAnsi="Arial"/>
                <w:sz w:val="18"/>
                <w:szCs w:val="18"/>
                <w:color w:val="auto"/>
                <w:w w:val="91"/>
              </w:rPr>
              <w:t>Incorporation)</w:t>
            </w:r>
          </w:p>
        </w:tc>
        <w:tc>
          <w:tcPr>
            <w:tcW w:w="78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354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5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560" w:type="dxa"/>
            <w:vAlign w:val="bottom"/>
          </w:tcPr>
          <w:p>
            <w:pPr>
              <w:spacing w:after="0"/>
              <w:rPr>
                <w:sz w:val="21"/>
                <w:szCs w:val="21"/>
                <w:color w:val="auto"/>
              </w:rPr>
            </w:pPr>
          </w:p>
        </w:tc>
        <w:tc>
          <w:tcPr>
            <w:tcW w:w="2280" w:type="dxa"/>
            <w:vAlign w:val="bottom"/>
          </w:tcPr>
          <w:p>
            <w:pPr>
              <w:spacing w:after="0"/>
              <w:rPr>
                <w:sz w:val="21"/>
                <w:szCs w:val="21"/>
                <w:color w:val="auto"/>
              </w:rPr>
            </w:pPr>
          </w:p>
        </w:tc>
      </w:tr>
      <w:tr>
        <w:trPr>
          <w:trHeight w:val="495"/>
        </w:trPr>
        <w:tc>
          <w:tcPr>
            <w:tcW w:w="2300" w:type="dxa"/>
            <w:vAlign w:val="bottom"/>
          </w:tcPr>
          <w:p>
            <w:pPr>
              <w:spacing w:after="0"/>
              <w:rPr>
                <w:sz w:val="24"/>
                <w:szCs w:val="24"/>
                <w:color w:val="auto"/>
              </w:rPr>
            </w:pPr>
          </w:p>
        </w:tc>
        <w:tc>
          <w:tcPr>
            <w:tcW w:w="580" w:type="dxa"/>
            <w:vAlign w:val="bottom"/>
            <w:tcBorders>
              <w:bottom w:val="single" w:sz="8" w:color="auto"/>
            </w:tcBorders>
          </w:tcPr>
          <w:p>
            <w:pPr>
              <w:spacing w:after="0"/>
              <w:rPr>
                <w:sz w:val="24"/>
                <w:szCs w:val="24"/>
                <w:color w:val="auto"/>
              </w:rPr>
            </w:pPr>
          </w:p>
        </w:tc>
        <w:tc>
          <w:tcPr>
            <w:tcW w:w="5360" w:type="dxa"/>
            <w:vAlign w:val="bottom"/>
            <w:tcBorders>
              <w:bottom w:val="single" w:sz="8" w:color="auto"/>
            </w:tcBorders>
            <w:gridSpan w:val="5"/>
          </w:tcPr>
          <w:p>
            <w:pPr>
              <w:jc w:val="center"/>
              <w:ind w:left="212"/>
              <w:spacing w:after="0"/>
              <w:rPr>
                <w:sz w:val="20"/>
                <w:szCs w:val="20"/>
                <w:color w:val="auto"/>
              </w:rPr>
            </w:pPr>
            <w:r>
              <w:rPr>
                <w:rFonts w:ascii="Arial" w:cs="Arial" w:eastAsia="Arial" w:hAnsi="Arial"/>
                <w:sz w:val="18"/>
                <w:szCs w:val="18"/>
                <w:b w:val="1"/>
                <w:bCs w:val="1"/>
                <w:color w:val="auto"/>
                <w:w w:val="90"/>
              </w:rPr>
              <w:t>777 Old Saw Mill River Road, Tarrytown, New York 10591-6707</w:t>
            </w:r>
          </w:p>
        </w:tc>
        <w:tc>
          <w:tcPr>
            <w:tcW w:w="340" w:type="dxa"/>
            <w:vAlign w:val="bottom"/>
            <w:tcBorders>
              <w:bottom w:val="single" w:sz="8" w:color="auto"/>
            </w:tcBorders>
          </w:tcPr>
          <w:p>
            <w:pPr>
              <w:spacing w:after="0"/>
              <w:rPr>
                <w:sz w:val="24"/>
                <w:szCs w:val="24"/>
                <w:color w:val="auto"/>
              </w:rPr>
            </w:pPr>
          </w:p>
        </w:tc>
        <w:tc>
          <w:tcPr>
            <w:tcW w:w="560" w:type="dxa"/>
            <w:vAlign w:val="bottom"/>
            <w:tcBorders>
              <w:bottom w:val="single" w:sz="8" w:color="auto"/>
            </w:tcBorders>
          </w:tcPr>
          <w:p>
            <w:pPr>
              <w:spacing w:after="0"/>
              <w:rPr>
                <w:sz w:val="24"/>
                <w:szCs w:val="24"/>
                <w:color w:val="auto"/>
              </w:rPr>
            </w:pPr>
          </w:p>
        </w:tc>
        <w:tc>
          <w:tcPr>
            <w:tcW w:w="2280" w:type="dxa"/>
            <w:vAlign w:val="bottom"/>
          </w:tcPr>
          <w:p>
            <w:pPr>
              <w:spacing w:after="0"/>
              <w:rPr>
                <w:sz w:val="24"/>
                <w:szCs w:val="24"/>
                <w:color w:val="auto"/>
              </w:rPr>
            </w:pPr>
          </w:p>
        </w:tc>
      </w:tr>
      <w:tr>
        <w:trPr>
          <w:trHeight w:val="228"/>
        </w:trPr>
        <w:tc>
          <w:tcPr>
            <w:tcW w:w="230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5360" w:type="dxa"/>
            <w:vAlign w:val="bottom"/>
            <w:gridSpan w:val="5"/>
          </w:tcPr>
          <w:p>
            <w:pPr>
              <w:jc w:val="center"/>
              <w:ind w:left="212"/>
              <w:spacing w:after="0"/>
              <w:rPr>
                <w:sz w:val="20"/>
                <w:szCs w:val="20"/>
                <w:color w:val="auto"/>
              </w:rPr>
            </w:pPr>
            <w:r>
              <w:rPr>
                <w:rFonts w:ascii="Arial" w:cs="Arial" w:eastAsia="Arial" w:hAnsi="Arial"/>
                <w:sz w:val="18"/>
                <w:szCs w:val="18"/>
                <w:color w:val="auto"/>
                <w:w w:val="90"/>
              </w:rPr>
              <w:t>(Address of principal executive offices, including zip code)</w:t>
            </w:r>
          </w:p>
        </w:tc>
        <w:tc>
          <w:tcPr>
            <w:tcW w:w="34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2280" w:type="dxa"/>
            <w:vAlign w:val="bottom"/>
          </w:tcPr>
          <w:p>
            <w:pPr>
              <w:spacing w:after="0"/>
              <w:rPr>
                <w:sz w:val="19"/>
                <w:szCs w:val="19"/>
                <w:color w:val="auto"/>
              </w:rPr>
            </w:pPr>
          </w:p>
        </w:tc>
      </w:tr>
      <w:tr>
        <w:trPr>
          <w:trHeight w:val="495"/>
        </w:trPr>
        <w:tc>
          <w:tcPr>
            <w:tcW w:w="230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4580" w:type="dxa"/>
            <w:vAlign w:val="bottom"/>
            <w:tcBorders>
              <w:bottom w:val="single" w:sz="8" w:color="auto"/>
            </w:tcBorders>
            <w:gridSpan w:val="3"/>
          </w:tcPr>
          <w:p>
            <w:pPr>
              <w:jc w:val="center"/>
              <w:ind w:left="992"/>
              <w:spacing w:after="0"/>
              <w:rPr>
                <w:sz w:val="20"/>
                <w:szCs w:val="20"/>
                <w:color w:val="auto"/>
              </w:rPr>
            </w:pPr>
            <w:r>
              <w:rPr>
                <w:rFonts w:ascii="Arial" w:cs="Arial" w:eastAsia="Arial" w:hAnsi="Arial"/>
                <w:sz w:val="18"/>
                <w:szCs w:val="18"/>
                <w:b w:val="1"/>
                <w:bCs w:val="1"/>
                <w:color w:val="auto"/>
                <w:w w:val="89"/>
              </w:rPr>
              <w:t>(914) 347-7000</w:t>
            </w:r>
          </w:p>
        </w:tc>
        <w:tc>
          <w:tcPr>
            <w:tcW w:w="280" w:type="dxa"/>
            <w:vAlign w:val="bottom"/>
            <w:tcBorders>
              <w:bottom w:val="single" w:sz="8" w:color="auto"/>
            </w:tcBorders>
          </w:tcPr>
          <w:p>
            <w:pPr>
              <w:spacing w:after="0"/>
              <w:rPr>
                <w:sz w:val="24"/>
                <w:szCs w:val="24"/>
                <w:color w:val="auto"/>
              </w:rPr>
            </w:pPr>
          </w:p>
        </w:tc>
        <w:tc>
          <w:tcPr>
            <w:tcW w:w="500" w:type="dxa"/>
            <w:vAlign w:val="bottom"/>
            <w:tcBorders>
              <w:bottom w:val="single" w:sz="8" w:color="auto"/>
            </w:tcBorders>
          </w:tcPr>
          <w:p>
            <w:pPr>
              <w:spacing w:after="0"/>
              <w:rPr>
                <w:sz w:val="24"/>
                <w:szCs w:val="24"/>
                <w:color w:val="auto"/>
              </w:rPr>
            </w:pPr>
          </w:p>
        </w:tc>
        <w:tc>
          <w:tcPr>
            <w:tcW w:w="340" w:type="dxa"/>
            <w:vAlign w:val="bottom"/>
            <w:tcBorders>
              <w:bottom w:val="single" w:sz="8" w:color="auto"/>
            </w:tcBorders>
          </w:tcPr>
          <w:p>
            <w:pPr>
              <w:spacing w:after="0"/>
              <w:rPr>
                <w:sz w:val="24"/>
                <w:szCs w:val="24"/>
                <w:color w:val="auto"/>
              </w:rPr>
            </w:pPr>
          </w:p>
        </w:tc>
        <w:tc>
          <w:tcPr>
            <w:tcW w:w="560" w:type="dxa"/>
            <w:vAlign w:val="bottom"/>
          </w:tcPr>
          <w:p>
            <w:pPr>
              <w:spacing w:after="0"/>
              <w:rPr>
                <w:sz w:val="24"/>
                <w:szCs w:val="24"/>
                <w:color w:val="auto"/>
              </w:rPr>
            </w:pPr>
          </w:p>
        </w:tc>
        <w:tc>
          <w:tcPr>
            <w:tcW w:w="2280" w:type="dxa"/>
            <w:vAlign w:val="bottom"/>
          </w:tcPr>
          <w:p>
            <w:pPr>
              <w:spacing w:after="0"/>
              <w:rPr>
                <w:sz w:val="24"/>
                <w:szCs w:val="24"/>
                <w:color w:val="auto"/>
              </w:rPr>
            </w:pPr>
          </w:p>
        </w:tc>
      </w:tr>
      <w:tr>
        <w:trPr>
          <w:trHeight w:val="228"/>
        </w:trPr>
        <w:tc>
          <w:tcPr>
            <w:tcW w:w="230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4580" w:type="dxa"/>
            <w:vAlign w:val="bottom"/>
            <w:gridSpan w:val="4"/>
          </w:tcPr>
          <w:p>
            <w:pPr>
              <w:jc w:val="center"/>
              <w:ind w:right="480"/>
              <w:spacing w:after="0"/>
              <w:rPr>
                <w:sz w:val="20"/>
                <w:szCs w:val="20"/>
                <w:color w:val="auto"/>
              </w:rPr>
            </w:pPr>
            <w:r>
              <w:rPr>
                <w:rFonts w:ascii="Arial" w:cs="Arial" w:eastAsia="Arial" w:hAnsi="Arial"/>
                <w:sz w:val="18"/>
                <w:szCs w:val="18"/>
                <w:color w:val="auto"/>
                <w:w w:val="87"/>
              </w:rPr>
              <w:t>(Registrant's telephone number, including area code)</w:t>
            </w:r>
          </w:p>
        </w:tc>
        <w:tc>
          <w:tcPr>
            <w:tcW w:w="34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2280" w:type="dxa"/>
            <w:vAlign w:val="bottom"/>
          </w:tcPr>
          <w:p>
            <w:pPr>
              <w:spacing w:after="0"/>
              <w:rPr>
                <w:sz w:val="19"/>
                <w:szCs w:val="19"/>
                <w:color w:val="auto"/>
              </w:rPr>
            </w:pPr>
          </w:p>
        </w:tc>
      </w:tr>
    </w:tbl>
    <w:p>
      <w:pPr>
        <w:spacing w:after="0" w:line="250" w:lineRule="exact"/>
        <w:rPr>
          <w:sz w:val="24"/>
          <w:szCs w:val="24"/>
          <w:color w:val="auto"/>
        </w:rPr>
      </w:pPr>
    </w:p>
    <w:p>
      <w:pPr>
        <w:jc w:val="both"/>
        <w:ind w:left="280"/>
        <w:spacing w:after="0" w:line="268" w:lineRule="auto"/>
        <w:rPr>
          <w:sz w:val="20"/>
          <w:szCs w:val="20"/>
          <w:color w:val="auto"/>
        </w:rPr>
      </w:pPr>
      <w:r>
        <w:rPr>
          <w:rFonts w:ascii="Arial" w:cs="Arial" w:eastAsia="Arial" w:hAnsi="Arial"/>
          <w:sz w:val="18"/>
          <w:szCs w:val="18"/>
          <w:color w:val="auto"/>
        </w:rPr>
        <w:t>Check the appropriate box below if the Form 8-K filing is intended to simultaneously satisfy the filing obligation of the registrant under any of the following provisions:</w:t>
      </w:r>
    </w:p>
    <w:p>
      <w:pPr>
        <w:spacing w:after="0" w:line="213" w:lineRule="exact"/>
        <w:rPr>
          <w:sz w:val="24"/>
          <w:szCs w:val="24"/>
          <w:color w:val="auto"/>
        </w:rPr>
      </w:pPr>
    </w:p>
    <w:p>
      <w:pPr>
        <w:ind w:left="640" w:hanging="362"/>
        <w:spacing w:after="0"/>
        <w:tabs>
          <w:tab w:leader="none" w:pos="640" w:val="left"/>
        </w:tabs>
        <w:numPr>
          <w:ilvl w:val="0"/>
          <w:numId w:val="1"/>
        </w:numPr>
        <w:rPr>
          <w:rFonts w:ascii="Arial" w:cs="Arial" w:eastAsia="Arial" w:hAnsi="Arial"/>
          <w:sz w:val="14"/>
          <w:szCs w:val="14"/>
          <w:color w:val="auto"/>
        </w:rPr>
      </w:pPr>
      <w:r>
        <w:rPr>
          <w:rFonts w:ascii="Arial" w:cs="Arial" w:eastAsia="Arial" w:hAnsi="Arial"/>
          <w:sz w:val="18"/>
          <w:szCs w:val="18"/>
          <w:color w:val="auto"/>
        </w:rPr>
        <w:t>Written communications pursuant to Rule 425 under the Securities Act (17 CFR 230.425)</w:t>
      </w:r>
    </w:p>
    <w:p>
      <w:pPr>
        <w:spacing w:after="0" w:line="225" w:lineRule="exact"/>
        <w:rPr>
          <w:rFonts w:ascii="Arial" w:cs="Arial" w:eastAsia="Arial" w:hAnsi="Arial"/>
          <w:sz w:val="14"/>
          <w:szCs w:val="14"/>
          <w:color w:val="auto"/>
        </w:rPr>
      </w:pPr>
    </w:p>
    <w:p>
      <w:pPr>
        <w:ind w:left="640" w:hanging="362"/>
        <w:spacing w:after="0"/>
        <w:tabs>
          <w:tab w:leader="none" w:pos="640" w:val="left"/>
        </w:tabs>
        <w:numPr>
          <w:ilvl w:val="0"/>
          <w:numId w:val="1"/>
        </w:numPr>
        <w:rPr>
          <w:rFonts w:ascii="Arial" w:cs="Arial" w:eastAsia="Arial" w:hAnsi="Arial"/>
          <w:sz w:val="14"/>
          <w:szCs w:val="14"/>
          <w:color w:val="auto"/>
        </w:rPr>
      </w:pPr>
      <w:r>
        <w:rPr>
          <w:rFonts w:ascii="Arial" w:cs="Arial" w:eastAsia="Arial" w:hAnsi="Arial"/>
          <w:sz w:val="18"/>
          <w:szCs w:val="18"/>
          <w:color w:val="auto"/>
        </w:rPr>
        <w:t>Soliciting material pursuant to Rule 14a-12 under the Exchange Act (17 CFR 240.14a-12)</w:t>
      </w:r>
    </w:p>
    <w:p>
      <w:pPr>
        <w:spacing w:after="0" w:line="225" w:lineRule="exact"/>
        <w:rPr>
          <w:rFonts w:ascii="Arial" w:cs="Arial" w:eastAsia="Arial" w:hAnsi="Arial"/>
          <w:sz w:val="14"/>
          <w:szCs w:val="14"/>
          <w:color w:val="auto"/>
        </w:rPr>
      </w:pPr>
    </w:p>
    <w:p>
      <w:pPr>
        <w:ind w:left="640" w:hanging="362"/>
        <w:spacing w:after="0"/>
        <w:tabs>
          <w:tab w:leader="none" w:pos="640" w:val="left"/>
        </w:tabs>
        <w:numPr>
          <w:ilvl w:val="0"/>
          <w:numId w:val="1"/>
        </w:numPr>
        <w:rPr>
          <w:rFonts w:ascii="Arial" w:cs="Arial" w:eastAsia="Arial" w:hAnsi="Arial"/>
          <w:sz w:val="14"/>
          <w:szCs w:val="14"/>
          <w:color w:val="auto"/>
        </w:rPr>
      </w:pPr>
      <w:r>
        <w:rPr>
          <w:rFonts w:ascii="Arial" w:cs="Arial" w:eastAsia="Arial" w:hAnsi="Arial"/>
          <w:sz w:val="18"/>
          <w:szCs w:val="18"/>
          <w:color w:val="auto"/>
        </w:rPr>
        <w:t>Pre-commencement communications pursuant to Rule 14d-2(b) under the Exchange Act (17 CFR 240.14d-2(b))</w:t>
      </w:r>
    </w:p>
    <w:p>
      <w:pPr>
        <w:spacing w:after="0" w:line="225" w:lineRule="exact"/>
        <w:rPr>
          <w:rFonts w:ascii="Arial" w:cs="Arial" w:eastAsia="Arial" w:hAnsi="Arial"/>
          <w:sz w:val="14"/>
          <w:szCs w:val="14"/>
          <w:color w:val="auto"/>
        </w:rPr>
      </w:pPr>
    </w:p>
    <w:p>
      <w:pPr>
        <w:ind w:left="640" w:hanging="362"/>
        <w:spacing w:after="0"/>
        <w:tabs>
          <w:tab w:leader="none" w:pos="640" w:val="left"/>
        </w:tabs>
        <w:numPr>
          <w:ilvl w:val="0"/>
          <w:numId w:val="1"/>
        </w:numPr>
        <w:rPr>
          <w:rFonts w:ascii="Arial" w:cs="Arial" w:eastAsia="Arial" w:hAnsi="Arial"/>
          <w:sz w:val="14"/>
          <w:szCs w:val="14"/>
          <w:color w:val="auto"/>
        </w:rPr>
      </w:pPr>
      <w:r>
        <w:rPr>
          <w:rFonts w:ascii="Arial" w:cs="Arial" w:eastAsia="Arial" w:hAnsi="Arial"/>
          <w:sz w:val="18"/>
          <w:szCs w:val="18"/>
          <w:color w:val="auto"/>
        </w:rPr>
        <w:t>Pre-commencement communications pursuant to Rule 13e-4(c) under the Exchange Act (17 CFR 240.13e-4(c))</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3175</wp:posOffset>
            </wp:positionH>
            <wp:positionV relativeFrom="paragraph">
              <wp:posOffset>231775</wp:posOffset>
            </wp:positionV>
            <wp:extent cx="7267575" cy="215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267575" cy="21590"/>
                    </a:xfrm>
                    <a:prstGeom prst="rect">
                      <a:avLst/>
                    </a:prstGeom>
                    <a:noFill/>
                  </pic:spPr>
                </pic:pic>
              </a:graphicData>
            </a:graphic>
          </wp:anchor>
        </w:drawing>
      </w:r>
    </w:p>
    <w:p>
      <w:pPr>
        <w:sectPr>
          <w:pgSz w:w="11900" w:h="16838" w:orient="portrait"/>
          <w:cols w:equalWidth="0" w:num="1">
            <w:col w:w="11420"/>
          </w:cols>
          <w:pgMar w:left="240" w:top="463" w:right="239" w:bottom="1440" w:gutter="0" w:footer="0" w:header="0"/>
        </w:sectPr>
      </w:pPr>
    </w:p>
    <w:bookmarkStart w:id="1" w:name="page2"/>
    <w:bookmarkEnd w:id="1"/>
    <w:p>
      <w:pPr>
        <w:spacing w:after="0"/>
        <w:rPr>
          <w:sz w:val="20"/>
          <w:szCs w:val="20"/>
          <w:color w:val="auto"/>
        </w:rPr>
      </w:pPr>
      <w:r>
        <w:rPr>
          <w:rFonts w:ascii="Arial" w:cs="Arial" w:eastAsia="Arial" w:hAnsi="Arial"/>
          <w:sz w:val="18"/>
          <w:szCs w:val="18"/>
          <w:b w:val="1"/>
          <w:bCs w:val="1"/>
          <w:u w:val="single" w:color="auto"/>
          <w:color w:val="auto"/>
        </w:rPr>
        <w:t>Item 2.02</w:t>
      </w:r>
      <w:r>
        <w:rPr>
          <w:rFonts w:ascii="Arial" w:cs="Arial" w:eastAsia="Arial" w:hAnsi="Arial"/>
          <w:sz w:val="18"/>
          <w:szCs w:val="18"/>
          <w:b w:val="1"/>
          <w:bCs w:val="1"/>
          <w:color w:val="auto"/>
        </w:rPr>
        <w:t xml:space="preserve"> Results of Operations and Financial Condition.</w:t>
      </w:r>
    </w:p>
    <w:p>
      <w:pPr>
        <w:spacing w:after="0" w:line="285" w:lineRule="exact"/>
        <w:rPr>
          <w:sz w:val="20"/>
          <w:szCs w:val="20"/>
          <w:color w:val="auto"/>
        </w:rPr>
      </w:pPr>
    </w:p>
    <w:p>
      <w:pPr>
        <w:jc w:val="both"/>
        <w:ind w:firstLine="270"/>
        <w:spacing w:after="0" w:line="259" w:lineRule="auto"/>
        <w:rPr>
          <w:sz w:val="20"/>
          <w:szCs w:val="20"/>
          <w:color w:val="auto"/>
        </w:rPr>
      </w:pPr>
      <w:r>
        <w:rPr>
          <w:rFonts w:ascii="Arial" w:cs="Arial" w:eastAsia="Arial" w:hAnsi="Arial"/>
          <w:sz w:val="18"/>
          <w:szCs w:val="18"/>
          <w:color w:val="auto"/>
        </w:rPr>
        <w:t>On October 28, 2010, Regeneron Pharmaceuticals, Inc. issued a press release announcing its financial and operating results for the quarter ended September 30, 2010. The press release is being furnished to the Securities and Exchange Commission pursuant to Item 2.02 of Form 8-K and is attached as Exhibit 99.1 to this Form 8-K.</w:t>
      </w:r>
    </w:p>
    <w:p>
      <w:pPr>
        <w:spacing w:after="0" w:line="215"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Item 9.01</w:t>
      </w:r>
      <w:r>
        <w:rPr>
          <w:rFonts w:ascii="Arial" w:cs="Arial" w:eastAsia="Arial" w:hAnsi="Arial"/>
          <w:sz w:val="18"/>
          <w:szCs w:val="18"/>
          <w:b w:val="1"/>
          <w:bCs w:val="1"/>
          <w:color w:val="auto"/>
        </w:rPr>
        <w:t xml:space="preserve"> Financial Statements and Exhibits.</w:t>
      </w:r>
    </w:p>
    <w:p>
      <w:pPr>
        <w:spacing w:after="0" w:line="258" w:lineRule="exact"/>
        <w:rPr>
          <w:sz w:val="20"/>
          <w:szCs w:val="20"/>
          <w:color w:val="auto"/>
        </w:rPr>
      </w:pPr>
    </w:p>
    <w:p>
      <w:pPr>
        <w:spacing w:after="0"/>
        <w:rPr>
          <w:sz w:val="20"/>
          <w:szCs w:val="20"/>
          <w:color w:val="auto"/>
        </w:rPr>
      </w:pPr>
      <w:r>
        <w:rPr>
          <w:rFonts w:ascii="Arial" w:cs="Arial" w:eastAsia="Arial" w:hAnsi="Arial"/>
          <w:sz w:val="18"/>
          <w:szCs w:val="18"/>
          <w:color w:val="auto"/>
        </w:rPr>
        <w:t>(d) Exhibits</w:t>
      </w:r>
    </w:p>
    <w:p>
      <w:pPr>
        <w:spacing w:after="0" w:line="252" w:lineRule="exact"/>
        <w:rPr>
          <w:sz w:val="20"/>
          <w:szCs w:val="20"/>
          <w:color w:val="auto"/>
        </w:rPr>
      </w:pPr>
    </w:p>
    <w:p>
      <w:pPr>
        <w:spacing w:after="0"/>
        <w:tabs>
          <w:tab w:leader="none" w:pos="560" w:val="left"/>
        </w:tabs>
        <w:rPr>
          <w:sz w:val="20"/>
          <w:szCs w:val="20"/>
          <w:color w:val="auto"/>
        </w:rPr>
      </w:pPr>
      <w:r>
        <w:rPr>
          <w:rFonts w:ascii="Arial" w:cs="Arial" w:eastAsia="Arial" w:hAnsi="Arial"/>
          <w:sz w:val="18"/>
          <w:szCs w:val="18"/>
          <w:color w:val="auto"/>
        </w:rPr>
        <w:t>99.1</w:t>
      </w:r>
      <w:r>
        <w:rPr>
          <w:sz w:val="20"/>
          <w:szCs w:val="20"/>
          <w:color w:val="auto"/>
        </w:rPr>
        <w:tab/>
      </w:r>
      <w:r>
        <w:rPr>
          <w:rFonts w:ascii="Arial" w:cs="Arial" w:eastAsia="Arial" w:hAnsi="Arial"/>
          <w:sz w:val="15"/>
          <w:szCs w:val="15"/>
          <w:color w:val="auto"/>
        </w:rPr>
        <w:t>Press Release dated October 28, 2010 Announcing Financial and Operating Results for the Quarter Ended September 30, 2010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231775</wp:posOffset>
            </wp:positionV>
            <wp:extent cx="7267575" cy="215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267575" cy="21590"/>
                    </a:xfrm>
                    <a:prstGeom prst="rect">
                      <a:avLst/>
                    </a:prstGeom>
                    <a:noFill/>
                  </pic:spPr>
                </pic:pic>
              </a:graphicData>
            </a:graphic>
          </wp:anchor>
        </w:drawing>
      </w:r>
    </w:p>
    <w:p>
      <w:pPr>
        <w:sectPr>
          <w:pgSz w:w="11900" w:h="16838" w:orient="portrait"/>
          <w:cols w:equalWidth="0" w:num="1">
            <w:col w:w="11240"/>
          </w:cols>
          <w:pgMar w:left="240" w:top="611" w:right="419" w:bottom="1440" w:gutter="0" w:footer="0" w:header="0"/>
        </w:sectPr>
      </w:pPr>
    </w:p>
    <w:bookmarkStart w:id="2" w:name="page3"/>
    <w:bookmarkEnd w:id="2"/>
    <w:p>
      <w:pPr>
        <w:jc w:val="center"/>
        <w:ind w:right="-219"/>
        <w:spacing w:after="0"/>
        <w:rPr>
          <w:sz w:val="20"/>
          <w:szCs w:val="20"/>
          <w:color w:val="auto"/>
        </w:rPr>
      </w:pPr>
      <w:r>
        <w:rPr>
          <w:rFonts w:ascii="Arial" w:cs="Arial" w:eastAsia="Arial" w:hAnsi="Arial"/>
          <w:sz w:val="18"/>
          <w:szCs w:val="18"/>
          <w:color w:val="auto"/>
        </w:rPr>
        <w:t>SIGNATURES</w:t>
      </w:r>
    </w:p>
    <w:p>
      <w:pPr>
        <w:spacing w:after="0" w:line="279" w:lineRule="exact"/>
        <w:rPr>
          <w:sz w:val="20"/>
          <w:szCs w:val="20"/>
          <w:color w:val="auto"/>
        </w:rPr>
      </w:pPr>
    </w:p>
    <w:p>
      <w:pPr>
        <w:ind w:firstLine="270"/>
        <w:spacing w:after="0" w:line="268"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hereunto duly authorized.</w:t>
      </w:r>
    </w:p>
    <w:p>
      <w:pPr>
        <w:spacing w:after="0" w:line="227" w:lineRule="exact"/>
        <w:rPr>
          <w:sz w:val="20"/>
          <w:szCs w:val="20"/>
          <w:color w:val="auto"/>
        </w:rPr>
      </w:pPr>
    </w:p>
    <w:p>
      <w:pPr>
        <w:spacing w:after="0"/>
        <w:tabs>
          <w:tab w:leader="none" w:pos="5560" w:val="left"/>
        </w:tabs>
        <w:rPr>
          <w:sz w:val="20"/>
          <w:szCs w:val="20"/>
          <w:color w:val="auto"/>
        </w:rPr>
      </w:pPr>
      <w:r>
        <w:rPr>
          <w:rFonts w:ascii="Arial" w:cs="Arial" w:eastAsia="Arial" w:hAnsi="Arial"/>
          <w:sz w:val="18"/>
          <w:szCs w:val="18"/>
          <w:color w:val="auto"/>
        </w:rPr>
        <w:t>Date: October 28, 2010</w:t>
      </w:r>
      <w:r>
        <w:rPr>
          <w:sz w:val="20"/>
          <w:szCs w:val="20"/>
          <w:color w:val="auto"/>
        </w:rPr>
        <w:tab/>
      </w:r>
      <w:r>
        <w:rPr>
          <w:rFonts w:ascii="Arial" w:cs="Arial" w:eastAsia="Arial" w:hAnsi="Arial"/>
          <w:sz w:val="16"/>
          <w:szCs w:val="16"/>
          <w:color w:val="auto"/>
        </w:rPr>
        <w:t>REGENERON PHARMACEUTICALS, INC.</w:t>
      </w:r>
    </w:p>
    <w:p>
      <w:pPr>
        <w:spacing w:after="0" w:line="200" w:lineRule="exact"/>
        <w:rPr>
          <w:sz w:val="20"/>
          <w:szCs w:val="20"/>
          <w:color w:val="auto"/>
        </w:rPr>
      </w:pPr>
    </w:p>
    <w:p>
      <w:pPr>
        <w:spacing w:after="0" w:line="200" w:lineRule="exact"/>
        <w:rPr>
          <w:sz w:val="20"/>
          <w:szCs w:val="20"/>
          <w:color w:val="auto"/>
        </w:rPr>
      </w:pPr>
    </w:p>
    <w:p>
      <w:pPr>
        <w:spacing w:after="0" w:line="365" w:lineRule="exact"/>
        <w:rPr>
          <w:sz w:val="20"/>
          <w:szCs w:val="20"/>
          <w:color w:val="auto"/>
        </w:rPr>
      </w:pPr>
    </w:p>
    <w:p>
      <w:pPr>
        <w:ind w:left="5580"/>
        <w:spacing w:after="0"/>
        <w:rPr>
          <w:sz w:val="20"/>
          <w:szCs w:val="20"/>
          <w:color w:val="auto"/>
        </w:rPr>
      </w:pPr>
      <w:r>
        <w:rPr>
          <w:rFonts w:ascii="Arial" w:cs="Arial" w:eastAsia="Arial" w:hAnsi="Arial"/>
          <w:sz w:val="18"/>
          <w:szCs w:val="18"/>
          <w:color w:val="auto"/>
        </w:rPr>
        <w:t>By: /s/ Stuart Kolinski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3735705</wp:posOffset>
            </wp:positionH>
            <wp:positionV relativeFrom="paragraph">
              <wp:posOffset>19685</wp:posOffset>
            </wp:positionV>
            <wp:extent cx="2744470"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2744470" cy="8890"/>
                    </a:xfrm>
                    <a:prstGeom prst="rect">
                      <a:avLst/>
                    </a:prstGeom>
                    <a:noFill/>
                  </pic:spPr>
                </pic:pic>
              </a:graphicData>
            </a:graphic>
          </wp:anchor>
        </w:drawing>
      </w:r>
    </w:p>
    <w:p>
      <w:pPr>
        <w:spacing w:after="0" w:line="30" w:lineRule="exact"/>
        <w:rPr>
          <w:sz w:val="20"/>
          <w:szCs w:val="20"/>
          <w:color w:val="auto"/>
        </w:rPr>
      </w:pPr>
    </w:p>
    <w:p>
      <w:pPr>
        <w:ind w:left="5880"/>
        <w:spacing w:after="0"/>
        <w:rPr>
          <w:sz w:val="20"/>
          <w:szCs w:val="20"/>
          <w:color w:val="auto"/>
        </w:rPr>
      </w:pPr>
      <w:r>
        <w:rPr>
          <w:rFonts w:ascii="Arial" w:cs="Arial" w:eastAsia="Arial" w:hAnsi="Arial"/>
          <w:sz w:val="18"/>
          <w:szCs w:val="18"/>
          <w:color w:val="auto"/>
        </w:rPr>
        <w:t>Name: Stuart Kolinski</w:t>
      </w:r>
    </w:p>
    <w:p>
      <w:pPr>
        <w:spacing w:after="0" w:line="36" w:lineRule="exact"/>
        <w:rPr>
          <w:sz w:val="20"/>
          <w:szCs w:val="20"/>
          <w:color w:val="auto"/>
        </w:rPr>
      </w:pPr>
    </w:p>
    <w:p>
      <w:pPr>
        <w:ind w:left="5880"/>
        <w:spacing w:after="0"/>
        <w:rPr>
          <w:sz w:val="20"/>
          <w:szCs w:val="20"/>
          <w:color w:val="auto"/>
        </w:rPr>
      </w:pPr>
      <w:r>
        <w:rPr>
          <w:rFonts w:ascii="Arial" w:cs="Arial" w:eastAsia="Arial" w:hAnsi="Arial"/>
          <w:sz w:val="18"/>
          <w:szCs w:val="18"/>
          <w:color w:val="auto"/>
        </w:rPr>
        <w:t>Title: Senior Vice President and General Counsel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240665</wp:posOffset>
            </wp:positionV>
            <wp:extent cx="7267575" cy="215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267575" cy="21590"/>
                    </a:xfrm>
                    <a:prstGeom prst="rect">
                      <a:avLst/>
                    </a:prstGeom>
                    <a:noFill/>
                  </pic:spPr>
                </pic:pic>
              </a:graphicData>
            </a:graphic>
          </wp:anchor>
        </w:drawing>
      </w:r>
    </w:p>
    <w:p>
      <w:pPr>
        <w:sectPr>
          <w:pgSz w:w="11900" w:h="16838" w:orient="portrait"/>
          <w:cols w:equalWidth="0" w:num="1">
            <w:col w:w="11200"/>
          </w:cols>
          <w:pgMar w:left="240" w:top="617" w:right="459" w:bottom="1440" w:gutter="0" w:footer="0" w:header="0"/>
        </w:sectPr>
      </w:pPr>
    </w:p>
    <w:bookmarkStart w:id="3" w:name="page4"/>
    <w:bookmarkEnd w:id="3"/>
    <w:p>
      <w:pPr>
        <w:ind w:left="5240"/>
        <w:spacing w:after="0"/>
        <w:rPr>
          <w:sz w:val="20"/>
          <w:szCs w:val="20"/>
          <w:color w:val="auto"/>
        </w:rPr>
      </w:pPr>
      <w:r>
        <w:rPr>
          <w:rFonts w:ascii="Arial" w:cs="Arial" w:eastAsia="Arial" w:hAnsi="Arial"/>
          <w:sz w:val="18"/>
          <w:szCs w:val="18"/>
          <w:color w:val="auto"/>
        </w:rPr>
        <w:t>Exhibit Index</w:t>
      </w:r>
    </w:p>
    <w:p>
      <w:pPr>
        <w:spacing w:after="0" w:line="266" w:lineRule="exact"/>
        <w:rPr>
          <w:sz w:val="20"/>
          <w:szCs w:val="20"/>
          <w:color w:val="auto"/>
        </w:rPr>
      </w:pPr>
    </w:p>
    <w:p>
      <w:pPr>
        <w:spacing w:after="0"/>
        <w:tabs>
          <w:tab w:leader="none" w:pos="840" w:val="left"/>
        </w:tabs>
        <w:rPr>
          <w:sz w:val="20"/>
          <w:szCs w:val="20"/>
          <w:color w:val="auto"/>
        </w:rPr>
      </w:pPr>
      <w:r>
        <w:rPr>
          <w:rFonts w:ascii="Arial" w:cs="Arial" w:eastAsia="Arial" w:hAnsi="Arial"/>
          <w:sz w:val="18"/>
          <w:szCs w:val="18"/>
          <w:color w:val="auto"/>
        </w:rPr>
        <w:t>Number</w:t>
      </w:r>
      <w:r>
        <w:rPr>
          <w:sz w:val="20"/>
          <w:szCs w:val="20"/>
          <w:color w:val="auto"/>
        </w:rPr>
        <w:tab/>
      </w:r>
      <w:r>
        <w:rPr>
          <w:rFonts w:ascii="Arial" w:cs="Arial" w:eastAsia="Arial" w:hAnsi="Arial"/>
          <w:sz w:val="18"/>
          <w:szCs w:val="18"/>
          <w:color w:val="auto"/>
        </w:rPr>
        <w:t>Description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19685</wp:posOffset>
            </wp:positionV>
            <wp:extent cx="1063625"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063625" cy="8890"/>
                    </a:xfrm>
                    <a:prstGeom prst="rect">
                      <a:avLst/>
                    </a:prstGeom>
                    <a:noFill/>
                  </pic:spPr>
                </pic:pic>
              </a:graphicData>
            </a:graphic>
          </wp:anchor>
        </w:drawing>
      </w:r>
    </w:p>
    <w:p>
      <w:pPr>
        <w:spacing w:after="0" w:line="16" w:lineRule="exact"/>
        <w:rPr>
          <w:sz w:val="20"/>
          <w:szCs w:val="20"/>
          <w:color w:val="auto"/>
        </w:rPr>
      </w:pPr>
    </w:p>
    <w:p>
      <w:pPr>
        <w:spacing w:after="0"/>
        <w:tabs>
          <w:tab w:leader="none" w:pos="840" w:val="left"/>
        </w:tabs>
        <w:rPr>
          <w:sz w:val="20"/>
          <w:szCs w:val="20"/>
          <w:color w:val="auto"/>
        </w:rPr>
      </w:pPr>
      <w:r>
        <w:rPr>
          <w:rFonts w:ascii="Arial" w:cs="Arial" w:eastAsia="Arial" w:hAnsi="Arial"/>
          <w:sz w:val="18"/>
          <w:szCs w:val="18"/>
          <w:color w:val="auto"/>
        </w:rPr>
        <w:t>99.1</w:t>
      </w:r>
      <w:r>
        <w:rPr>
          <w:sz w:val="20"/>
          <w:szCs w:val="20"/>
          <w:color w:val="auto"/>
        </w:rPr>
        <w:tab/>
      </w:r>
      <w:r>
        <w:rPr>
          <w:rFonts w:ascii="Arial" w:cs="Arial" w:eastAsia="Arial" w:hAnsi="Arial"/>
          <w:sz w:val="15"/>
          <w:szCs w:val="15"/>
          <w:color w:val="auto"/>
        </w:rPr>
        <w:t>Press Release dated October 28, 2010 Announcing Financial and Operating Results for the Quarter ended September 30, 2010.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-125730</wp:posOffset>
            </wp:positionV>
            <wp:extent cx="7246620" cy="15430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246620" cy="154305"/>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248920</wp:posOffset>
            </wp:positionV>
            <wp:extent cx="7267575" cy="215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267575" cy="21590"/>
                    </a:xfrm>
                    <a:prstGeom prst="rect">
                      <a:avLst/>
                    </a:prstGeom>
                    <a:noFill/>
                  </pic:spPr>
                </pic:pic>
              </a:graphicData>
            </a:graphic>
          </wp:anchor>
        </w:drawing>
      </w:r>
    </w:p>
    <w:p>
      <w:pPr>
        <w:sectPr>
          <w:pgSz w:w="11900" w:h="16838" w:orient="portrait"/>
          <w:cols w:equalWidth="0" w:num="1">
            <w:col w:w="10219"/>
          </w:cols>
          <w:pgMar w:left="240" w:top="617" w:right="1440" w:bottom="1440" w:gutter="0" w:footer="0" w:header="0"/>
        </w:sectPr>
      </w:pPr>
    </w:p>
    <w:bookmarkStart w:id="4" w:name="page5"/>
    <w:bookmarkEnd w:id="4"/>
    <w:p>
      <w:pPr>
        <w:jc w:val="right"/>
        <w:spacing w:after="0"/>
        <w:rPr>
          <w:sz w:val="20"/>
          <w:szCs w:val="20"/>
          <w:color w:val="auto"/>
        </w:rPr>
      </w:pPr>
      <w:r>
        <w:rPr>
          <w:rFonts w:ascii="Arial" w:cs="Arial" w:eastAsia="Arial" w:hAnsi="Arial"/>
          <w:sz w:val="18"/>
          <w:szCs w:val="18"/>
          <w:color w:val="auto"/>
        </w:rPr>
        <w:t>Exhibit 99.1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165735</wp:posOffset>
            </wp:positionV>
            <wp:extent cx="1595120" cy="30035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1595120" cy="3003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8" w:lineRule="exact"/>
        <w:rPr>
          <w:sz w:val="20"/>
          <w:szCs w:val="20"/>
          <w:color w:val="auto"/>
        </w:rPr>
      </w:pPr>
    </w:p>
    <w:p>
      <w:pPr>
        <w:spacing w:after="0"/>
        <w:rPr>
          <w:sz w:val="20"/>
          <w:szCs w:val="20"/>
          <w:color w:val="auto"/>
        </w:rPr>
      </w:pPr>
      <w:r>
        <w:rPr>
          <w:rFonts w:ascii="Arial" w:cs="Arial" w:eastAsia="Arial" w:hAnsi="Arial"/>
          <w:sz w:val="24"/>
          <w:szCs w:val="24"/>
          <w:b w:val="1"/>
          <w:bCs w:val="1"/>
          <w:u w:val="single" w:color="auto"/>
          <w:color w:val="auto"/>
        </w:rPr>
        <w:t>For Immediate Release</w:t>
      </w:r>
    </w:p>
    <w:p>
      <w:pPr>
        <w:spacing w:after="0" w:line="27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Press Release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137795</wp:posOffset>
            </wp:positionV>
            <wp:extent cx="7246620" cy="889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00" w:lineRule="exact"/>
        <w:rPr>
          <w:sz w:val="20"/>
          <w:szCs w:val="20"/>
          <w:color w:val="auto"/>
        </w:rPr>
      </w:pPr>
    </w:p>
    <w:p>
      <w:pPr>
        <w:spacing w:after="0" w:line="225" w:lineRule="exact"/>
        <w:rPr>
          <w:sz w:val="20"/>
          <w:szCs w:val="20"/>
          <w:color w:val="auto"/>
        </w:rPr>
      </w:pPr>
    </w:p>
    <w:p>
      <w:pPr>
        <w:spacing w:after="0"/>
        <w:rPr>
          <w:sz w:val="20"/>
          <w:szCs w:val="20"/>
          <w:color w:val="auto"/>
        </w:rPr>
      </w:pPr>
      <w:r>
        <w:rPr>
          <w:rFonts w:ascii="Arial" w:cs="Arial" w:eastAsia="Arial" w:hAnsi="Arial"/>
          <w:sz w:val="24"/>
          <w:szCs w:val="24"/>
          <w:b w:val="1"/>
          <w:bCs w:val="1"/>
          <w:color w:val="0E4CBA"/>
        </w:rPr>
        <w:t>Regeneron Reports Third Quarter 2010 Financial Results and Business Highlights</w:t>
      </w:r>
    </w:p>
    <w:p>
      <w:pPr>
        <w:spacing w:after="0" w:line="265" w:lineRule="exact"/>
        <w:rPr>
          <w:sz w:val="20"/>
          <w:szCs w:val="20"/>
          <w:color w:val="auto"/>
        </w:rPr>
      </w:pPr>
    </w:p>
    <w:p>
      <w:pPr>
        <w:ind w:right="140"/>
        <w:spacing w:after="0" w:line="275" w:lineRule="auto"/>
        <w:rPr>
          <w:sz w:val="20"/>
          <w:szCs w:val="20"/>
          <w:color w:val="auto"/>
        </w:rPr>
      </w:pPr>
      <w:r>
        <w:rPr>
          <w:rFonts w:ascii="Arial" w:cs="Arial" w:eastAsia="Arial" w:hAnsi="Arial"/>
          <w:sz w:val="18"/>
          <w:szCs w:val="18"/>
          <w:b w:val="1"/>
          <w:bCs w:val="1"/>
          <w:color w:val="auto"/>
        </w:rPr>
        <w:t xml:space="preserve">Tarrytown, New York (Oct. 28, 2010) </w:t>
      </w:r>
      <w:r>
        <w:rPr>
          <w:rFonts w:ascii="Arial" w:cs="Arial" w:eastAsia="Arial" w:hAnsi="Arial"/>
          <w:sz w:val="18"/>
          <w:szCs w:val="18"/>
          <w:color w:val="auto"/>
        </w:rPr>
        <w:t>-- Regeneron Pharmaceuticals, Inc. (Nasdaq:</w:t>
      </w:r>
      <w:r>
        <w:rPr>
          <w:rFonts w:ascii="Arial" w:cs="Arial" w:eastAsia="Arial" w:hAnsi="Arial"/>
          <w:sz w:val="18"/>
          <w:szCs w:val="18"/>
          <w:b w:val="1"/>
          <w:bCs w:val="1"/>
          <w:color w:val="auto"/>
        </w:rPr>
        <w:t xml:space="preserve"> REGN</w:t>
      </w:r>
      <w:r>
        <w:rPr>
          <w:rFonts w:ascii="Arial" w:cs="Arial" w:eastAsia="Arial" w:hAnsi="Arial"/>
          <w:sz w:val="18"/>
          <w:szCs w:val="18"/>
          <w:color w:val="auto"/>
        </w:rPr>
        <w:t>) today announced financial results for the third quarter of 2010 and</w:t>
      </w:r>
      <w:r>
        <w:rPr>
          <w:rFonts w:ascii="Arial" w:cs="Arial" w:eastAsia="Arial" w:hAnsi="Arial"/>
          <w:sz w:val="18"/>
          <w:szCs w:val="18"/>
          <w:b w:val="1"/>
          <w:bCs w:val="1"/>
          <w:color w:val="auto"/>
        </w:rPr>
        <w:t xml:space="preserve"> </w:t>
      </w:r>
      <w:r>
        <w:rPr>
          <w:rFonts w:ascii="Arial" w:cs="Arial" w:eastAsia="Arial" w:hAnsi="Arial"/>
          <w:sz w:val="18"/>
          <w:szCs w:val="18"/>
          <w:color w:val="auto"/>
        </w:rPr>
        <w:t>provided current business highlights.</w:t>
      </w:r>
    </w:p>
    <w:p>
      <w:pPr>
        <w:spacing w:after="0" w:line="20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Current Business Highlights</w:t>
      </w:r>
    </w:p>
    <w:p>
      <w:pPr>
        <w:spacing w:after="0" w:line="258"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Public Offering of Common Stock</w:t>
      </w:r>
    </w:p>
    <w:p>
      <w:pPr>
        <w:spacing w:after="0" w:line="15" w:lineRule="exact"/>
        <w:rPr>
          <w:sz w:val="20"/>
          <w:szCs w:val="20"/>
          <w:color w:val="auto"/>
        </w:rPr>
      </w:pPr>
    </w:p>
    <w:p>
      <w:pPr>
        <w:spacing w:after="0"/>
        <w:rPr>
          <w:sz w:val="20"/>
          <w:szCs w:val="20"/>
          <w:color w:val="auto"/>
        </w:rPr>
      </w:pPr>
      <w:r>
        <w:rPr>
          <w:rFonts w:ascii="Arial" w:cs="Arial" w:eastAsia="Arial" w:hAnsi="Arial"/>
          <w:sz w:val="16"/>
          <w:szCs w:val="16"/>
          <w:color w:val="auto"/>
        </w:rPr>
        <w:t>In October 2010, the Company completed a public offering of 6,325,000 shares of Common Stock and received net proceeds of approximately $174.7 million.</w:t>
      </w:r>
    </w:p>
    <w:p>
      <w:pPr>
        <w:spacing w:after="0" w:line="269"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Extension of Technology Licensing Agreement with Astellas</w:t>
      </w:r>
    </w:p>
    <w:p>
      <w:pPr>
        <w:spacing w:after="0" w:line="15" w:lineRule="exact"/>
        <w:rPr>
          <w:sz w:val="20"/>
          <w:szCs w:val="20"/>
          <w:color w:val="auto"/>
        </w:rPr>
      </w:pPr>
    </w:p>
    <w:p>
      <w:pPr>
        <w:ind w:right="140"/>
        <w:spacing w:after="0" w:line="278" w:lineRule="auto"/>
        <w:rPr>
          <w:sz w:val="20"/>
          <w:szCs w:val="20"/>
          <w:color w:val="auto"/>
        </w:rPr>
      </w:pPr>
      <w:r>
        <w:rPr>
          <w:rFonts w:ascii="Arial" w:cs="Arial" w:eastAsia="Arial" w:hAnsi="Arial"/>
          <w:sz w:val="16"/>
          <w:szCs w:val="16"/>
          <w:color w:val="auto"/>
        </w:rPr>
        <w:t xml:space="preserve">In July 2010, Astellas Pharma extended through 2023 the non-exclusive license agreement that allows Astellas to utilize Regeneron’s </w:t>
      </w:r>
      <w:r>
        <w:rPr>
          <w:rFonts w:ascii="Arial" w:cs="Arial" w:eastAsia="Arial" w:hAnsi="Arial"/>
          <w:sz w:val="16"/>
          <w:szCs w:val="16"/>
          <w:i w:val="1"/>
          <w:iCs w:val="1"/>
          <w:color w:val="auto"/>
        </w:rPr>
        <w:t>VelocImmune</w:t>
      </w:r>
      <w:r>
        <w:rPr>
          <w:rFonts w:ascii="Arial" w:cs="Arial" w:eastAsia="Arial" w:hAnsi="Arial"/>
          <w:sz w:val="22"/>
          <w:szCs w:val="22"/>
          <w:i w:val="1"/>
          <w:iCs w:val="1"/>
          <w:color w:val="auto"/>
          <w:vertAlign w:val="superscript"/>
        </w:rPr>
        <w:t>®</w:t>
      </w:r>
      <w:r>
        <w:rPr>
          <w:rFonts w:ascii="Arial" w:cs="Arial" w:eastAsia="Arial" w:hAnsi="Arial"/>
          <w:sz w:val="16"/>
          <w:szCs w:val="16"/>
          <w:color w:val="auto"/>
        </w:rPr>
        <w:t xml:space="preserve"> technology in its internal research programs to discover fully human monoclonal antibody product candidates. Astellas made a $165.0 million up-front payment to the Company in August 2010 and will make another $130.0 million payment in June 2018 unless it terminates the agreement prior to that date. Upon commercialization of any antibody products discovered utilizing </w:t>
      </w:r>
      <w:r>
        <w:rPr>
          <w:rFonts w:ascii="Arial" w:cs="Arial" w:eastAsia="Arial" w:hAnsi="Arial"/>
          <w:sz w:val="16"/>
          <w:szCs w:val="16"/>
          <w:i w:val="1"/>
          <w:iCs w:val="1"/>
          <w:color w:val="auto"/>
        </w:rPr>
        <w:t>VelocImmune</w:t>
      </w:r>
      <w:r>
        <w:rPr>
          <w:rFonts w:ascii="Arial" w:cs="Arial" w:eastAsia="Arial" w:hAnsi="Arial"/>
          <w:sz w:val="22"/>
          <w:szCs w:val="22"/>
          <w:i w:val="1"/>
          <w:iCs w:val="1"/>
          <w:color w:val="auto"/>
          <w:vertAlign w:val="superscript"/>
        </w:rPr>
        <w:t>®</w:t>
      </w:r>
      <w:r>
        <w:rPr>
          <w:rFonts w:ascii="Arial" w:cs="Arial" w:eastAsia="Arial" w:hAnsi="Arial"/>
          <w:sz w:val="16"/>
          <w:szCs w:val="16"/>
          <w:color w:val="auto"/>
        </w:rPr>
        <w:t xml:space="preserve"> , Astellas will pay the Company a mid-single-digit royalty on product sales.</w:t>
      </w:r>
    </w:p>
    <w:p>
      <w:pPr>
        <w:spacing w:after="0" w:line="116"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VEGF Trap-Eye – Ophthalmologic Diseases</w:t>
      </w:r>
    </w:p>
    <w:p>
      <w:pPr>
        <w:spacing w:after="0" w:line="15" w:lineRule="exact"/>
        <w:rPr>
          <w:sz w:val="20"/>
          <w:szCs w:val="20"/>
          <w:color w:val="auto"/>
        </w:rPr>
      </w:pPr>
    </w:p>
    <w:p>
      <w:pPr>
        <w:ind w:right="140"/>
        <w:spacing w:after="0" w:line="252" w:lineRule="auto"/>
        <w:rPr>
          <w:sz w:val="20"/>
          <w:szCs w:val="20"/>
          <w:color w:val="auto"/>
        </w:rPr>
      </w:pPr>
      <w:r>
        <w:rPr>
          <w:rFonts w:ascii="Arial" w:cs="Arial" w:eastAsia="Arial" w:hAnsi="Arial"/>
          <w:sz w:val="18"/>
          <w:szCs w:val="18"/>
          <w:color w:val="auto"/>
        </w:rPr>
        <w:t>Initial data from two Phase 3 studies (VIEW 1 and VIEW 2) evaluating VEGF Trap-Eye (aflibercept ophthalmic solution) in patients with the neovascular form of age-related macular degeneration (wet AMD) are expected in the fourth quarter of 2010. In addition, two Phase 3 studies (COPERNICUS and GALILEO) of VEGF Trap-Eye in central retinal vein occlusion (CRVO) are fully enrolled, and initial data from these studies are anticipated in the first half of 2011. One-year results from a Phase 2 study (DA VINCI) in patients with clinically significant diabetic macular edema (DME) will be available in the fourth quarter of 2010. In February 2010, the Company reported a statistically significant improvement in visual acuity compared to focal laser therapy over the initial 24 weeks of treatment, the primary endpoint of the study.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217170</wp:posOffset>
            </wp:positionV>
            <wp:extent cx="7267575" cy="2159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267575" cy="21590"/>
                    </a:xfrm>
                    <a:prstGeom prst="rect">
                      <a:avLst/>
                    </a:prstGeom>
                    <a:noFill/>
                  </pic:spPr>
                </pic:pic>
              </a:graphicData>
            </a:graphic>
          </wp:anchor>
        </w:drawing>
      </w:r>
    </w:p>
    <w:p>
      <w:pPr>
        <w:sectPr>
          <w:pgSz w:w="11900" w:h="16838" w:orient="portrait"/>
          <w:cols w:equalWidth="0" w:num="1">
            <w:col w:w="11420"/>
          </w:cols>
          <w:pgMar w:left="240" w:top="374" w:right="239" w:bottom="1440" w:gutter="0" w:footer="0" w:header="0"/>
        </w:sectPr>
      </w:pPr>
    </w:p>
    <w:bookmarkStart w:id="5" w:name="page6"/>
    <w:bookmarkEnd w:id="5"/>
    <w:p>
      <w:pPr>
        <w:ind w:right="120"/>
        <w:spacing w:after="0" w:line="259" w:lineRule="auto"/>
        <w:rPr>
          <w:sz w:val="20"/>
          <w:szCs w:val="20"/>
          <w:color w:val="auto"/>
        </w:rPr>
      </w:pPr>
      <w:r>
        <w:rPr>
          <w:rFonts w:ascii="Arial" w:cs="Arial" w:eastAsia="Arial" w:hAnsi="Arial"/>
          <w:sz w:val="18"/>
          <w:szCs w:val="18"/>
          <w:color w:val="auto"/>
        </w:rPr>
        <w:t>VEGF Trap-Eye is being developed by Regeneron in collaboration with Bayer HealthCare. Bayer HealthCare has rights to market VEGF Trap-Eye outside the United States, where the companies will share equally in profits from any future sales of VEGF Trap-Eye. Regeneron maintains exclusive rights to VEGF Trap-Eye in the United States.</w:t>
      </w:r>
    </w:p>
    <w:p>
      <w:pPr>
        <w:spacing w:after="0" w:line="141"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ARCALYST</w:t>
      </w:r>
      <w:r>
        <w:rPr>
          <w:rFonts w:ascii="Arial" w:cs="Arial" w:eastAsia="Arial" w:hAnsi="Arial"/>
          <w:sz w:val="24"/>
          <w:szCs w:val="24"/>
          <w:u w:val="single" w:color="auto"/>
          <w:color w:val="auto"/>
          <w:vertAlign w:val="superscript"/>
        </w:rPr>
        <w:t>®</w:t>
      </w:r>
      <w:r>
        <w:rPr>
          <w:rFonts w:ascii="Arial" w:cs="Arial" w:eastAsia="Arial" w:hAnsi="Arial"/>
          <w:sz w:val="18"/>
          <w:szCs w:val="18"/>
          <w:u w:val="single" w:color="auto"/>
          <w:color w:val="auto"/>
        </w:rPr>
        <w:t xml:space="preserve"> (rilonacept) – CAPS</w:t>
      </w:r>
    </w:p>
    <w:p>
      <w:pPr>
        <w:ind w:right="60"/>
        <w:spacing w:after="0" w:line="222" w:lineRule="auto"/>
        <w:rPr>
          <w:sz w:val="20"/>
          <w:szCs w:val="20"/>
          <w:color w:val="auto"/>
        </w:rPr>
      </w:pPr>
      <w:r>
        <w:rPr>
          <w:rFonts w:ascii="Arial" w:cs="Arial" w:eastAsia="Arial" w:hAnsi="Arial"/>
          <w:sz w:val="18"/>
          <w:szCs w:val="18"/>
          <w:color w:val="auto"/>
        </w:rPr>
        <w:t>Net product sales of ARCALYST</w:t>
      </w:r>
      <w:r>
        <w:rPr>
          <w:rFonts w:ascii="Arial" w:cs="Arial" w:eastAsia="Arial" w:hAnsi="Arial"/>
          <w:sz w:val="24"/>
          <w:szCs w:val="24"/>
          <w:color w:val="auto"/>
          <w:vertAlign w:val="superscript"/>
        </w:rPr>
        <w:t>®</w:t>
      </w:r>
      <w:r>
        <w:rPr>
          <w:rFonts w:ascii="Arial" w:cs="Arial" w:eastAsia="Arial" w:hAnsi="Arial"/>
          <w:sz w:val="18"/>
          <w:szCs w:val="18"/>
          <w:color w:val="auto"/>
        </w:rPr>
        <w:t xml:space="preserve"> Injection for Subcutaneous Use in the third quarter of 2010 were $4.9 million, compared to $5.0 million during the same period of 2009. The Company recognized $20.0 million of net product sales during the first nine months of 2010, which included $15.2 million of ARCALYST</w:t>
      </w:r>
      <w:r>
        <w:rPr>
          <w:rFonts w:ascii="Arial" w:cs="Arial" w:eastAsia="Arial" w:hAnsi="Arial"/>
          <w:sz w:val="24"/>
          <w:szCs w:val="24"/>
          <w:color w:val="auto"/>
          <w:vertAlign w:val="superscript"/>
        </w:rPr>
        <w:t>®</w:t>
      </w:r>
      <w:r>
        <w:rPr>
          <w:rFonts w:ascii="Arial" w:cs="Arial" w:eastAsia="Arial" w:hAnsi="Arial"/>
          <w:sz w:val="18"/>
          <w:szCs w:val="18"/>
          <w:color w:val="auto"/>
        </w:rPr>
        <w:t xml:space="preserve"> net product sales made during the first nine months of 2010 and $4.8 million of previously deferred net product sales. In the first nine months of 2009, the Company recognized $13.4 million of ARCALYST</w:t>
      </w:r>
      <w:r>
        <w:rPr>
          <w:rFonts w:ascii="Arial" w:cs="Arial" w:eastAsia="Arial" w:hAnsi="Arial"/>
          <w:sz w:val="24"/>
          <w:szCs w:val="24"/>
          <w:color w:val="auto"/>
          <w:vertAlign w:val="superscript"/>
        </w:rPr>
        <w:t>®</w:t>
      </w:r>
      <w:r>
        <w:rPr>
          <w:rFonts w:ascii="Arial" w:cs="Arial" w:eastAsia="Arial" w:hAnsi="Arial"/>
          <w:sz w:val="18"/>
          <w:szCs w:val="18"/>
          <w:color w:val="auto"/>
        </w:rPr>
        <w:t xml:space="preserve"> net product sales.</w:t>
      </w:r>
    </w:p>
    <w:p>
      <w:pPr>
        <w:spacing w:after="0" w:line="140" w:lineRule="exact"/>
        <w:rPr>
          <w:sz w:val="20"/>
          <w:szCs w:val="20"/>
          <w:color w:val="auto"/>
        </w:rPr>
      </w:pPr>
    </w:p>
    <w:p>
      <w:pPr>
        <w:ind w:right="20"/>
        <w:spacing w:after="0" w:line="217" w:lineRule="auto"/>
        <w:rPr>
          <w:sz w:val="20"/>
          <w:szCs w:val="20"/>
          <w:color w:val="auto"/>
        </w:rPr>
      </w:pPr>
      <w:r>
        <w:rPr>
          <w:rFonts w:ascii="Arial" w:cs="Arial" w:eastAsia="Arial" w:hAnsi="Arial"/>
          <w:sz w:val="18"/>
          <w:szCs w:val="18"/>
          <w:color w:val="auto"/>
        </w:rPr>
        <w:t>ARCALYST</w:t>
      </w:r>
      <w:r>
        <w:rPr>
          <w:rFonts w:ascii="Arial" w:cs="Arial" w:eastAsia="Arial" w:hAnsi="Arial"/>
          <w:sz w:val="24"/>
          <w:szCs w:val="24"/>
          <w:color w:val="auto"/>
          <w:vertAlign w:val="superscript"/>
        </w:rPr>
        <w:t>®</w:t>
      </w:r>
      <w:r>
        <w:rPr>
          <w:rFonts w:ascii="Arial" w:cs="Arial" w:eastAsia="Arial" w:hAnsi="Arial"/>
          <w:sz w:val="18"/>
          <w:szCs w:val="18"/>
          <w:color w:val="auto"/>
        </w:rPr>
        <w:t xml:space="preserve"> is available for prescription in the United States for the treatment of Cryopyrin-Associated Periodic Syndromes (CAPS), including Familial Cold Auto-inflammatory Syndrome (FCAS) and Muckle-Wells Syndrome (MWS) in adults and children 12 and older. ARCALYST</w:t>
      </w:r>
      <w:r>
        <w:rPr>
          <w:rFonts w:ascii="Arial" w:cs="Arial" w:eastAsia="Arial" w:hAnsi="Arial"/>
          <w:sz w:val="24"/>
          <w:szCs w:val="24"/>
          <w:color w:val="auto"/>
          <w:vertAlign w:val="superscript"/>
        </w:rPr>
        <w:t>®</w:t>
      </w:r>
      <w:r>
        <w:rPr>
          <w:rFonts w:ascii="Arial" w:cs="Arial" w:eastAsia="Arial" w:hAnsi="Arial"/>
          <w:sz w:val="18"/>
          <w:szCs w:val="18"/>
          <w:color w:val="auto"/>
        </w:rPr>
        <w:t xml:space="preserve"> is a fusion protein that blocks the cytokine interleukin-1 (IL-1). CAPS is a group of rare, inherited, auto-inflammatory conditions characterized by life-long, recurrent symptoms of rash, fever/chills, joint pain, eye redness/pain, and fatigue.</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ARCALYST</w:t>
      </w:r>
      <w:r>
        <w:rPr>
          <w:rFonts w:ascii="Arial" w:cs="Arial" w:eastAsia="Arial" w:hAnsi="Arial"/>
          <w:sz w:val="24"/>
          <w:szCs w:val="24"/>
          <w:u w:val="single" w:color="auto"/>
          <w:color w:val="auto"/>
          <w:vertAlign w:val="superscript"/>
        </w:rPr>
        <w:t>®</w:t>
      </w:r>
      <w:r>
        <w:rPr>
          <w:rFonts w:ascii="Arial" w:cs="Arial" w:eastAsia="Arial" w:hAnsi="Arial"/>
          <w:sz w:val="18"/>
          <w:szCs w:val="18"/>
          <w:u w:val="single" w:color="auto"/>
          <w:color w:val="auto"/>
        </w:rPr>
        <w:t xml:space="preserve"> (rilonacept) – Gout</w:t>
      </w:r>
    </w:p>
    <w:p>
      <w:pPr>
        <w:spacing w:after="0" w:line="232" w:lineRule="auto"/>
        <w:rPr>
          <w:sz w:val="20"/>
          <w:szCs w:val="20"/>
          <w:color w:val="auto"/>
        </w:rPr>
      </w:pPr>
      <w:r>
        <w:rPr>
          <w:rFonts w:ascii="Arial" w:cs="Arial" w:eastAsia="Arial" w:hAnsi="Arial"/>
          <w:sz w:val="18"/>
          <w:szCs w:val="18"/>
          <w:color w:val="auto"/>
        </w:rPr>
        <w:t>ARCALYST</w:t>
      </w:r>
      <w:r>
        <w:rPr>
          <w:rFonts w:ascii="Arial" w:cs="Arial" w:eastAsia="Arial" w:hAnsi="Arial"/>
          <w:sz w:val="24"/>
          <w:szCs w:val="24"/>
          <w:color w:val="auto"/>
          <w:vertAlign w:val="superscript"/>
        </w:rPr>
        <w:t>®</w:t>
      </w:r>
      <w:r>
        <w:rPr>
          <w:rFonts w:ascii="Arial" w:cs="Arial" w:eastAsia="Arial" w:hAnsi="Arial"/>
          <w:sz w:val="18"/>
          <w:szCs w:val="18"/>
          <w:color w:val="auto"/>
        </w:rPr>
        <w:t xml:space="preserve"> is in a Phase 3 clinical development program for the prevention of gout flares in patients initiating uric acid-lowering therapy. In June 2010, the Company announced positive efficacy and safety results from a Phase 3 study (PRE-SURGE 1) in gout patients initiating allopurinol therapy to lower their uric acid levels. There are two other ongoing studies in the Phase 3 program. The global PRE-SURGE 2 study, which has a similar trial design as PRE-SURGE 1, is evaluating the number of gout flares per patient over the first 16 weeks of initiation of allopurinol therapy. The global RE-SURGE study is evaluating the safety of ARCALYST</w:t>
      </w:r>
      <w:r>
        <w:rPr>
          <w:rFonts w:ascii="Arial" w:cs="Arial" w:eastAsia="Arial" w:hAnsi="Arial"/>
          <w:sz w:val="24"/>
          <w:szCs w:val="24"/>
          <w:color w:val="auto"/>
          <w:vertAlign w:val="superscript"/>
        </w:rPr>
        <w:t>®</w:t>
      </w:r>
      <w:r>
        <w:rPr>
          <w:rFonts w:ascii="Arial" w:cs="Arial" w:eastAsia="Arial" w:hAnsi="Arial"/>
          <w:sz w:val="18"/>
          <w:szCs w:val="18"/>
          <w:color w:val="auto"/>
        </w:rPr>
        <w:t xml:space="preserve"> versus placebo over 16 weeks in patients who are at risk for gout flares because they are taking uric acid-lowering drug treatment. PRE-SURGE 2 and RE-SURGE are fully enroll ed, and the Company expects to have initial data from both studies by early 2011. Regeneron owns worldwide rights to ARCALYST</w:t>
      </w:r>
      <w:r>
        <w:rPr>
          <w:rFonts w:ascii="Arial" w:cs="Arial" w:eastAsia="Arial" w:hAnsi="Arial"/>
          <w:sz w:val="24"/>
          <w:szCs w:val="24"/>
          <w:color w:val="auto"/>
          <w:vertAlign w:val="superscript"/>
        </w:rPr>
        <w:t>®</w:t>
      </w:r>
      <w:r>
        <w:rPr>
          <w:rFonts w:ascii="Arial" w:cs="Arial" w:eastAsia="Arial" w:hAnsi="Arial"/>
          <w:sz w:val="18"/>
          <w:szCs w:val="18"/>
          <w:color w:val="auto"/>
        </w:rPr>
        <w:t>.</w:t>
      </w:r>
    </w:p>
    <w:p>
      <w:pPr>
        <w:spacing w:after="0" w:line="148"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Aflibercept (VEGF Trap) – Oncology</w:t>
      </w:r>
    </w:p>
    <w:p>
      <w:pPr>
        <w:spacing w:after="0" w:line="15" w:lineRule="exact"/>
        <w:rPr>
          <w:sz w:val="20"/>
          <w:szCs w:val="20"/>
          <w:color w:val="auto"/>
        </w:rPr>
      </w:pPr>
    </w:p>
    <w:p>
      <w:pPr>
        <w:ind w:right="80"/>
        <w:spacing w:after="0" w:line="290" w:lineRule="auto"/>
        <w:rPr>
          <w:sz w:val="20"/>
          <w:szCs w:val="20"/>
          <w:color w:val="auto"/>
        </w:rPr>
      </w:pPr>
      <w:r>
        <w:rPr>
          <w:rFonts w:ascii="Arial" w:cs="Arial" w:eastAsia="Arial" w:hAnsi="Arial"/>
          <w:sz w:val="16"/>
          <w:szCs w:val="16"/>
          <w:color w:val="auto"/>
        </w:rPr>
        <w:t>Aflibercept (VEGF Trap) is being developed worldwide by Regeneron and its collaborator, sanofi-aventis, for the potential treatment of solid tumors. Three randomized, double-blind, Phase 3 trials, all of which are fully enrolled, are evaluating combinations of standard chemotherapy regimens with either aflibercept or placebo for the treatment of cancer. One trial (VELOUR) is evaluating aflibercept as a 2nd-line treatment for metastatic colorectal cancer in combination with FOLFIRI (folinic acid [leucovorin], 5-fluorouracil, and irinotecan). A second trial (VITAL) is evaluating aflibercept as a 2nd-line treatment for locally advanced or metastatic non-small cell lung cancer in combination with docetaxel. The third trial (VENICE) is evaluating aflibercept as a 1st-line treatment for metastatic castration-resistant prostate cancer in combination with docetaxel/prednisone.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198755</wp:posOffset>
            </wp:positionV>
            <wp:extent cx="7267575" cy="2159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267575" cy="21590"/>
                    </a:xfrm>
                    <a:prstGeom prst="rect">
                      <a:avLst/>
                    </a:prstGeom>
                    <a:noFill/>
                  </pic:spPr>
                </pic:pic>
              </a:graphicData>
            </a:graphic>
          </wp:anchor>
        </w:drawing>
      </w:r>
    </w:p>
    <w:p>
      <w:pPr>
        <w:sectPr>
          <w:pgSz w:w="11900" w:h="16838" w:orient="portrait"/>
          <w:cols w:equalWidth="0" w:num="1">
            <w:col w:w="11380"/>
          </w:cols>
          <w:pgMar w:left="240" w:top="617" w:right="279" w:bottom="1440" w:gutter="0" w:footer="0" w:header="0"/>
        </w:sectPr>
      </w:pPr>
    </w:p>
    <w:bookmarkStart w:id="6" w:name="page7"/>
    <w:bookmarkEnd w:id="6"/>
    <w:p>
      <w:pPr>
        <w:jc w:val="both"/>
        <w:spacing w:after="0" w:line="259" w:lineRule="auto"/>
        <w:rPr>
          <w:sz w:val="20"/>
          <w:szCs w:val="20"/>
          <w:color w:val="auto"/>
        </w:rPr>
      </w:pPr>
      <w:r>
        <w:rPr>
          <w:rFonts w:ascii="Arial" w:cs="Arial" w:eastAsia="Arial" w:hAnsi="Arial"/>
          <w:sz w:val="18"/>
          <w:szCs w:val="18"/>
          <w:color w:val="auto"/>
        </w:rPr>
        <w:t>In September 2010, Regeneron and sanofi-aventis announced that, following a planned interim analysis, the Independent Data Monitoring Committee (IDMC) for the VELOUR study recommended that the study continue to completion as planned, with no modifications due to efficacy or safety concerns. An IDMC is a body of independent clinical and statistical experts that meets periodically to evaluate study data.</w:t>
      </w:r>
    </w:p>
    <w:p>
      <w:pPr>
        <w:spacing w:after="0" w:line="221" w:lineRule="exact"/>
        <w:rPr>
          <w:sz w:val="20"/>
          <w:szCs w:val="20"/>
          <w:color w:val="auto"/>
        </w:rPr>
      </w:pPr>
    </w:p>
    <w:p>
      <w:pPr>
        <w:ind w:right="380"/>
        <w:spacing w:after="0" w:line="259" w:lineRule="auto"/>
        <w:rPr>
          <w:sz w:val="20"/>
          <w:szCs w:val="20"/>
          <w:color w:val="auto"/>
        </w:rPr>
      </w:pPr>
      <w:r>
        <w:rPr>
          <w:rFonts w:ascii="Arial" w:cs="Arial" w:eastAsia="Arial" w:hAnsi="Arial"/>
          <w:sz w:val="18"/>
          <w:szCs w:val="18"/>
          <w:color w:val="auto"/>
        </w:rPr>
        <w:t>Based on projected event rates, final results from the VITAL study are anticipated in the first half of 2011 and from the VELOUR study in the second half of 2011. Based on projected event rates, an interim analysis of the VENICE study is expected to be conducted by an IDMC in mid-2011, with final results anticipated in 2012.</w:t>
      </w:r>
    </w:p>
    <w:p>
      <w:pPr>
        <w:spacing w:after="0" w:line="221" w:lineRule="exact"/>
        <w:rPr>
          <w:sz w:val="20"/>
          <w:szCs w:val="20"/>
          <w:color w:val="auto"/>
        </w:rPr>
      </w:pPr>
    </w:p>
    <w:p>
      <w:pPr>
        <w:ind w:right="20"/>
        <w:spacing w:after="0" w:line="332" w:lineRule="auto"/>
        <w:rPr>
          <w:sz w:val="20"/>
          <w:szCs w:val="20"/>
          <w:color w:val="auto"/>
        </w:rPr>
      </w:pPr>
      <w:r>
        <w:rPr>
          <w:rFonts w:ascii="Arial" w:cs="Arial" w:eastAsia="Arial" w:hAnsi="Arial"/>
          <w:sz w:val="16"/>
          <w:szCs w:val="16"/>
          <w:color w:val="auto"/>
        </w:rPr>
        <w:t>In addition, a randomized Phase 2 study (AFFIRM) is evaluating aflibercept as a 1st-line treatment for metastatic colorectal cancer in combination with FOLFOX (folinic acid [leucovorin], 5-fluorouracil, and oxaliplatin). The AFFIRM study is fully enrolled, and initial data are anticipated in the second half of 2011.</w:t>
      </w:r>
    </w:p>
    <w:p>
      <w:pPr>
        <w:spacing w:after="0" w:line="139"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Monoclonal Antibodies</w:t>
      </w:r>
    </w:p>
    <w:p>
      <w:pPr>
        <w:spacing w:after="0" w:line="15" w:lineRule="exact"/>
        <w:rPr>
          <w:sz w:val="20"/>
          <w:szCs w:val="20"/>
          <w:color w:val="auto"/>
        </w:rPr>
      </w:pPr>
    </w:p>
    <w:p>
      <w:pPr>
        <w:jc w:val="both"/>
        <w:ind w:right="440"/>
        <w:spacing w:after="0" w:line="231" w:lineRule="auto"/>
        <w:rPr>
          <w:sz w:val="20"/>
          <w:szCs w:val="20"/>
          <w:color w:val="auto"/>
        </w:rPr>
      </w:pPr>
      <w:r>
        <w:rPr>
          <w:rFonts w:ascii="Arial" w:cs="Arial" w:eastAsia="Arial" w:hAnsi="Arial"/>
          <w:sz w:val="18"/>
          <w:szCs w:val="18"/>
          <w:color w:val="auto"/>
        </w:rPr>
        <w:t xml:space="preserve">Since 2007, Regeneron and sanofi-aventis have collaborated on the discovery, development, and commercialization of fully human monoclonal antibodies generated by Regeneron using its </w:t>
      </w:r>
      <w:r>
        <w:rPr>
          <w:rFonts w:ascii="Arial" w:cs="Arial" w:eastAsia="Arial" w:hAnsi="Arial"/>
          <w:sz w:val="18"/>
          <w:szCs w:val="18"/>
          <w:i w:val="1"/>
          <w:iCs w:val="1"/>
          <w:color w:val="auto"/>
        </w:rPr>
        <w:t>VelocImmune</w:t>
      </w:r>
      <w:r>
        <w:rPr>
          <w:rFonts w:ascii="Arial" w:cs="Arial" w:eastAsia="Arial" w:hAnsi="Arial"/>
          <w:sz w:val="24"/>
          <w:szCs w:val="24"/>
          <w:i w:val="1"/>
          <w:iCs w:val="1"/>
          <w:color w:val="auto"/>
          <w:vertAlign w:val="superscript"/>
        </w:rPr>
        <w:t>®</w:t>
      </w:r>
      <w:r>
        <w:rPr>
          <w:rFonts w:ascii="Arial" w:cs="Arial" w:eastAsia="Arial" w:hAnsi="Arial"/>
          <w:sz w:val="18"/>
          <w:szCs w:val="18"/>
          <w:color w:val="auto"/>
        </w:rPr>
        <w:t xml:space="preserve"> technology. During the fourth quarter of 2009, Regeneron and sanofi-aventis expanded and extended their collaboration with the objective to advance an average of four to five antibodies into clinical development each year between 2010 and 2017. The following antibody candidates are being developed under the collaboration:</w:t>
      </w:r>
    </w:p>
    <w:p>
      <w:pPr>
        <w:spacing w:after="0" w:line="238" w:lineRule="exact"/>
        <w:rPr>
          <w:sz w:val="20"/>
          <w:szCs w:val="20"/>
          <w:color w:val="auto"/>
        </w:rPr>
      </w:pPr>
    </w:p>
    <w:p>
      <w:pPr>
        <w:ind w:right="320"/>
        <w:spacing w:after="0" w:line="259" w:lineRule="auto"/>
        <w:rPr>
          <w:sz w:val="20"/>
          <w:szCs w:val="20"/>
          <w:color w:val="auto"/>
        </w:rPr>
      </w:pPr>
      <w:r>
        <w:rPr>
          <w:rFonts w:ascii="Arial" w:cs="Arial" w:eastAsia="Arial" w:hAnsi="Arial"/>
          <w:sz w:val="18"/>
          <w:szCs w:val="18"/>
          <w:i w:val="1"/>
          <w:iCs w:val="1"/>
          <w:u w:val="single" w:color="auto"/>
          <w:color w:val="auto"/>
        </w:rPr>
        <w:t>REGN727</w:t>
      </w:r>
      <w:r>
        <w:rPr>
          <w:rFonts w:ascii="Arial" w:cs="Arial" w:eastAsia="Arial" w:hAnsi="Arial"/>
          <w:sz w:val="18"/>
          <w:szCs w:val="18"/>
          <w:color w:val="auto"/>
        </w:rPr>
        <w:t>, an antibody to PCSK9, a novel target for LDL cholesterol reduction, is in Phase 1 studies using both intravenous and subcutaneous routes of</w:t>
      </w:r>
      <w:r>
        <w:rPr>
          <w:rFonts w:ascii="Arial" w:cs="Arial" w:eastAsia="Arial" w:hAnsi="Arial"/>
          <w:sz w:val="18"/>
          <w:szCs w:val="18"/>
          <w:i w:val="1"/>
          <w:iCs w:val="1"/>
          <w:color w:val="auto"/>
        </w:rPr>
        <w:t xml:space="preserve"> </w:t>
      </w:r>
      <w:r>
        <w:rPr>
          <w:rFonts w:ascii="Arial" w:cs="Arial" w:eastAsia="Arial" w:hAnsi="Arial"/>
          <w:sz w:val="18"/>
          <w:szCs w:val="18"/>
          <w:color w:val="auto"/>
        </w:rPr>
        <w:t>administration. REGN727 is being studied as a single agent and in combination with statin therapy. A Phase 2 program is expected to begin in the first half of 2011.</w:t>
      </w:r>
    </w:p>
    <w:p>
      <w:pPr>
        <w:spacing w:after="0" w:line="221" w:lineRule="exact"/>
        <w:rPr>
          <w:sz w:val="20"/>
          <w:szCs w:val="20"/>
          <w:color w:val="auto"/>
        </w:rPr>
      </w:pPr>
    </w:p>
    <w:p>
      <w:pPr>
        <w:spacing w:after="0" w:line="268" w:lineRule="auto"/>
        <w:rPr>
          <w:sz w:val="20"/>
          <w:szCs w:val="20"/>
          <w:color w:val="auto"/>
        </w:rPr>
      </w:pPr>
      <w:r>
        <w:rPr>
          <w:rFonts w:ascii="Arial" w:cs="Arial" w:eastAsia="Arial" w:hAnsi="Arial"/>
          <w:sz w:val="18"/>
          <w:szCs w:val="18"/>
          <w:i w:val="1"/>
          <w:iCs w:val="1"/>
          <w:u w:val="single" w:color="auto"/>
          <w:color w:val="auto"/>
        </w:rPr>
        <w:t>REGN88</w:t>
      </w:r>
      <w:r>
        <w:rPr>
          <w:rFonts w:ascii="Arial" w:cs="Arial" w:eastAsia="Arial" w:hAnsi="Arial"/>
          <w:sz w:val="18"/>
          <w:szCs w:val="18"/>
          <w:i w:val="1"/>
          <w:iCs w:val="1"/>
          <w:color w:val="auto"/>
        </w:rPr>
        <w:t xml:space="preserve">, </w:t>
      </w:r>
      <w:r>
        <w:rPr>
          <w:rFonts w:ascii="Arial" w:cs="Arial" w:eastAsia="Arial" w:hAnsi="Arial"/>
          <w:sz w:val="18"/>
          <w:szCs w:val="18"/>
          <w:color w:val="auto"/>
        </w:rPr>
        <w:t>an antibody to the interleukin-6 receptor (IL-6R), is in a Phase 2/3 study in rheumatoid arthritis and a Phase 2 study in ankylosing spondylitis, a form of</w:t>
      </w:r>
      <w:r>
        <w:rPr>
          <w:rFonts w:ascii="Arial" w:cs="Arial" w:eastAsia="Arial" w:hAnsi="Arial"/>
          <w:sz w:val="18"/>
          <w:szCs w:val="18"/>
          <w:i w:val="1"/>
          <w:iCs w:val="1"/>
          <w:color w:val="auto"/>
        </w:rPr>
        <w:t xml:space="preserve"> </w:t>
      </w:r>
      <w:r>
        <w:rPr>
          <w:rFonts w:ascii="Arial" w:cs="Arial" w:eastAsia="Arial" w:hAnsi="Arial"/>
          <w:sz w:val="18"/>
          <w:szCs w:val="18"/>
          <w:color w:val="auto"/>
        </w:rPr>
        <w:t>arthritis that primarily affects the spine. Both studies are enrolling patients.</w:t>
      </w:r>
    </w:p>
    <w:p>
      <w:pPr>
        <w:spacing w:after="0" w:line="213" w:lineRule="exact"/>
        <w:rPr>
          <w:sz w:val="20"/>
          <w:szCs w:val="20"/>
          <w:color w:val="auto"/>
        </w:rPr>
      </w:pPr>
    </w:p>
    <w:p>
      <w:pPr>
        <w:spacing w:after="0"/>
        <w:rPr>
          <w:sz w:val="20"/>
          <w:szCs w:val="20"/>
          <w:color w:val="auto"/>
        </w:rPr>
      </w:pPr>
      <w:r>
        <w:rPr>
          <w:rFonts w:ascii="Arial" w:cs="Arial" w:eastAsia="Arial" w:hAnsi="Arial"/>
          <w:sz w:val="16"/>
          <w:szCs w:val="16"/>
          <w:i w:val="1"/>
          <w:iCs w:val="1"/>
          <w:u w:val="single" w:color="auto"/>
          <w:color w:val="auto"/>
        </w:rPr>
        <w:t>REGN421</w:t>
      </w:r>
      <w:r>
        <w:rPr>
          <w:rFonts w:ascii="Arial" w:cs="Arial" w:eastAsia="Arial" w:hAnsi="Arial"/>
          <w:sz w:val="16"/>
          <w:szCs w:val="16"/>
          <w:color w:val="auto"/>
        </w:rPr>
        <w:t>, an antibody to Delta-like ligand-4 (Dll4), a novel anti-angiogenesis target, is in a Phase 1 study in patients with advanced malignancies.</w:t>
      </w:r>
    </w:p>
    <w:p>
      <w:pPr>
        <w:spacing w:after="0" w:line="275" w:lineRule="exact"/>
        <w:rPr>
          <w:sz w:val="20"/>
          <w:szCs w:val="20"/>
          <w:color w:val="auto"/>
        </w:rPr>
      </w:pPr>
    </w:p>
    <w:p>
      <w:pPr>
        <w:ind w:right="40"/>
        <w:spacing w:after="0" w:line="268" w:lineRule="auto"/>
        <w:rPr>
          <w:sz w:val="20"/>
          <w:szCs w:val="20"/>
          <w:color w:val="auto"/>
        </w:rPr>
      </w:pPr>
      <w:r>
        <w:rPr>
          <w:rFonts w:ascii="Arial" w:cs="Arial" w:eastAsia="Arial" w:hAnsi="Arial"/>
          <w:sz w:val="18"/>
          <w:szCs w:val="18"/>
          <w:i w:val="1"/>
          <w:iCs w:val="1"/>
          <w:u w:val="single" w:color="auto"/>
          <w:color w:val="auto"/>
        </w:rPr>
        <w:t>REGN668</w:t>
      </w:r>
      <w:r>
        <w:rPr>
          <w:rFonts w:ascii="Arial" w:cs="Arial" w:eastAsia="Arial" w:hAnsi="Arial"/>
          <w:sz w:val="18"/>
          <w:szCs w:val="18"/>
          <w:color w:val="auto"/>
        </w:rPr>
        <w:t>, an antibody to the interleukin-4 receptor (IL-4R), a target for allergic and immune conditions, has completed Phase 1 testing in healthy volunteers and</w:t>
      </w:r>
      <w:r>
        <w:rPr>
          <w:rFonts w:ascii="Arial" w:cs="Arial" w:eastAsia="Arial" w:hAnsi="Arial"/>
          <w:sz w:val="18"/>
          <w:szCs w:val="18"/>
          <w:i w:val="1"/>
          <w:iCs w:val="1"/>
          <w:color w:val="auto"/>
        </w:rPr>
        <w:t xml:space="preserve"> </w:t>
      </w:r>
      <w:r>
        <w:rPr>
          <w:rFonts w:ascii="Arial" w:cs="Arial" w:eastAsia="Arial" w:hAnsi="Arial"/>
          <w:sz w:val="18"/>
          <w:szCs w:val="18"/>
          <w:color w:val="auto"/>
        </w:rPr>
        <w:t>will be entering a Phase 2 study in patients with atopic dermatitis in the fourth quarter of 2010.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207010</wp:posOffset>
            </wp:positionV>
            <wp:extent cx="7267575" cy="2159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267575" cy="21590"/>
                    </a:xfrm>
                    <a:prstGeom prst="rect">
                      <a:avLst/>
                    </a:prstGeom>
                    <a:noFill/>
                  </pic:spPr>
                </pic:pic>
              </a:graphicData>
            </a:graphic>
          </wp:anchor>
        </w:drawing>
      </w:r>
    </w:p>
    <w:p>
      <w:pPr>
        <w:sectPr>
          <w:pgSz w:w="11900" w:h="16838" w:orient="portrait"/>
          <w:cols w:equalWidth="0" w:num="1">
            <w:col w:w="11400"/>
          </w:cols>
          <w:pgMar w:left="240" w:top="617" w:right="259" w:bottom="1440" w:gutter="0" w:footer="0" w:header="0"/>
        </w:sectPr>
      </w:pPr>
    </w:p>
    <w:bookmarkStart w:id="7" w:name="page8"/>
    <w:bookmarkEnd w:id="7"/>
    <w:p>
      <w:pPr>
        <w:ind w:right="100"/>
        <w:spacing w:after="0" w:line="255" w:lineRule="auto"/>
        <w:rPr>
          <w:sz w:val="20"/>
          <w:szCs w:val="20"/>
          <w:color w:val="auto"/>
        </w:rPr>
      </w:pPr>
      <w:r>
        <w:rPr>
          <w:rFonts w:ascii="Arial" w:cs="Arial" w:eastAsia="Arial" w:hAnsi="Arial"/>
          <w:sz w:val="18"/>
          <w:szCs w:val="18"/>
          <w:i w:val="1"/>
          <w:iCs w:val="1"/>
          <w:u w:val="single" w:color="auto"/>
          <w:color w:val="auto"/>
        </w:rPr>
        <w:t>REGN475</w:t>
      </w:r>
      <w:r>
        <w:rPr>
          <w:rFonts w:ascii="Arial" w:cs="Arial" w:eastAsia="Arial" w:hAnsi="Arial"/>
          <w:sz w:val="18"/>
          <w:szCs w:val="18"/>
          <w:color w:val="auto"/>
        </w:rPr>
        <w:t>, an antibody to nerve growth factor (NGF), is being evaluated in Phase 2 studies in osteoarthritis of the knee and other pain indications. At the request</w:t>
      </w:r>
      <w:r>
        <w:rPr>
          <w:rFonts w:ascii="Arial" w:cs="Arial" w:eastAsia="Arial" w:hAnsi="Arial"/>
          <w:sz w:val="18"/>
          <w:szCs w:val="18"/>
          <w:i w:val="1"/>
          <w:iCs w:val="1"/>
          <w:color w:val="auto"/>
        </w:rPr>
        <w:t xml:space="preserve"> </w:t>
      </w:r>
      <w:r>
        <w:rPr>
          <w:rFonts w:ascii="Arial" w:cs="Arial" w:eastAsia="Arial" w:hAnsi="Arial"/>
          <w:sz w:val="18"/>
          <w:szCs w:val="18"/>
          <w:color w:val="auto"/>
        </w:rPr>
        <w:t>of the FDA, another pharmaceutical company has suspended its anti-NGF antibody clinical program in osteoarthritis and certain other chronic pain indications. Regeneron has responded to FDA requests for information about patients in the Company’s REGN475 clinical trials. REGN475 is currently not on clinical hold, and the Company’s Phase 2 trials in patients with vertebral fracture pain and chronic pancreatitis pain are ongoing. The Company’s Phase 2 trial in osteoarthritis of the knee has been completed.</w:t>
      </w:r>
    </w:p>
    <w:p>
      <w:pPr>
        <w:spacing w:after="0" w:line="224" w:lineRule="exact"/>
        <w:rPr>
          <w:sz w:val="20"/>
          <w:szCs w:val="20"/>
          <w:color w:val="auto"/>
        </w:rPr>
      </w:pPr>
    </w:p>
    <w:p>
      <w:pPr>
        <w:ind w:right="100"/>
        <w:spacing w:after="0" w:line="268" w:lineRule="auto"/>
        <w:rPr>
          <w:sz w:val="20"/>
          <w:szCs w:val="20"/>
          <w:color w:val="auto"/>
        </w:rPr>
      </w:pPr>
      <w:r>
        <w:rPr>
          <w:rFonts w:ascii="Arial" w:cs="Arial" w:eastAsia="Arial" w:hAnsi="Arial"/>
          <w:sz w:val="18"/>
          <w:szCs w:val="18"/>
          <w:i w:val="1"/>
          <w:iCs w:val="1"/>
          <w:u w:val="single" w:color="auto"/>
          <w:color w:val="auto"/>
        </w:rPr>
        <w:t>REGN910</w:t>
      </w:r>
      <w:r>
        <w:rPr>
          <w:rFonts w:ascii="Arial" w:cs="Arial" w:eastAsia="Arial" w:hAnsi="Arial"/>
          <w:sz w:val="18"/>
          <w:szCs w:val="18"/>
          <w:i w:val="1"/>
          <w:iCs w:val="1"/>
          <w:color w:val="auto"/>
        </w:rPr>
        <w:t xml:space="preserve"> </w:t>
      </w:r>
      <w:r>
        <w:rPr>
          <w:rFonts w:ascii="Arial" w:cs="Arial" w:eastAsia="Arial" w:hAnsi="Arial"/>
          <w:sz w:val="18"/>
          <w:szCs w:val="18"/>
          <w:color w:val="auto"/>
        </w:rPr>
        <w:t>is an antibody to angiopoietin-2 (ANG2), a novel angiogenesis target. An Investigational New Drug Application (IND) for REGN910 in the oncology</w:t>
      </w:r>
      <w:r>
        <w:rPr>
          <w:rFonts w:ascii="Arial" w:cs="Arial" w:eastAsia="Arial" w:hAnsi="Arial"/>
          <w:sz w:val="18"/>
          <w:szCs w:val="18"/>
          <w:i w:val="1"/>
          <w:iCs w:val="1"/>
          <w:color w:val="auto"/>
        </w:rPr>
        <w:t xml:space="preserve"> </w:t>
      </w:r>
      <w:r>
        <w:rPr>
          <w:rFonts w:ascii="Arial" w:cs="Arial" w:eastAsia="Arial" w:hAnsi="Arial"/>
          <w:sz w:val="18"/>
          <w:szCs w:val="18"/>
          <w:color w:val="auto"/>
        </w:rPr>
        <w:t>setting is expected to be filed by the end of 2010.</w:t>
      </w:r>
    </w:p>
    <w:p>
      <w:pPr>
        <w:spacing w:after="0" w:line="213" w:lineRule="exact"/>
        <w:rPr>
          <w:sz w:val="20"/>
          <w:szCs w:val="20"/>
          <w:color w:val="auto"/>
        </w:rPr>
      </w:pPr>
    </w:p>
    <w:p>
      <w:pPr>
        <w:spacing w:after="0"/>
        <w:rPr>
          <w:sz w:val="20"/>
          <w:szCs w:val="20"/>
          <w:color w:val="auto"/>
        </w:rPr>
      </w:pPr>
      <w:r>
        <w:rPr>
          <w:rFonts w:ascii="Arial" w:cs="Arial" w:eastAsia="Arial" w:hAnsi="Arial"/>
          <w:sz w:val="18"/>
          <w:szCs w:val="18"/>
          <w:color w:val="auto"/>
        </w:rPr>
        <w:t>We plan to initiate clinical trials with two additional antibodies by the end of the year, REGN846 and REGN728.</w:t>
      </w:r>
    </w:p>
    <w:p>
      <w:pPr>
        <w:spacing w:after="0" w:line="24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Financial Results</w:t>
      </w:r>
    </w:p>
    <w:p>
      <w:pPr>
        <w:spacing w:after="0" w:line="258" w:lineRule="exact"/>
        <w:rPr>
          <w:sz w:val="20"/>
          <w:szCs w:val="20"/>
          <w:color w:val="auto"/>
        </w:rPr>
      </w:pPr>
    </w:p>
    <w:p>
      <w:pPr>
        <w:ind w:right="140"/>
        <w:spacing w:after="0" w:line="294" w:lineRule="auto"/>
        <w:rPr>
          <w:sz w:val="20"/>
          <w:szCs w:val="20"/>
          <w:color w:val="auto"/>
        </w:rPr>
      </w:pPr>
      <w:r>
        <w:rPr>
          <w:rFonts w:ascii="Arial" w:cs="Arial" w:eastAsia="Arial" w:hAnsi="Arial"/>
          <w:sz w:val="16"/>
          <w:szCs w:val="16"/>
          <w:color w:val="auto"/>
        </w:rPr>
        <w:t>The Company’s total revenues decreased to $106.0 million in the third quarter of 2010 from $117.5 million in the same quarter of 2009, primarily due to the receipt of a $20.0 million substantive milestone payment from Bayer HealthCare in the third quarter of 2009, partly offset by higher collaboration revenue in the third quarter of 2010 in connection with the Company’s antibody collaboration with sanofi-aventis. Total revenues increased to $325.4 million for the first nine months of 2010 from $282.5 million for the same period of 2009, primarily due to higher collaboration revenue in 2010 in connection with the Company’s antibody collaboration with sanofi-aventis, partly offset by the receipt of the $20.0 million substantive milestone payment from Bayer HealthCare in 2009.</w:t>
      </w:r>
    </w:p>
    <w:p>
      <w:pPr>
        <w:spacing w:after="0" w:line="197" w:lineRule="exact"/>
        <w:rPr>
          <w:sz w:val="20"/>
          <w:szCs w:val="20"/>
          <w:color w:val="auto"/>
        </w:rPr>
      </w:pPr>
    </w:p>
    <w:p>
      <w:pPr>
        <w:spacing w:after="0" w:line="256" w:lineRule="auto"/>
        <w:rPr>
          <w:sz w:val="20"/>
          <w:szCs w:val="20"/>
          <w:color w:val="auto"/>
        </w:rPr>
      </w:pPr>
      <w:r>
        <w:rPr>
          <w:rFonts w:ascii="Arial" w:cs="Arial" w:eastAsia="Arial" w:hAnsi="Arial"/>
          <w:sz w:val="18"/>
          <w:szCs w:val="18"/>
          <w:color w:val="auto"/>
        </w:rPr>
        <w:t>The Company’s total operating expenses increased to $138.1 million in the third quarter of 2010 from $118.7 million in the same quarter of 2009, and to $410.1 million for the first nine months of 2010 from $317.2 million for the same period of 2009, primarily due to higher research and development expenses in connection with the Company’s higher employee headcount and expanding research and development activities in 2010, principally in connection with the sanofi-aventis antibody collaboration.</w:t>
      </w:r>
    </w:p>
    <w:p>
      <w:pPr>
        <w:spacing w:after="0" w:line="224" w:lineRule="exact"/>
        <w:rPr>
          <w:sz w:val="20"/>
          <w:szCs w:val="20"/>
          <w:color w:val="auto"/>
        </w:rPr>
      </w:pPr>
    </w:p>
    <w:p>
      <w:pPr>
        <w:spacing w:after="0"/>
        <w:rPr>
          <w:sz w:val="20"/>
          <w:szCs w:val="20"/>
          <w:color w:val="auto"/>
        </w:rPr>
      </w:pPr>
      <w:r>
        <w:rPr>
          <w:rFonts w:ascii="Arial" w:cs="Arial" w:eastAsia="Arial" w:hAnsi="Arial"/>
          <w:sz w:val="16"/>
          <w:szCs w:val="16"/>
          <w:color w:val="auto"/>
        </w:rPr>
        <w:t>The Company had a net loss of $33.9 million, or $0.41 per share (basic and diluted), for the third quarter of 2010 compared with a net loss of $1.0 million, or</w:t>
      </w:r>
    </w:p>
    <w:p>
      <w:pPr>
        <w:spacing w:after="0" w:line="38" w:lineRule="exact"/>
        <w:rPr>
          <w:sz w:val="20"/>
          <w:szCs w:val="20"/>
          <w:color w:val="auto"/>
        </w:rPr>
      </w:pPr>
    </w:p>
    <w:p>
      <w:pPr>
        <w:ind w:right="60"/>
        <w:spacing w:after="0" w:line="323" w:lineRule="auto"/>
        <w:rPr>
          <w:sz w:val="20"/>
          <w:szCs w:val="20"/>
          <w:color w:val="auto"/>
        </w:rPr>
      </w:pPr>
      <w:r>
        <w:rPr>
          <w:rFonts w:ascii="Arial" w:cs="Arial" w:eastAsia="Arial" w:hAnsi="Arial"/>
          <w:sz w:val="16"/>
          <w:szCs w:val="16"/>
          <w:color w:val="auto"/>
        </w:rPr>
        <w:t>$0.01 per share (basic and diluted), for the third quarter of 2009. The Company had a net loss of $89.9 million, or $1.10 per share (basic and diluted), for the nine months ended September 30, 2010 compared with a net loss of $31.3 million, or $0.39 per share (basic and diluted), for the same period in 2009.</w:t>
      </w:r>
    </w:p>
    <w:p>
      <w:pPr>
        <w:spacing w:after="0" w:line="174" w:lineRule="exact"/>
        <w:rPr>
          <w:sz w:val="20"/>
          <w:szCs w:val="20"/>
          <w:color w:val="auto"/>
        </w:rPr>
      </w:pPr>
    </w:p>
    <w:p>
      <w:pPr>
        <w:ind w:right="140"/>
        <w:spacing w:after="0" w:line="256" w:lineRule="auto"/>
        <w:rPr>
          <w:sz w:val="20"/>
          <w:szCs w:val="20"/>
          <w:color w:val="auto"/>
        </w:rPr>
      </w:pPr>
      <w:r>
        <w:rPr>
          <w:rFonts w:ascii="Arial" w:cs="Arial" w:eastAsia="Arial" w:hAnsi="Arial"/>
          <w:sz w:val="18"/>
          <w:szCs w:val="18"/>
          <w:color w:val="auto"/>
        </w:rPr>
        <w:t>At September 30, 2010, cash, restricted cash, and marketable securities totaled $520.4 million compared with $390.0 million at December 31, 2009. Cash, restricted cash, and marketable securities at the end of the third quarter of 2010 included the $165.0 million up-front payment received in August 2010 from Astellas, as described above. Regeneron currently estimates that year-end 2010 cash, restricted cash, and marketable securities, including the net proceeds of the Company’s public offering, as described above, will total $600 – $620 million.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351790</wp:posOffset>
            </wp:positionV>
            <wp:extent cx="7267575" cy="2159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267575" cy="21590"/>
                    </a:xfrm>
                    <a:prstGeom prst="rect">
                      <a:avLst/>
                    </a:prstGeom>
                    <a:noFill/>
                  </pic:spPr>
                </pic:pic>
              </a:graphicData>
            </a:graphic>
          </wp:anchor>
        </w:drawing>
      </w:r>
    </w:p>
    <w:p>
      <w:pPr>
        <w:sectPr>
          <w:pgSz w:w="11900" w:h="16838" w:orient="portrait"/>
          <w:cols w:equalWidth="0" w:num="1">
            <w:col w:w="11420"/>
          </w:cols>
          <w:pgMar w:left="240" w:top="617" w:right="239" w:bottom="1440" w:gutter="0" w:footer="0" w:header="0"/>
        </w:sectPr>
      </w:pPr>
    </w:p>
    <w:bookmarkStart w:id="8" w:name="page9"/>
    <w:bookmarkEnd w:id="8"/>
    <w:p>
      <w:pPr>
        <w:spacing w:after="0"/>
        <w:rPr>
          <w:sz w:val="20"/>
          <w:szCs w:val="20"/>
          <w:color w:val="auto"/>
        </w:rPr>
      </w:pPr>
      <w:r>
        <w:rPr>
          <w:rFonts w:ascii="Arial" w:cs="Arial" w:eastAsia="Arial" w:hAnsi="Arial"/>
          <w:sz w:val="18"/>
          <w:szCs w:val="18"/>
          <w:b w:val="1"/>
          <w:bCs w:val="1"/>
          <w:color w:val="auto"/>
        </w:rPr>
        <w:t>About Regeneron Pharmaceuticals</w:t>
      </w:r>
    </w:p>
    <w:p>
      <w:pPr>
        <w:spacing w:after="0" w:line="21" w:lineRule="exact"/>
        <w:rPr>
          <w:sz w:val="20"/>
          <w:szCs w:val="20"/>
          <w:color w:val="auto"/>
        </w:rPr>
      </w:pPr>
    </w:p>
    <w:p>
      <w:pPr>
        <w:ind w:right="80"/>
        <w:spacing w:after="0" w:line="269" w:lineRule="auto"/>
        <w:rPr>
          <w:sz w:val="20"/>
          <w:szCs w:val="20"/>
          <w:color w:val="auto"/>
        </w:rPr>
      </w:pPr>
      <w:r>
        <w:rPr>
          <w:rFonts w:ascii="Arial" w:cs="Arial" w:eastAsia="Arial" w:hAnsi="Arial"/>
          <w:sz w:val="16"/>
          <w:szCs w:val="16"/>
          <w:color w:val="auto"/>
        </w:rPr>
        <w:t>Regeneron is a fully integrated biopharmaceutical company that discovers, develops, and commercializes medicines for the treatment of serious medical conditions. In addition to ARCALYST</w:t>
      </w:r>
      <w:r>
        <w:rPr>
          <w:rFonts w:ascii="Arial" w:cs="Arial" w:eastAsia="Arial" w:hAnsi="Arial"/>
          <w:sz w:val="22"/>
          <w:szCs w:val="22"/>
          <w:color w:val="auto"/>
          <w:vertAlign w:val="superscript"/>
        </w:rPr>
        <w:t>®</w:t>
      </w:r>
      <w:r>
        <w:rPr>
          <w:rFonts w:ascii="Arial" w:cs="Arial" w:eastAsia="Arial" w:hAnsi="Arial"/>
          <w:sz w:val="16"/>
          <w:szCs w:val="16"/>
          <w:color w:val="auto"/>
        </w:rPr>
        <w:t xml:space="preserve"> (rilonacept) Injection for Subcutaneous Use, its first commercialized product, Regeneron has therapeutic candidates in Phase 3 clinical trials for the potential treatment of gout, diseases of the eye (wet age-related macular degeneration and central retinal vein occlusion), and certain cancers. Additional therapeutic candidates developed from proprietary Regeneron technologies for creating fully human monoclonal antibodies are in earlier stage development programs in rheumatoid arthritis and other inflammatory conditions, pain, cholesterol reduction, allergic and immune conditions, and cancer. Additional information about Regeneron and recent news releases are available on Regeneron’s web site at www.regeneron.com.</w:t>
      </w:r>
    </w:p>
    <w:p>
      <w:pPr>
        <w:spacing w:after="0" w:line="219" w:lineRule="exact"/>
        <w:rPr>
          <w:sz w:val="20"/>
          <w:szCs w:val="20"/>
          <w:color w:val="auto"/>
        </w:rPr>
      </w:pPr>
    </w:p>
    <w:p>
      <w:pPr>
        <w:ind w:right="40"/>
        <w:spacing w:after="0" w:line="287" w:lineRule="auto"/>
        <w:rPr>
          <w:sz w:val="20"/>
          <w:szCs w:val="20"/>
          <w:color w:val="auto"/>
        </w:rPr>
      </w:pPr>
      <w:r>
        <w:rPr>
          <w:rFonts w:ascii="Arial" w:cs="Arial" w:eastAsia="Arial" w:hAnsi="Arial"/>
          <w:sz w:val="16"/>
          <w:szCs w:val="16"/>
          <w:color w:val="auto"/>
        </w:rPr>
        <w:t>This news release discusses historical information and includes forward-looking statements about Regeneron and its products, development programs, finances, and business, all of which involve a number of risks and uncertainties. These include, among others, risks and timing associated with preclinical and clinical development of Regeneron’s drug candidates, determinations by regulatory and administrative governmental authorities which may delay or restrict Regeneron’s ability to continue to develop or commercialize its product and drug candidates, competing drugs that are superior to Regeneron’s product and drug candidates, uncertainty of market acceptance of Regeneron’s product and drug candidates, unanticipated expenses, the availability and cost of capital, the costs of developing, producing, and selling products, the potential for any collaboration agreement, including Regeneron’s agreements with the sanof i-aventis Group and Bayer HealthCare, to be canceled or terminated without any product success, and risks associated with third party intellectual property. A more complete description of these and other material risks can be found in Regeneron’s filings with the United States Securities and Exchange Commission (SEC), including its Form 10-K for the year ended December 31, 2009 and Form 10-Q for the quarter ended September 30, 2010. Regeneron does not undertake any obligation to update publicly any forward-looking statement, whether as a result of new information, future events, or otherwise, unless required by law.</w:t>
      </w:r>
    </w:p>
    <w:p>
      <w:pPr>
        <w:spacing w:after="0" w:line="204" w:lineRule="exact"/>
        <w:rPr>
          <w:sz w:val="20"/>
          <w:szCs w:val="20"/>
          <w:color w:val="auto"/>
        </w:rPr>
      </w:pPr>
    </w:p>
    <w:tbl>
      <w:tblPr>
        <w:tblLayout w:type="fixed"/>
        <w:tblInd w:w="0" w:type="dxa"/>
        <w:tblCellMar>
          <w:top w:w="0" w:type="dxa"/>
          <w:left w:w="0" w:type="dxa"/>
          <w:bottom w:w="0" w:type="dxa"/>
          <w:right w:w="0" w:type="dxa"/>
        </w:tblCellMar>
      </w:tblPr>
      <w:tr>
        <w:trPr>
          <w:trHeight w:val="222"/>
        </w:trPr>
        <w:tc>
          <w:tcPr>
            <w:tcW w:w="3980" w:type="dxa"/>
            <w:vAlign w:val="bottom"/>
          </w:tcPr>
          <w:p>
            <w:pPr>
              <w:spacing w:after="0"/>
              <w:rPr>
                <w:sz w:val="19"/>
                <w:szCs w:val="19"/>
                <w:color w:val="auto"/>
              </w:rPr>
            </w:pPr>
          </w:p>
        </w:tc>
        <w:tc>
          <w:tcPr>
            <w:tcW w:w="7460" w:type="dxa"/>
            <w:vAlign w:val="bottom"/>
          </w:tcPr>
          <w:p>
            <w:pPr>
              <w:ind w:left="1560"/>
              <w:spacing w:after="0"/>
              <w:rPr>
                <w:sz w:val="20"/>
                <w:szCs w:val="20"/>
                <w:color w:val="auto"/>
              </w:rPr>
            </w:pPr>
            <w:r>
              <w:rPr>
                <w:rFonts w:ascii="Arial" w:cs="Arial" w:eastAsia="Arial" w:hAnsi="Arial"/>
                <w:sz w:val="18"/>
                <w:szCs w:val="18"/>
                <w:color w:val="auto"/>
              </w:rPr>
              <w:t># # #</w:t>
            </w:r>
          </w:p>
        </w:tc>
      </w:tr>
      <w:tr>
        <w:trPr>
          <w:trHeight w:val="473"/>
        </w:trPr>
        <w:tc>
          <w:tcPr>
            <w:tcW w:w="3980" w:type="dxa"/>
            <w:vAlign w:val="bottom"/>
          </w:tcPr>
          <w:p>
            <w:pPr>
              <w:spacing w:after="0"/>
              <w:rPr>
                <w:sz w:val="20"/>
                <w:szCs w:val="20"/>
                <w:color w:val="auto"/>
              </w:rPr>
            </w:pPr>
            <w:r>
              <w:rPr>
                <w:rFonts w:ascii="Arial" w:cs="Arial" w:eastAsia="Arial" w:hAnsi="Arial"/>
                <w:sz w:val="18"/>
                <w:szCs w:val="18"/>
                <w:b w:val="1"/>
                <w:bCs w:val="1"/>
                <w:color w:val="auto"/>
              </w:rPr>
              <w:t>Contacts Information:</w:t>
            </w:r>
          </w:p>
        </w:tc>
        <w:tc>
          <w:tcPr>
            <w:tcW w:w="7460" w:type="dxa"/>
            <w:vAlign w:val="bottom"/>
          </w:tcPr>
          <w:p>
            <w:pPr>
              <w:spacing w:after="0"/>
              <w:rPr>
                <w:sz w:val="24"/>
                <w:szCs w:val="24"/>
                <w:color w:val="auto"/>
              </w:rPr>
            </w:pPr>
          </w:p>
        </w:tc>
      </w:tr>
      <w:tr>
        <w:trPr>
          <w:trHeight w:val="486"/>
        </w:trPr>
        <w:tc>
          <w:tcPr>
            <w:tcW w:w="3980" w:type="dxa"/>
            <w:vAlign w:val="bottom"/>
          </w:tcPr>
          <w:p>
            <w:pPr>
              <w:spacing w:after="0"/>
              <w:rPr>
                <w:sz w:val="20"/>
                <w:szCs w:val="20"/>
                <w:color w:val="auto"/>
              </w:rPr>
            </w:pPr>
            <w:r>
              <w:rPr>
                <w:rFonts w:ascii="Arial" w:cs="Arial" w:eastAsia="Arial" w:hAnsi="Arial"/>
                <w:sz w:val="18"/>
                <w:szCs w:val="18"/>
                <w:color w:val="auto"/>
              </w:rPr>
              <w:t>Michael Aberman, M.D.</w:t>
            </w:r>
          </w:p>
        </w:tc>
        <w:tc>
          <w:tcPr>
            <w:tcW w:w="7460" w:type="dxa"/>
            <w:vAlign w:val="bottom"/>
          </w:tcPr>
          <w:p>
            <w:pPr>
              <w:ind w:left="1780"/>
              <w:spacing w:after="0"/>
              <w:rPr>
                <w:sz w:val="20"/>
                <w:szCs w:val="20"/>
                <w:color w:val="auto"/>
              </w:rPr>
            </w:pPr>
            <w:r>
              <w:rPr>
                <w:rFonts w:ascii="Arial" w:cs="Arial" w:eastAsia="Arial" w:hAnsi="Arial"/>
                <w:sz w:val="18"/>
                <w:szCs w:val="18"/>
                <w:color w:val="auto"/>
              </w:rPr>
              <w:t>Peter Dworkin</w:t>
            </w:r>
          </w:p>
        </w:tc>
      </w:tr>
      <w:tr>
        <w:trPr>
          <w:trHeight w:val="243"/>
        </w:trPr>
        <w:tc>
          <w:tcPr>
            <w:tcW w:w="3980" w:type="dxa"/>
            <w:vAlign w:val="bottom"/>
          </w:tcPr>
          <w:p>
            <w:pPr>
              <w:spacing w:after="0"/>
              <w:rPr>
                <w:sz w:val="20"/>
                <w:szCs w:val="20"/>
                <w:color w:val="auto"/>
              </w:rPr>
            </w:pPr>
            <w:r>
              <w:rPr>
                <w:rFonts w:ascii="Arial" w:cs="Arial" w:eastAsia="Arial" w:hAnsi="Arial"/>
                <w:sz w:val="18"/>
                <w:szCs w:val="18"/>
                <w:color w:val="auto"/>
              </w:rPr>
              <w:t>Investor Relations</w:t>
            </w:r>
          </w:p>
        </w:tc>
        <w:tc>
          <w:tcPr>
            <w:tcW w:w="7460" w:type="dxa"/>
            <w:vAlign w:val="bottom"/>
          </w:tcPr>
          <w:p>
            <w:pPr>
              <w:ind w:left="1780"/>
              <w:spacing w:after="0"/>
              <w:rPr>
                <w:sz w:val="20"/>
                <w:szCs w:val="20"/>
                <w:color w:val="auto"/>
              </w:rPr>
            </w:pPr>
            <w:r>
              <w:rPr>
                <w:rFonts w:ascii="Arial" w:cs="Arial" w:eastAsia="Arial" w:hAnsi="Arial"/>
                <w:sz w:val="18"/>
                <w:szCs w:val="18"/>
                <w:color w:val="auto"/>
              </w:rPr>
              <w:t>Corporate Communications</w:t>
            </w:r>
          </w:p>
        </w:tc>
      </w:tr>
      <w:tr>
        <w:trPr>
          <w:trHeight w:val="243"/>
        </w:trPr>
        <w:tc>
          <w:tcPr>
            <w:tcW w:w="3980" w:type="dxa"/>
            <w:vAlign w:val="bottom"/>
          </w:tcPr>
          <w:p>
            <w:pPr>
              <w:spacing w:after="0"/>
              <w:rPr>
                <w:sz w:val="20"/>
                <w:szCs w:val="20"/>
                <w:color w:val="auto"/>
              </w:rPr>
            </w:pPr>
            <w:r>
              <w:rPr>
                <w:rFonts w:ascii="Arial" w:cs="Arial" w:eastAsia="Arial" w:hAnsi="Arial"/>
                <w:sz w:val="18"/>
                <w:szCs w:val="18"/>
                <w:color w:val="auto"/>
              </w:rPr>
              <w:t>914.345.7799</w:t>
            </w:r>
          </w:p>
        </w:tc>
        <w:tc>
          <w:tcPr>
            <w:tcW w:w="7460" w:type="dxa"/>
            <w:vAlign w:val="bottom"/>
          </w:tcPr>
          <w:p>
            <w:pPr>
              <w:ind w:left="1780"/>
              <w:spacing w:after="0"/>
              <w:rPr>
                <w:sz w:val="20"/>
                <w:szCs w:val="20"/>
                <w:color w:val="auto"/>
              </w:rPr>
            </w:pPr>
            <w:r>
              <w:rPr>
                <w:rFonts w:ascii="Arial" w:cs="Arial" w:eastAsia="Arial" w:hAnsi="Arial"/>
                <w:sz w:val="18"/>
                <w:szCs w:val="18"/>
                <w:color w:val="auto"/>
              </w:rPr>
              <w:t>914.345.7640</w:t>
            </w:r>
          </w:p>
        </w:tc>
      </w:tr>
      <w:tr>
        <w:trPr>
          <w:trHeight w:val="243"/>
        </w:trPr>
        <w:tc>
          <w:tcPr>
            <w:tcW w:w="3980" w:type="dxa"/>
            <w:vAlign w:val="bottom"/>
          </w:tcPr>
          <w:p>
            <w:pPr>
              <w:spacing w:after="0"/>
              <w:rPr>
                <w:sz w:val="20"/>
                <w:szCs w:val="20"/>
                <w:color w:val="auto"/>
              </w:rPr>
            </w:pPr>
            <w:r>
              <w:rPr>
                <w:rFonts w:ascii="Arial" w:cs="Arial" w:eastAsia="Arial" w:hAnsi="Arial"/>
                <w:sz w:val="18"/>
                <w:szCs w:val="18"/>
                <w:color w:val="auto"/>
              </w:rPr>
              <w:t>michael.aberman@regeneron.com</w:t>
            </w:r>
          </w:p>
        </w:tc>
        <w:tc>
          <w:tcPr>
            <w:tcW w:w="7460" w:type="dxa"/>
            <w:vAlign w:val="bottom"/>
          </w:tcPr>
          <w:p>
            <w:pPr>
              <w:ind w:left="1780"/>
              <w:spacing w:after="0"/>
              <w:rPr>
                <w:sz w:val="20"/>
                <w:szCs w:val="20"/>
                <w:color w:val="auto"/>
              </w:rPr>
            </w:pPr>
            <w:r>
              <w:rPr>
                <w:rFonts w:ascii="Arial" w:cs="Arial" w:eastAsia="Arial" w:hAnsi="Arial"/>
                <w:sz w:val="18"/>
                <w:szCs w:val="18"/>
                <w:color w:val="auto"/>
              </w:rPr>
              <w:t>peter.dworkin@regeneron.com</w:t>
            </w:r>
          </w:p>
        </w:tc>
      </w:tr>
      <w:tr>
        <w:trPr>
          <w:trHeight w:val="377"/>
        </w:trPr>
        <w:tc>
          <w:tcPr>
            <w:tcW w:w="3980" w:type="dxa"/>
            <w:vAlign w:val="bottom"/>
            <w:tcBorders>
              <w:bottom w:val="single" w:sz="8" w:color="808080"/>
            </w:tcBorders>
          </w:tcPr>
          <w:p>
            <w:pPr>
              <w:spacing w:after="0"/>
              <w:rPr>
                <w:sz w:val="24"/>
                <w:szCs w:val="24"/>
                <w:color w:val="auto"/>
              </w:rPr>
            </w:pPr>
          </w:p>
        </w:tc>
        <w:tc>
          <w:tcPr>
            <w:tcW w:w="7460" w:type="dxa"/>
            <w:vAlign w:val="bottom"/>
            <w:tcBorders>
              <w:bottom w:val="single" w:sz="8" w:color="808080"/>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7258050</wp:posOffset>
            </wp:positionH>
            <wp:positionV relativeFrom="paragraph">
              <wp:posOffset>-14605</wp:posOffset>
            </wp:positionV>
            <wp:extent cx="12700" cy="889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-14605</wp:posOffset>
            </wp:positionV>
            <wp:extent cx="12700" cy="889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ectPr>
          <w:pgSz w:w="11900" w:h="16838" w:orient="portrait"/>
          <w:cols w:equalWidth="0" w:num="1">
            <w:col w:w="11440"/>
          </w:cols>
          <w:pgMar w:left="240" w:top="611" w:right="219" w:bottom="1440" w:gutter="0" w:footer="0" w:header="0"/>
        </w:sectPr>
      </w:pPr>
    </w:p>
    <w:bookmarkStart w:id="9" w:name="page10"/>
    <w:bookmarkEnd w:id="9"/>
    <w:p>
      <w:pPr>
        <w:jc w:val="center"/>
        <w:ind w:right="20"/>
        <w:spacing w:after="0"/>
        <w:rPr>
          <w:sz w:val="20"/>
          <w:szCs w:val="20"/>
          <w:color w:val="auto"/>
        </w:rPr>
      </w:pPr>
      <w:r>
        <w:rPr>
          <w:rFonts w:ascii="Arial" w:cs="Arial" w:eastAsia="Arial" w:hAnsi="Arial"/>
          <w:sz w:val="18"/>
          <w:szCs w:val="18"/>
          <w:b w:val="1"/>
          <w:bCs w:val="1"/>
          <w:color w:val="auto"/>
        </w:rPr>
        <w:t>REGENERON PHARMACEUTICALS, INC.</w:t>
      </w:r>
    </w:p>
    <w:p>
      <w:pPr>
        <w:spacing w:after="0" w:line="21" w:lineRule="exact"/>
        <w:rPr>
          <w:sz w:val="20"/>
          <w:szCs w:val="20"/>
          <w:color w:val="auto"/>
        </w:rPr>
      </w:pPr>
    </w:p>
    <w:p>
      <w:pPr>
        <w:jc w:val="center"/>
        <w:ind w:right="20"/>
        <w:spacing w:after="0"/>
        <w:rPr>
          <w:sz w:val="20"/>
          <w:szCs w:val="20"/>
          <w:color w:val="auto"/>
        </w:rPr>
      </w:pPr>
      <w:r>
        <w:rPr>
          <w:rFonts w:ascii="Arial" w:cs="Arial" w:eastAsia="Arial" w:hAnsi="Arial"/>
          <w:sz w:val="18"/>
          <w:szCs w:val="18"/>
          <w:b w:val="1"/>
          <w:bCs w:val="1"/>
          <w:color w:val="auto"/>
        </w:rPr>
        <w:t>CONDENSED BALANCE SHEETS (Unaudited)</w:t>
      </w:r>
    </w:p>
    <w:p>
      <w:pPr>
        <w:spacing w:after="0" w:line="9" w:lineRule="exact"/>
        <w:rPr>
          <w:sz w:val="20"/>
          <w:szCs w:val="20"/>
          <w:color w:val="auto"/>
        </w:rPr>
      </w:pPr>
    </w:p>
    <w:p>
      <w:pPr>
        <w:jc w:val="center"/>
        <w:ind w:right="20"/>
        <w:spacing w:after="0"/>
        <w:rPr>
          <w:sz w:val="20"/>
          <w:szCs w:val="20"/>
          <w:color w:val="auto"/>
        </w:rPr>
      </w:pPr>
      <w:r>
        <w:rPr>
          <w:rFonts w:ascii="Arial" w:cs="Arial" w:eastAsia="Arial" w:hAnsi="Arial"/>
          <w:sz w:val="18"/>
          <w:szCs w:val="18"/>
          <w:b w:val="1"/>
          <w:bCs w:val="1"/>
          <w:i w:val="1"/>
          <w:iCs w:val="1"/>
          <w:color w:val="auto"/>
        </w:rPr>
        <w:t>(In thousands)</w:t>
      </w:r>
    </w:p>
    <w:p>
      <w:pPr>
        <w:spacing w:after="0" w:line="253" w:lineRule="exact"/>
        <w:rPr>
          <w:sz w:val="20"/>
          <w:szCs w:val="20"/>
          <w:color w:val="auto"/>
        </w:rPr>
      </w:pPr>
    </w:p>
    <w:tbl>
      <w:tblPr>
        <w:tblLayout w:type="fixed"/>
        <w:tblInd w:w="0" w:type="dxa"/>
        <w:tblCellMar>
          <w:top w:w="0" w:type="dxa"/>
          <w:left w:w="0" w:type="dxa"/>
          <w:bottom w:w="0" w:type="dxa"/>
          <w:right w:w="0" w:type="dxa"/>
        </w:tblCellMar>
      </w:tblPr>
      <w:tr>
        <w:trPr>
          <w:trHeight w:val="228"/>
        </w:trPr>
        <w:tc>
          <w:tcPr>
            <w:tcW w:w="9020" w:type="dxa"/>
            <w:vAlign w:val="bottom"/>
          </w:tcPr>
          <w:p>
            <w:pPr>
              <w:spacing w:after="0"/>
              <w:rPr>
                <w:sz w:val="19"/>
                <w:szCs w:val="19"/>
                <w:color w:val="auto"/>
              </w:rPr>
            </w:pPr>
          </w:p>
        </w:tc>
        <w:tc>
          <w:tcPr>
            <w:tcW w:w="1360" w:type="dxa"/>
            <w:vAlign w:val="bottom"/>
            <w:gridSpan w:val="3"/>
          </w:tcPr>
          <w:p>
            <w:pPr>
              <w:ind w:left="20"/>
              <w:spacing w:after="0"/>
              <w:rPr>
                <w:sz w:val="20"/>
                <w:szCs w:val="20"/>
                <w:color w:val="auto"/>
              </w:rPr>
            </w:pPr>
            <w:r>
              <w:rPr>
                <w:rFonts w:ascii="Arial" w:cs="Arial" w:eastAsia="Arial" w:hAnsi="Arial"/>
                <w:sz w:val="18"/>
                <w:szCs w:val="18"/>
                <w:b w:val="1"/>
                <w:bCs w:val="1"/>
                <w:color w:val="auto"/>
              </w:rPr>
              <w:t>September 30,</w:t>
            </w:r>
          </w:p>
        </w:tc>
        <w:tc>
          <w:tcPr>
            <w:tcW w:w="1040" w:type="dxa"/>
            <w:vAlign w:val="bottom"/>
            <w:gridSpan w:val="2"/>
          </w:tcPr>
          <w:p>
            <w:pPr>
              <w:spacing w:after="0"/>
              <w:rPr>
                <w:sz w:val="20"/>
                <w:szCs w:val="20"/>
                <w:color w:val="auto"/>
              </w:rPr>
            </w:pPr>
            <w:r>
              <w:rPr>
                <w:rFonts w:ascii="Arial" w:cs="Arial" w:eastAsia="Arial" w:hAnsi="Arial"/>
                <w:sz w:val="18"/>
                <w:szCs w:val="18"/>
                <w:b w:val="1"/>
                <w:bCs w:val="1"/>
                <w:color w:val="auto"/>
                <w:w w:val="87"/>
              </w:rPr>
              <w:t>December 31,</w:t>
            </w:r>
          </w:p>
        </w:tc>
        <w:tc>
          <w:tcPr>
            <w:tcW w:w="20" w:type="dxa"/>
            <w:vAlign w:val="bottom"/>
          </w:tcPr>
          <w:p>
            <w:pPr>
              <w:spacing w:after="0"/>
              <w:rPr>
                <w:sz w:val="19"/>
                <w:szCs w:val="19"/>
                <w:color w:val="auto"/>
              </w:rPr>
            </w:pPr>
          </w:p>
        </w:tc>
      </w:tr>
      <w:tr>
        <w:trPr>
          <w:trHeight w:val="252"/>
        </w:trPr>
        <w:tc>
          <w:tcPr>
            <w:tcW w:w="9020" w:type="dxa"/>
            <w:vAlign w:val="bottom"/>
            <w:tcBorders>
              <w:bottom w:val="single" w:sz="8" w:color="C0C0C0"/>
            </w:tcBorders>
          </w:tcPr>
          <w:p>
            <w:pPr>
              <w:spacing w:after="0"/>
              <w:rPr>
                <w:sz w:val="21"/>
                <w:szCs w:val="21"/>
                <w:color w:val="auto"/>
              </w:rPr>
            </w:pPr>
          </w:p>
        </w:tc>
        <w:tc>
          <w:tcPr>
            <w:tcW w:w="240" w:type="dxa"/>
            <w:vAlign w:val="bottom"/>
            <w:tcBorders>
              <w:bottom w:val="single" w:sz="8" w:color="auto"/>
            </w:tcBorders>
          </w:tcPr>
          <w:p>
            <w:pPr>
              <w:spacing w:after="0"/>
              <w:rPr>
                <w:sz w:val="21"/>
                <w:szCs w:val="21"/>
                <w:color w:val="auto"/>
              </w:rPr>
            </w:pPr>
          </w:p>
        </w:tc>
        <w:tc>
          <w:tcPr>
            <w:tcW w:w="840" w:type="dxa"/>
            <w:vAlign w:val="bottom"/>
            <w:tcBorders>
              <w:bottom w:val="single" w:sz="8" w:color="auto"/>
            </w:tcBorders>
          </w:tcPr>
          <w:p>
            <w:pPr>
              <w:jc w:val="right"/>
              <w:ind w:right="272"/>
              <w:spacing w:after="0"/>
              <w:rPr>
                <w:sz w:val="20"/>
                <w:szCs w:val="20"/>
                <w:color w:val="auto"/>
              </w:rPr>
            </w:pPr>
            <w:r>
              <w:rPr>
                <w:rFonts w:ascii="Arial" w:cs="Arial" w:eastAsia="Arial" w:hAnsi="Arial"/>
                <w:sz w:val="18"/>
                <w:szCs w:val="18"/>
                <w:b w:val="1"/>
                <w:bCs w:val="1"/>
                <w:color w:val="auto"/>
              </w:rPr>
              <w:t>2010</w:t>
            </w:r>
          </w:p>
        </w:tc>
        <w:tc>
          <w:tcPr>
            <w:tcW w:w="280" w:type="dxa"/>
            <w:vAlign w:val="bottom"/>
            <w:tcBorders>
              <w:bottom w:val="single" w:sz="8" w:color="C0C0C0"/>
            </w:tcBorders>
          </w:tcPr>
          <w:p>
            <w:pPr>
              <w:spacing w:after="0"/>
              <w:rPr>
                <w:sz w:val="21"/>
                <w:szCs w:val="21"/>
                <w:color w:val="auto"/>
              </w:rPr>
            </w:pPr>
          </w:p>
        </w:tc>
        <w:tc>
          <w:tcPr>
            <w:tcW w:w="220" w:type="dxa"/>
            <w:vAlign w:val="bottom"/>
            <w:tcBorders>
              <w:bottom w:val="single" w:sz="8" w:color="auto"/>
            </w:tcBorders>
          </w:tcPr>
          <w:p>
            <w:pPr>
              <w:spacing w:after="0"/>
              <w:rPr>
                <w:sz w:val="21"/>
                <w:szCs w:val="21"/>
                <w:color w:val="auto"/>
              </w:rPr>
            </w:pPr>
          </w:p>
        </w:tc>
        <w:tc>
          <w:tcPr>
            <w:tcW w:w="820" w:type="dxa"/>
            <w:vAlign w:val="bottom"/>
            <w:tcBorders>
              <w:bottom w:val="single" w:sz="8" w:color="auto"/>
            </w:tcBorders>
          </w:tcPr>
          <w:p>
            <w:pPr>
              <w:jc w:val="right"/>
              <w:ind w:right="252"/>
              <w:spacing w:after="0"/>
              <w:rPr>
                <w:sz w:val="20"/>
                <w:szCs w:val="20"/>
                <w:color w:val="auto"/>
              </w:rPr>
            </w:pPr>
            <w:r>
              <w:rPr>
                <w:rFonts w:ascii="Arial" w:cs="Arial" w:eastAsia="Arial" w:hAnsi="Arial"/>
                <w:sz w:val="18"/>
                <w:szCs w:val="18"/>
                <w:b w:val="1"/>
                <w:bCs w:val="1"/>
                <w:color w:val="auto"/>
              </w:rPr>
              <w:t>2009</w:t>
            </w:r>
          </w:p>
        </w:tc>
        <w:tc>
          <w:tcPr>
            <w:tcW w:w="20" w:type="dxa"/>
            <w:vAlign w:val="bottom"/>
          </w:tcPr>
          <w:p>
            <w:pPr>
              <w:spacing w:after="0"/>
              <w:rPr>
                <w:sz w:val="21"/>
                <w:szCs w:val="21"/>
                <w:color w:val="auto"/>
              </w:rPr>
            </w:pPr>
          </w:p>
        </w:tc>
      </w:tr>
      <w:tr>
        <w:trPr>
          <w:trHeight w:val="243"/>
        </w:trPr>
        <w:tc>
          <w:tcPr>
            <w:tcW w:w="9020" w:type="dxa"/>
            <w:vAlign w:val="bottom"/>
            <w:shd w:val="clear" w:color="auto" w:fill="C0C0C0"/>
          </w:tcPr>
          <w:p>
            <w:pPr>
              <w:spacing w:after="0"/>
              <w:rPr>
                <w:sz w:val="20"/>
                <w:szCs w:val="20"/>
                <w:color w:val="auto"/>
              </w:rPr>
            </w:pPr>
            <w:r>
              <w:rPr>
                <w:rFonts w:ascii="Arial" w:cs="Arial" w:eastAsia="Arial" w:hAnsi="Arial"/>
                <w:sz w:val="18"/>
                <w:szCs w:val="18"/>
                <w:color w:val="auto"/>
              </w:rPr>
              <w:t>ASSETS</w:t>
            </w:r>
          </w:p>
        </w:tc>
        <w:tc>
          <w:tcPr>
            <w:tcW w:w="240" w:type="dxa"/>
            <w:vAlign w:val="bottom"/>
            <w:shd w:val="clear" w:color="auto" w:fill="C0C0C0"/>
          </w:tcPr>
          <w:p>
            <w:pPr>
              <w:spacing w:after="0"/>
              <w:rPr>
                <w:sz w:val="21"/>
                <w:szCs w:val="21"/>
                <w:color w:val="auto"/>
              </w:rPr>
            </w:pPr>
          </w:p>
        </w:tc>
        <w:tc>
          <w:tcPr>
            <w:tcW w:w="840" w:type="dxa"/>
            <w:vAlign w:val="bottom"/>
            <w:shd w:val="clear" w:color="auto" w:fill="C0C0C0"/>
          </w:tcPr>
          <w:p>
            <w:pPr>
              <w:spacing w:after="0"/>
              <w:rPr>
                <w:sz w:val="21"/>
                <w:szCs w:val="21"/>
                <w:color w:val="auto"/>
              </w:rPr>
            </w:pPr>
          </w:p>
        </w:tc>
        <w:tc>
          <w:tcPr>
            <w:tcW w:w="280" w:type="dxa"/>
            <w:vAlign w:val="bottom"/>
            <w:shd w:val="clear" w:color="auto" w:fill="C0C0C0"/>
          </w:tcPr>
          <w:p>
            <w:pPr>
              <w:spacing w:after="0"/>
              <w:rPr>
                <w:sz w:val="21"/>
                <w:szCs w:val="21"/>
                <w:color w:val="auto"/>
              </w:rPr>
            </w:pPr>
          </w:p>
        </w:tc>
        <w:tc>
          <w:tcPr>
            <w:tcW w:w="220" w:type="dxa"/>
            <w:vAlign w:val="bottom"/>
            <w:shd w:val="clear" w:color="auto" w:fill="C0C0C0"/>
          </w:tcPr>
          <w:p>
            <w:pPr>
              <w:spacing w:after="0"/>
              <w:rPr>
                <w:sz w:val="21"/>
                <w:szCs w:val="21"/>
                <w:color w:val="auto"/>
              </w:rPr>
            </w:pPr>
          </w:p>
        </w:tc>
        <w:tc>
          <w:tcPr>
            <w:tcW w:w="820" w:type="dxa"/>
            <w:vAlign w:val="bottom"/>
            <w:shd w:val="clear" w:color="auto" w:fill="C0C0C0"/>
          </w:tcPr>
          <w:p>
            <w:pPr>
              <w:spacing w:after="0"/>
              <w:rPr>
                <w:sz w:val="21"/>
                <w:szCs w:val="21"/>
                <w:color w:val="auto"/>
              </w:rPr>
            </w:pPr>
          </w:p>
        </w:tc>
        <w:tc>
          <w:tcPr>
            <w:tcW w:w="20" w:type="dxa"/>
            <w:vAlign w:val="bottom"/>
          </w:tcPr>
          <w:p>
            <w:pPr>
              <w:spacing w:after="0"/>
              <w:rPr>
                <w:sz w:val="21"/>
                <w:szCs w:val="21"/>
                <w:color w:val="auto"/>
              </w:rPr>
            </w:pPr>
          </w:p>
        </w:tc>
      </w:tr>
      <w:tr>
        <w:trPr>
          <w:trHeight w:val="235"/>
        </w:trPr>
        <w:tc>
          <w:tcPr>
            <w:tcW w:w="9020" w:type="dxa"/>
            <w:vAlign w:val="bottom"/>
          </w:tcPr>
          <w:p>
            <w:pPr>
              <w:spacing w:after="0"/>
              <w:rPr>
                <w:sz w:val="20"/>
                <w:szCs w:val="20"/>
                <w:color w:val="auto"/>
              </w:rPr>
            </w:pPr>
            <w:r>
              <w:rPr>
                <w:rFonts w:ascii="Arial" w:cs="Arial" w:eastAsia="Arial" w:hAnsi="Arial"/>
                <w:sz w:val="18"/>
                <w:szCs w:val="18"/>
                <w:color w:val="auto"/>
              </w:rPr>
              <w:t>Cash, restricted cash, and marketable securities</w:t>
            </w:r>
          </w:p>
        </w:tc>
        <w:tc>
          <w:tcPr>
            <w:tcW w:w="240" w:type="dxa"/>
            <w:vAlign w:val="bottom"/>
          </w:tcPr>
          <w:p>
            <w:pPr>
              <w:spacing w:after="0"/>
              <w:rPr>
                <w:sz w:val="20"/>
                <w:szCs w:val="20"/>
                <w:color w:val="auto"/>
              </w:rPr>
            </w:pPr>
            <w:r>
              <w:rPr>
                <w:rFonts w:ascii="Arial" w:cs="Arial" w:eastAsia="Arial" w:hAnsi="Arial"/>
                <w:sz w:val="18"/>
                <w:szCs w:val="18"/>
                <w:color w:val="auto"/>
              </w:rPr>
              <w:t>$</w:t>
            </w:r>
          </w:p>
        </w:tc>
        <w:tc>
          <w:tcPr>
            <w:tcW w:w="1120" w:type="dxa"/>
            <w:vAlign w:val="bottom"/>
            <w:gridSpan w:val="2"/>
          </w:tcPr>
          <w:p>
            <w:pPr>
              <w:jc w:val="right"/>
              <w:ind w:right="260"/>
              <w:spacing w:after="0"/>
              <w:rPr>
                <w:sz w:val="20"/>
                <w:szCs w:val="20"/>
                <w:color w:val="auto"/>
              </w:rPr>
            </w:pPr>
            <w:r>
              <w:rPr>
                <w:rFonts w:ascii="Arial" w:cs="Arial" w:eastAsia="Arial" w:hAnsi="Arial"/>
                <w:sz w:val="18"/>
                <w:szCs w:val="18"/>
                <w:color w:val="auto"/>
              </w:rPr>
              <w:t>520,409</w:t>
            </w:r>
          </w:p>
        </w:tc>
        <w:tc>
          <w:tcPr>
            <w:tcW w:w="220" w:type="dxa"/>
            <w:vAlign w:val="bottom"/>
          </w:tcPr>
          <w:p>
            <w:pPr>
              <w:spacing w:after="0"/>
              <w:rPr>
                <w:sz w:val="20"/>
                <w:szCs w:val="20"/>
                <w:color w:val="auto"/>
              </w:rPr>
            </w:pPr>
            <w:r>
              <w:rPr>
                <w:rFonts w:ascii="Arial" w:cs="Arial" w:eastAsia="Arial" w:hAnsi="Arial"/>
                <w:sz w:val="18"/>
                <w:szCs w:val="18"/>
                <w:color w:val="auto"/>
              </w:rPr>
              <w:t>$</w:t>
            </w:r>
          </w:p>
        </w:tc>
        <w:tc>
          <w:tcPr>
            <w:tcW w:w="820" w:type="dxa"/>
            <w:vAlign w:val="bottom"/>
          </w:tcPr>
          <w:p>
            <w:pPr>
              <w:jc w:val="right"/>
              <w:spacing w:after="0"/>
              <w:rPr>
                <w:sz w:val="20"/>
                <w:szCs w:val="20"/>
                <w:color w:val="auto"/>
              </w:rPr>
            </w:pPr>
            <w:r>
              <w:rPr>
                <w:rFonts w:ascii="Arial" w:cs="Arial" w:eastAsia="Arial" w:hAnsi="Arial"/>
                <w:sz w:val="18"/>
                <w:szCs w:val="18"/>
                <w:color w:val="auto"/>
              </w:rPr>
              <w:t>390,010</w:t>
            </w:r>
          </w:p>
        </w:tc>
        <w:tc>
          <w:tcPr>
            <w:tcW w:w="20" w:type="dxa"/>
            <w:vAlign w:val="bottom"/>
          </w:tcPr>
          <w:p>
            <w:pPr>
              <w:spacing w:after="0"/>
              <w:rPr>
                <w:sz w:val="20"/>
                <w:szCs w:val="20"/>
                <w:color w:val="auto"/>
              </w:rPr>
            </w:pPr>
          </w:p>
        </w:tc>
      </w:tr>
      <w:tr>
        <w:trPr>
          <w:trHeight w:val="251"/>
        </w:trPr>
        <w:tc>
          <w:tcPr>
            <w:tcW w:w="9020" w:type="dxa"/>
            <w:vAlign w:val="bottom"/>
            <w:shd w:val="clear" w:color="auto" w:fill="C0C0C0"/>
          </w:tcPr>
          <w:p>
            <w:pPr>
              <w:spacing w:after="0"/>
              <w:rPr>
                <w:sz w:val="20"/>
                <w:szCs w:val="20"/>
                <w:color w:val="auto"/>
              </w:rPr>
            </w:pPr>
            <w:r>
              <w:rPr>
                <w:rFonts w:ascii="Arial" w:cs="Arial" w:eastAsia="Arial" w:hAnsi="Arial"/>
                <w:sz w:val="18"/>
                <w:szCs w:val="18"/>
                <w:color w:val="auto"/>
              </w:rPr>
              <w:t>Receivables</w:t>
            </w:r>
          </w:p>
        </w:tc>
        <w:tc>
          <w:tcPr>
            <w:tcW w:w="240" w:type="dxa"/>
            <w:vAlign w:val="bottom"/>
            <w:shd w:val="clear" w:color="auto" w:fill="C0C0C0"/>
          </w:tcPr>
          <w:p>
            <w:pPr>
              <w:spacing w:after="0"/>
              <w:rPr>
                <w:sz w:val="21"/>
                <w:szCs w:val="21"/>
                <w:color w:val="auto"/>
              </w:rPr>
            </w:pPr>
          </w:p>
        </w:tc>
        <w:tc>
          <w:tcPr>
            <w:tcW w:w="1120" w:type="dxa"/>
            <w:vAlign w:val="bottom"/>
            <w:gridSpan w:val="2"/>
            <w:shd w:val="clear" w:color="auto" w:fill="C0C0C0"/>
          </w:tcPr>
          <w:p>
            <w:pPr>
              <w:jc w:val="right"/>
              <w:ind w:right="260"/>
              <w:spacing w:after="0"/>
              <w:rPr>
                <w:sz w:val="20"/>
                <w:szCs w:val="20"/>
                <w:color w:val="auto"/>
              </w:rPr>
            </w:pPr>
            <w:r>
              <w:rPr>
                <w:rFonts w:ascii="Arial" w:cs="Arial" w:eastAsia="Arial" w:hAnsi="Arial"/>
                <w:sz w:val="18"/>
                <w:szCs w:val="18"/>
                <w:color w:val="auto"/>
              </w:rPr>
              <w:t>82,287</w:t>
            </w:r>
          </w:p>
        </w:tc>
        <w:tc>
          <w:tcPr>
            <w:tcW w:w="220" w:type="dxa"/>
            <w:vAlign w:val="bottom"/>
            <w:shd w:val="clear" w:color="auto" w:fill="C0C0C0"/>
          </w:tcPr>
          <w:p>
            <w:pPr>
              <w:spacing w:after="0"/>
              <w:rPr>
                <w:sz w:val="21"/>
                <w:szCs w:val="21"/>
                <w:color w:val="auto"/>
              </w:rPr>
            </w:pPr>
          </w:p>
        </w:tc>
        <w:tc>
          <w:tcPr>
            <w:tcW w:w="820" w:type="dxa"/>
            <w:vAlign w:val="bottom"/>
            <w:shd w:val="clear" w:color="auto" w:fill="C0C0C0"/>
          </w:tcPr>
          <w:p>
            <w:pPr>
              <w:jc w:val="right"/>
              <w:spacing w:after="0"/>
              <w:rPr>
                <w:sz w:val="20"/>
                <w:szCs w:val="20"/>
                <w:color w:val="auto"/>
              </w:rPr>
            </w:pPr>
            <w:r>
              <w:rPr>
                <w:rFonts w:ascii="Arial" w:cs="Arial" w:eastAsia="Arial" w:hAnsi="Arial"/>
                <w:sz w:val="18"/>
                <w:szCs w:val="18"/>
                <w:color w:val="auto"/>
              </w:rPr>
              <w:t>65,568</w:t>
            </w:r>
          </w:p>
        </w:tc>
        <w:tc>
          <w:tcPr>
            <w:tcW w:w="20" w:type="dxa"/>
            <w:vAlign w:val="bottom"/>
          </w:tcPr>
          <w:p>
            <w:pPr>
              <w:spacing w:after="0"/>
              <w:rPr>
                <w:sz w:val="21"/>
                <w:szCs w:val="21"/>
                <w:color w:val="auto"/>
              </w:rPr>
            </w:pPr>
          </w:p>
        </w:tc>
      </w:tr>
      <w:tr>
        <w:trPr>
          <w:trHeight w:val="235"/>
        </w:trPr>
        <w:tc>
          <w:tcPr>
            <w:tcW w:w="9020" w:type="dxa"/>
            <w:vAlign w:val="bottom"/>
          </w:tcPr>
          <w:p>
            <w:pPr>
              <w:spacing w:after="0"/>
              <w:rPr>
                <w:sz w:val="20"/>
                <w:szCs w:val="20"/>
                <w:color w:val="auto"/>
              </w:rPr>
            </w:pPr>
            <w:r>
              <w:rPr>
                <w:rFonts w:ascii="Arial" w:cs="Arial" w:eastAsia="Arial" w:hAnsi="Arial"/>
                <w:sz w:val="18"/>
                <w:szCs w:val="18"/>
                <w:color w:val="auto"/>
              </w:rPr>
              <w:t>Property, plant, and equipment, net</w:t>
            </w:r>
          </w:p>
        </w:tc>
        <w:tc>
          <w:tcPr>
            <w:tcW w:w="240" w:type="dxa"/>
            <w:vAlign w:val="bottom"/>
          </w:tcPr>
          <w:p>
            <w:pPr>
              <w:spacing w:after="0"/>
              <w:rPr>
                <w:sz w:val="20"/>
                <w:szCs w:val="20"/>
                <w:color w:val="auto"/>
              </w:rPr>
            </w:pPr>
          </w:p>
        </w:tc>
        <w:tc>
          <w:tcPr>
            <w:tcW w:w="1120" w:type="dxa"/>
            <w:vAlign w:val="bottom"/>
            <w:gridSpan w:val="2"/>
          </w:tcPr>
          <w:p>
            <w:pPr>
              <w:jc w:val="right"/>
              <w:ind w:right="260"/>
              <w:spacing w:after="0"/>
              <w:rPr>
                <w:sz w:val="20"/>
                <w:szCs w:val="20"/>
                <w:color w:val="auto"/>
              </w:rPr>
            </w:pPr>
            <w:r>
              <w:rPr>
                <w:rFonts w:ascii="Arial" w:cs="Arial" w:eastAsia="Arial" w:hAnsi="Arial"/>
                <w:sz w:val="18"/>
                <w:szCs w:val="18"/>
                <w:color w:val="auto"/>
              </w:rPr>
              <w:t>318,498</w:t>
            </w:r>
          </w:p>
        </w:tc>
        <w:tc>
          <w:tcPr>
            <w:tcW w:w="220" w:type="dxa"/>
            <w:vAlign w:val="bottom"/>
          </w:tcPr>
          <w:p>
            <w:pPr>
              <w:spacing w:after="0"/>
              <w:rPr>
                <w:sz w:val="20"/>
                <w:szCs w:val="20"/>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259,676</w:t>
            </w:r>
          </w:p>
        </w:tc>
        <w:tc>
          <w:tcPr>
            <w:tcW w:w="20" w:type="dxa"/>
            <w:vAlign w:val="bottom"/>
          </w:tcPr>
          <w:p>
            <w:pPr>
              <w:spacing w:after="0"/>
              <w:rPr>
                <w:sz w:val="20"/>
                <w:szCs w:val="20"/>
                <w:color w:val="auto"/>
              </w:rPr>
            </w:pPr>
          </w:p>
        </w:tc>
      </w:tr>
      <w:tr>
        <w:trPr>
          <w:trHeight w:val="243"/>
        </w:trPr>
        <w:tc>
          <w:tcPr>
            <w:tcW w:w="9020" w:type="dxa"/>
            <w:vAlign w:val="bottom"/>
            <w:shd w:val="clear" w:color="auto" w:fill="C0C0C0"/>
          </w:tcPr>
          <w:p>
            <w:pPr>
              <w:spacing w:after="0"/>
              <w:rPr>
                <w:sz w:val="20"/>
                <w:szCs w:val="20"/>
                <w:color w:val="auto"/>
              </w:rPr>
            </w:pPr>
            <w:r>
              <w:rPr>
                <w:rFonts w:ascii="Arial" w:cs="Arial" w:eastAsia="Arial" w:hAnsi="Arial"/>
                <w:sz w:val="18"/>
                <w:szCs w:val="18"/>
                <w:color w:val="auto"/>
              </w:rPr>
              <w:t>Other assets</w:t>
            </w:r>
          </w:p>
        </w:tc>
        <w:tc>
          <w:tcPr>
            <w:tcW w:w="240" w:type="dxa"/>
            <w:vAlign w:val="bottom"/>
            <w:shd w:val="clear" w:color="auto" w:fill="C0C0C0"/>
          </w:tcPr>
          <w:p>
            <w:pPr>
              <w:spacing w:after="0"/>
              <w:rPr>
                <w:sz w:val="21"/>
                <w:szCs w:val="21"/>
                <w:color w:val="auto"/>
              </w:rPr>
            </w:pPr>
          </w:p>
        </w:tc>
        <w:tc>
          <w:tcPr>
            <w:tcW w:w="1120" w:type="dxa"/>
            <w:vAlign w:val="bottom"/>
            <w:gridSpan w:val="2"/>
            <w:shd w:val="clear" w:color="auto" w:fill="C0C0C0"/>
          </w:tcPr>
          <w:p>
            <w:pPr>
              <w:jc w:val="right"/>
              <w:ind w:right="260"/>
              <w:spacing w:after="0"/>
              <w:rPr>
                <w:sz w:val="20"/>
                <w:szCs w:val="20"/>
                <w:color w:val="auto"/>
              </w:rPr>
            </w:pPr>
            <w:r>
              <w:rPr>
                <w:rFonts w:ascii="Arial" w:cs="Arial" w:eastAsia="Arial" w:hAnsi="Arial"/>
                <w:sz w:val="18"/>
                <w:szCs w:val="18"/>
                <w:color w:val="auto"/>
              </w:rPr>
              <w:t>21,239</w:t>
            </w:r>
          </w:p>
        </w:tc>
        <w:tc>
          <w:tcPr>
            <w:tcW w:w="220" w:type="dxa"/>
            <w:vAlign w:val="bottom"/>
            <w:shd w:val="clear" w:color="auto" w:fill="C0C0C0"/>
          </w:tcPr>
          <w:p>
            <w:pPr>
              <w:spacing w:after="0"/>
              <w:rPr>
                <w:sz w:val="21"/>
                <w:szCs w:val="21"/>
                <w:color w:val="auto"/>
              </w:rPr>
            </w:pPr>
          </w:p>
        </w:tc>
        <w:tc>
          <w:tcPr>
            <w:tcW w:w="820" w:type="dxa"/>
            <w:vAlign w:val="bottom"/>
            <w:shd w:val="clear" w:color="auto" w:fill="C0C0C0"/>
          </w:tcPr>
          <w:p>
            <w:pPr>
              <w:jc w:val="right"/>
              <w:spacing w:after="0"/>
              <w:rPr>
                <w:sz w:val="20"/>
                <w:szCs w:val="20"/>
                <w:color w:val="auto"/>
              </w:rPr>
            </w:pPr>
            <w:r>
              <w:rPr>
                <w:rFonts w:ascii="Arial" w:cs="Arial" w:eastAsia="Arial" w:hAnsi="Arial"/>
                <w:sz w:val="18"/>
                <w:szCs w:val="18"/>
                <w:color w:val="auto"/>
              </w:rPr>
              <w:t>25,948</w:t>
            </w:r>
          </w:p>
        </w:tc>
        <w:tc>
          <w:tcPr>
            <w:tcW w:w="20" w:type="dxa"/>
            <w:vAlign w:val="bottom"/>
          </w:tcPr>
          <w:p>
            <w:pPr>
              <w:spacing w:after="0"/>
              <w:rPr>
                <w:sz w:val="21"/>
                <w:szCs w:val="21"/>
                <w:color w:val="auto"/>
              </w:rPr>
            </w:pPr>
          </w:p>
        </w:tc>
      </w:tr>
      <w:tr>
        <w:trPr>
          <w:trHeight w:val="21"/>
        </w:trPr>
        <w:tc>
          <w:tcPr>
            <w:tcW w:w="9020" w:type="dxa"/>
            <w:vAlign w:val="bottom"/>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840" w:type="dxa"/>
            <w:vAlign w:val="bottom"/>
            <w:shd w:val="clear" w:color="auto" w:fill="000000"/>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820" w:type="dxa"/>
            <w:vAlign w:val="bottom"/>
            <w:shd w:val="clear" w:color="auto" w:fill="000000"/>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50"/>
        </w:trPr>
        <w:tc>
          <w:tcPr>
            <w:tcW w:w="9020" w:type="dxa"/>
            <w:vAlign w:val="bottom"/>
          </w:tcPr>
          <w:p>
            <w:pPr>
              <w:ind w:left="320"/>
              <w:spacing w:after="0"/>
              <w:rPr>
                <w:sz w:val="20"/>
                <w:szCs w:val="20"/>
                <w:color w:val="auto"/>
              </w:rPr>
            </w:pPr>
            <w:r>
              <w:rPr>
                <w:rFonts w:ascii="Arial" w:cs="Arial" w:eastAsia="Arial" w:hAnsi="Arial"/>
                <w:sz w:val="18"/>
                <w:szCs w:val="18"/>
                <w:color w:val="auto"/>
              </w:rPr>
              <w:t>Total assets</w:t>
            </w:r>
          </w:p>
        </w:tc>
        <w:tc>
          <w:tcPr>
            <w:tcW w:w="240" w:type="dxa"/>
            <w:vAlign w:val="bottom"/>
          </w:tcPr>
          <w:p>
            <w:pPr>
              <w:spacing w:after="0"/>
              <w:rPr>
                <w:sz w:val="20"/>
                <w:szCs w:val="20"/>
                <w:color w:val="auto"/>
              </w:rPr>
            </w:pPr>
            <w:r>
              <w:rPr>
                <w:rFonts w:ascii="Arial" w:cs="Arial" w:eastAsia="Arial" w:hAnsi="Arial"/>
                <w:sz w:val="18"/>
                <w:szCs w:val="18"/>
                <w:color w:val="auto"/>
              </w:rPr>
              <w:t>$</w:t>
            </w:r>
          </w:p>
        </w:tc>
        <w:tc>
          <w:tcPr>
            <w:tcW w:w="1120" w:type="dxa"/>
            <w:vAlign w:val="bottom"/>
            <w:gridSpan w:val="2"/>
          </w:tcPr>
          <w:p>
            <w:pPr>
              <w:jc w:val="right"/>
              <w:ind w:right="260"/>
              <w:spacing w:after="0"/>
              <w:rPr>
                <w:sz w:val="20"/>
                <w:szCs w:val="20"/>
                <w:color w:val="auto"/>
              </w:rPr>
            </w:pPr>
            <w:r>
              <w:rPr>
                <w:rFonts w:ascii="Arial" w:cs="Arial" w:eastAsia="Arial" w:hAnsi="Arial"/>
                <w:sz w:val="18"/>
                <w:szCs w:val="18"/>
                <w:color w:val="auto"/>
              </w:rPr>
              <w:t>942,433</w:t>
            </w:r>
          </w:p>
        </w:tc>
        <w:tc>
          <w:tcPr>
            <w:tcW w:w="220" w:type="dxa"/>
            <w:vAlign w:val="bottom"/>
          </w:tcPr>
          <w:p>
            <w:pPr>
              <w:spacing w:after="0"/>
              <w:rPr>
                <w:sz w:val="20"/>
                <w:szCs w:val="20"/>
                <w:color w:val="auto"/>
              </w:rPr>
            </w:pPr>
            <w:r>
              <w:rPr>
                <w:rFonts w:ascii="Arial" w:cs="Arial" w:eastAsia="Arial" w:hAnsi="Arial"/>
                <w:sz w:val="18"/>
                <w:szCs w:val="18"/>
                <w:color w:val="auto"/>
              </w:rPr>
              <w:t>$</w:t>
            </w:r>
          </w:p>
        </w:tc>
        <w:tc>
          <w:tcPr>
            <w:tcW w:w="820" w:type="dxa"/>
            <w:vAlign w:val="bottom"/>
          </w:tcPr>
          <w:p>
            <w:pPr>
              <w:jc w:val="right"/>
              <w:spacing w:after="0"/>
              <w:rPr>
                <w:sz w:val="20"/>
                <w:szCs w:val="20"/>
                <w:color w:val="auto"/>
              </w:rPr>
            </w:pPr>
            <w:r>
              <w:rPr>
                <w:rFonts w:ascii="Arial" w:cs="Arial" w:eastAsia="Arial" w:hAnsi="Arial"/>
                <w:sz w:val="18"/>
                <w:szCs w:val="18"/>
                <w:color w:val="auto"/>
              </w:rPr>
              <w:t>741,202</w:t>
            </w:r>
          </w:p>
        </w:tc>
        <w:tc>
          <w:tcPr>
            <w:tcW w:w="20" w:type="dxa"/>
            <w:vAlign w:val="bottom"/>
          </w:tcPr>
          <w:p>
            <w:pPr>
              <w:spacing w:after="0"/>
              <w:rPr>
                <w:sz w:val="21"/>
                <w:szCs w:val="21"/>
                <w:color w:val="auto"/>
              </w:rPr>
            </w:pPr>
          </w:p>
        </w:tc>
      </w:tr>
      <w:tr>
        <w:trPr>
          <w:trHeight w:val="230"/>
        </w:trPr>
        <w:tc>
          <w:tcPr>
            <w:tcW w:w="9020" w:type="dxa"/>
            <w:vAlign w:val="bottom"/>
          </w:tcPr>
          <w:p>
            <w:pPr>
              <w:spacing w:after="0"/>
              <w:rPr>
                <w:sz w:val="19"/>
                <w:szCs w:val="19"/>
                <w:color w:val="auto"/>
              </w:rPr>
            </w:pPr>
          </w:p>
        </w:tc>
        <w:tc>
          <w:tcPr>
            <w:tcW w:w="240" w:type="dxa"/>
            <w:vAlign w:val="bottom"/>
            <w:tcBorders>
              <w:top w:val="single" w:sz="8" w:color="auto"/>
            </w:tcBorders>
          </w:tcPr>
          <w:p>
            <w:pPr>
              <w:spacing w:after="0"/>
              <w:rPr>
                <w:sz w:val="19"/>
                <w:szCs w:val="19"/>
                <w:color w:val="auto"/>
              </w:rPr>
            </w:pPr>
          </w:p>
        </w:tc>
        <w:tc>
          <w:tcPr>
            <w:tcW w:w="840" w:type="dxa"/>
            <w:vAlign w:val="bottom"/>
            <w:tcBorders>
              <w:top w:val="single" w:sz="8" w:color="auto"/>
            </w:tcBorders>
          </w:tcPr>
          <w:p>
            <w:pPr>
              <w:spacing w:after="0"/>
              <w:rPr>
                <w:sz w:val="19"/>
                <w:szCs w:val="19"/>
                <w:color w:val="auto"/>
              </w:rPr>
            </w:pPr>
          </w:p>
        </w:tc>
        <w:tc>
          <w:tcPr>
            <w:tcW w:w="280" w:type="dxa"/>
            <w:vAlign w:val="bottom"/>
          </w:tcPr>
          <w:p>
            <w:pPr>
              <w:spacing w:after="0"/>
              <w:rPr>
                <w:sz w:val="19"/>
                <w:szCs w:val="19"/>
                <w:color w:val="auto"/>
              </w:rPr>
            </w:pPr>
          </w:p>
        </w:tc>
        <w:tc>
          <w:tcPr>
            <w:tcW w:w="220" w:type="dxa"/>
            <w:vAlign w:val="bottom"/>
            <w:tcBorders>
              <w:top w:val="single" w:sz="8" w:color="auto"/>
            </w:tcBorders>
          </w:tcPr>
          <w:p>
            <w:pPr>
              <w:spacing w:after="0"/>
              <w:rPr>
                <w:sz w:val="19"/>
                <w:szCs w:val="19"/>
                <w:color w:val="auto"/>
              </w:rPr>
            </w:pPr>
          </w:p>
        </w:tc>
        <w:tc>
          <w:tcPr>
            <w:tcW w:w="820" w:type="dxa"/>
            <w:vAlign w:val="bottom"/>
            <w:tcBorders>
              <w:top w:val="single" w:sz="8" w:color="auto"/>
            </w:tcBorders>
          </w:tcPr>
          <w:p>
            <w:pPr>
              <w:spacing w:after="0"/>
              <w:rPr>
                <w:sz w:val="19"/>
                <w:szCs w:val="19"/>
                <w:color w:val="auto"/>
              </w:rPr>
            </w:pPr>
          </w:p>
        </w:tc>
        <w:tc>
          <w:tcPr>
            <w:tcW w:w="20" w:type="dxa"/>
            <w:vAlign w:val="bottom"/>
          </w:tcPr>
          <w:p>
            <w:pPr>
              <w:spacing w:after="0"/>
              <w:rPr>
                <w:sz w:val="19"/>
                <w:szCs w:val="19"/>
                <w:color w:val="auto"/>
              </w:rPr>
            </w:pPr>
          </w:p>
        </w:tc>
      </w:tr>
      <w:tr>
        <w:trPr>
          <w:trHeight w:val="243"/>
        </w:trPr>
        <w:tc>
          <w:tcPr>
            <w:tcW w:w="9020" w:type="dxa"/>
            <w:vAlign w:val="bottom"/>
            <w:shd w:val="clear" w:color="auto" w:fill="C0C0C0"/>
          </w:tcPr>
          <w:p>
            <w:pPr>
              <w:spacing w:after="0"/>
              <w:rPr>
                <w:sz w:val="20"/>
                <w:szCs w:val="20"/>
                <w:color w:val="auto"/>
              </w:rPr>
            </w:pPr>
            <w:r>
              <w:rPr>
                <w:rFonts w:ascii="Arial" w:cs="Arial" w:eastAsia="Arial" w:hAnsi="Arial"/>
                <w:sz w:val="18"/>
                <w:szCs w:val="18"/>
                <w:color w:val="auto"/>
              </w:rPr>
              <w:t>LIABILITIES AND STOCKHOLDERS' EQUITY</w:t>
            </w:r>
          </w:p>
        </w:tc>
        <w:tc>
          <w:tcPr>
            <w:tcW w:w="240" w:type="dxa"/>
            <w:vAlign w:val="bottom"/>
            <w:shd w:val="clear" w:color="auto" w:fill="C0C0C0"/>
          </w:tcPr>
          <w:p>
            <w:pPr>
              <w:spacing w:after="0"/>
              <w:rPr>
                <w:sz w:val="21"/>
                <w:szCs w:val="21"/>
                <w:color w:val="auto"/>
              </w:rPr>
            </w:pPr>
          </w:p>
        </w:tc>
        <w:tc>
          <w:tcPr>
            <w:tcW w:w="840" w:type="dxa"/>
            <w:vAlign w:val="bottom"/>
            <w:shd w:val="clear" w:color="auto" w:fill="C0C0C0"/>
          </w:tcPr>
          <w:p>
            <w:pPr>
              <w:spacing w:after="0"/>
              <w:rPr>
                <w:sz w:val="21"/>
                <w:szCs w:val="21"/>
                <w:color w:val="auto"/>
              </w:rPr>
            </w:pPr>
          </w:p>
        </w:tc>
        <w:tc>
          <w:tcPr>
            <w:tcW w:w="280" w:type="dxa"/>
            <w:vAlign w:val="bottom"/>
            <w:shd w:val="clear" w:color="auto" w:fill="C0C0C0"/>
          </w:tcPr>
          <w:p>
            <w:pPr>
              <w:spacing w:after="0"/>
              <w:rPr>
                <w:sz w:val="21"/>
                <w:szCs w:val="21"/>
                <w:color w:val="auto"/>
              </w:rPr>
            </w:pPr>
          </w:p>
        </w:tc>
        <w:tc>
          <w:tcPr>
            <w:tcW w:w="220" w:type="dxa"/>
            <w:vAlign w:val="bottom"/>
            <w:shd w:val="clear" w:color="auto" w:fill="C0C0C0"/>
          </w:tcPr>
          <w:p>
            <w:pPr>
              <w:spacing w:after="0"/>
              <w:rPr>
                <w:sz w:val="21"/>
                <w:szCs w:val="21"/>
                <w:color w:val="auto"/>
              </w:rPr>
            </w:pPr>
          </w:p>
        </w:tc>
        <w:tc>
          <w:tcPr>
            <w:tcW w:w="820" w:type="dxa"/>
            <w:vAlign w:val="bottom"/>
            <w:shd w:val="clear" w:color="auto" w:fill="C0C0C0"/>
          </w:tcPr>
          <w:p>
            <w:pPr>
              <w:spacing w:after="0"/>
              <w:rPr>
                <w:sz w:val="21"/>
                <w:szCs w:val="21"/>
                <w:color w:val="auto"/>
              </w:rPr>
            </w:pPr>
          </w:p>
        </w:tc>
        <w:tc>
          <w:tcPr>
            <w:tcW w:w="20" w:type="dxa"/>
            <w:vAlign w:val="bottom"/>
          </w:tcPr>
          <w:p>
            <w:pPr>
              <w:spacing w:after="0"/>
              <w:rPr>
                <w:sz w:val="21"/>
                <w:szCs w:val="21"/>
                <w:color w:val="auto"/>
              </w:rPr>
            </w:pPr>
          </w:p>
        </w:tc>
      </w:tr>
      <w:tr>
        <w:trPr>
          <w:trHeight w:val="235"/>
        </w:trPr>
        <w:tc>
          <w:tcPr>
            <w:tcW w:w="9020" w:type="dxa"/>
            <w:vAlign w:val="bottom"/>
          </w:tcPr>
          <w:p>
            <w:pPr>
              <w:spacing w:after="0"/>
              <w:rPr>
                <w:sz w:val="20"/>
                <w:szCs w:val="20"/>
                <w:color w:val="auto"/>
              </w:rPr>
            </w:pPr>
            <w:r>
              <w:rPr>
                <w:rFonts w:ascii="Arial" w:cs="Arial" w:eastAsia="Arial" w:hAnsi="Arial"/>
                <w:sz w:val="18"/>
                <w:szCs w:val="18"/>
                <w:color w:val="auto"/>
              </w:rPr>
              <w:t>Accounts payable, accrued expenses, and other liabilities</w:t>
            </w:r>
          </w:p>
        </w:tc>
        <w:tc>
          <w:tcPr>
            <w:tcW w:w="240" w:type="dxa"/>
            <w:vAlign w:val="bottom"/>
          </w:tcPr>
          <w:p>
            <w:pPr>
              <w:spacing w:after="0"/>
              <w:rPr>
                <w:sz w:val="20"/>
                <w:szCs w:val="20"/>
                <w:color w:val="auto"/>
              </w:rPr>
            </w:pPr>
            <w:r>
              <w:rPr>
                <w:rFonts w:ascii="Arial" w:cs="Arial" w:eastAsia="Arial" w:hAnsi="Arial"/>
                <w:sz w:val="18"/>
                <w:szCs w:val="18"/>
                <w:color w:val="auto"/>
              </w:rPr>
              <w:t>$</w:t>
            </w:r>
          </w:p>
        </w:tc>
        <w:tc>
          <w:tcPr>
            <w:tcW w:w="1120" w:type="dxa"/>
            <w:vAlign w:val="bottom"/>
            <w:gridSpan w:val="2"/>
          </w:tcPr>
          <w:p>
            <w:pPr>
              <w:jc w:val="right"/>
              <w:ind w:right="260"/>
              <w:spacing w:after="0"/>
              <w:rPr>
                <w:sz w:val="20"/>
                <w:szCs w:val="20"/>
                <w:color w:val="auto"/>
              </w:rPr>
            </w:pPr>
            <w:r>
              <w:rPr>
                <w:rFonts w:ascii="Arial" w:cs="Arial" w:eastAsia="Arial" w:hAnsi="Arial"/>
                <w:sz w:val="18"/>
                <w:szCs w:val="18"/>
                <w:color w:val="auto"/>
              </w:rPr>
              <w:t>80,265</w:t>
            </w:r>
          </w:p>
        </w:tc>
        <w:tc>
          <w:tcPr>
            <w:tcW w:w="220" w:type="dxa"/>
            <w:vAlign w:val="bottom"/>
          </w:tcPr>
          <w:p>
            <w:pPr>
              <w:spacing w:after="0"/>
              <w:rPr>
                <w:sz w:val="20"/>
                <w:szCs w:val="20"/>
                <w:color w:val="auto"/>
              </w:rPr>
            </w:pPr>
            <w:r>
              <w:rPr>
                <w:rFonts w:ascii="Arial" w:cs="Arial" w:eastAsia="Arial" w:hAnsi="Arial"/>
                <w:sz w:val="18"/>
                <w:szCs w:val="18"/>
                <w:color w:val="auto"/>
              </w:rPr>
              <w:t>$</w:t>
            </w:r>
          </w:p>
        </w:tc>
        <w:tc>
          <w:tcPr>
            <w:tcW w:w="820" w:type="dxa"/>
            <w:vAlign w:val="bottom"/>
          </w:tcPr>
          <w:p>
            <w:pPr>
              <w:jc w:val="right"/>
              <w:spacing w:after="0"/>
              <w:rPr>
                <w:sz w:val="20"/>
                <w:szCs w:val="20"/>
                <w:color w:val="auto"/>
              </w:rPr>
            </w:pPr>
            <w:r>
              <w:rPr>
                <w:rFonts w:ascii="Arial" w:cs="Arial" w:eastAsia="Arial" w:hAnsi="Arial"/>
                <w:sz w:val="18"/>
                <w:szCs w:val="18"/>
                <w:color w:val="auto"/>
              </w:rPr>
              <w:t>52,990</w:t>
            </w:r>
          </w:p>
        </w:tc>
        <w:tc>
          <w:tcPr>
            <w:tcW w:w="20" w:type="dxa"/>
            <w:vAlign w:val="bottom"/>
          </w:tcPr>
          <w:p>
            <w:pPr>
              <w:spacing w:after="0"/>
              <w:rPr>
                <w:sz w:val="20"/>
                <w:szCs w:val="20"/>
                <w:color w:val="auto"/>
              </w:rPr>
            </w:pPr>
          </w:p>
        </w:tc>
      </w:tr>
      <w:tr>
        <w:trPr>
          <w:trHeight w:val="251"/>
        </w:trPr>
        <w:tc>
          <w:tcPr>
            <w:tcW w:w="9020" w:type="dxa"/>
            <w:vAlign w:val="bottom"/>
            <w:shd w:val="clear" w:color="auto" w:fill="C0C0C0"/>
          </w:tcPr>
          <w:p>
            <w:pPr>
              <w:spacing w:after="0"/>
              <w:rPr>
                <w:sz w:val="20"/>
                <w:szCs w:val="20"/>
                <w:color w:val="auto"/>
              </w:rPr>
            </w:pPr>
            <w:r>
              <w:rPr>
                <w:rFonts w:ascii="Arial" w:cs="Arial" w:eastAsia="Arial" w:hAnsi="Arial"/>
                <w:sz w:val="18"/>
                <w:szCs w:val="18"/>
                <w:color w:val="auto"/>
              </w:rPr>
              <w:t>Deferred revenue</w:t>
            </w:r>
          </w:p>
        </w:tc>
        <w:tc>
          <w:tcPr>
            <w:tcW w:w="240" w:type="dxa"/>
            <w:vAlign w:val="bottom"/>
            <w:shd w:val="clear" w:color="auto" w:fill="C0C0C0"/>
          </w:tcPr>
          <w:p>
            <w:pPr>
              <w:spacing w:after="0"/>
              <w:rPr>
                <w:sz w:val="21"/>
                <w:szCs w:val="21"/>
                <w:color w:val="auto"/>
              </w:rPr>
            </w:pPr>
          </w:p>
        </w:tc>
        <w:tc>
          <w:tcPr>
            <w:tcW w:w="1120" w:type="dxa"/>
            <w:vAlign w:val="bottom"/>
            <w:gridSpan w:val="2"/>
            <w:shd w:val="clear" w:color="auto" w:fill="C0C0C0"/>
          </w:tcPr>
          <w:p>
            <w:pPr>
              <w:jc w:val="right"/>
              <w:ind w:right="260"/>
              <w:spacing w:after="0"/>
              <w:rPr>
                <w:sz w:val="20"/>
                <w:szCs w:val="20"/>
                <w:color w:val="auto"/>
              </w:rPr>
            </w:pPr>
            <w:r>
              <w:rPr>
                <w:rFonts w:ascii="Arial" w:cs="Arial" w:eastAsia="Arial" w:hAnsi="Arial"/>
                <w:sz w:val="18"/>
                <w:szCs w:val="18"/>
                <w:color w:val="auto"/>
              </w:rPr>
              <w:t>355,088</w:t>
            </w:r>
          </w:p>
        </w:tc>
        <w:tc>
          <w:tcPr>
            <w:tcW w:w="220" w:type="dxa"/>
            <w:vAlign w:val="bottom"/>
            <w:shd w:val="clear" w:color="auto" w:fill="C0C0C0"/>
          </w:tcPr>
          <w:p>
            <w:pPr>
              <w:spacing w:after="0"/>
              <w:rPr>
                <w:sz w:val="21"/>
                <w:szCs w:val="21"/>
                <w:color w:val="auto"/>
              </w:rPr>
            </w:pPr>
          </w:p>
        </w:tc>
        <w:tc>
          <w:tcPr>
            <w:tcW w:w="820" w:type="dxa"/>
            <w:vAlign w:val="bottom"/>
            <w:shd w:val="clear" w:color="auto" w:fill="C0C0C0"/>
          </w:tcPr>
          <w:p>
            <w:pPr>
              <w:jc w:val="right"/>
              <w:spacing w:after="0"/>
              <w:rPr>
                <w:sz w:val="20"/>
                <w:szCs w:val="20"/>
                <w:color w:val="auto"/>
              </w:rPr>
            </w:pPr>
            <w:r>
              <w:rPr>
                <w:rFonts w:ascii="Arial" w:cs="Arial" w:eastAsia="Arial" w:hAnsi="Arial"/>
                <w:sz w:val="18"/>
                <w:szCs w:val="18"/>
                <w:color w:val="auto"/>
              </w:rPr>
              <w:t>182,428</w:t>
            </w:r>
          </w:p>
        </w:tc>
        <w:tc>
          <w:tcPr>
            <w:tcW w:w="20" w:type="dxa"/>
            <w:vAlign w:val="bottom"/>
          </w:tcPr>
          <w:p>
            <w:pPr>
              <w:spacing w:after="0"/>
              <w:rPr>
                <w:sz w:val="21"/>
                <w:szCs w:val="21"/>
                <w:color w:val="auto"/>
              </w:rPr>
            </w:pPr>
          </w:p>
        </w:tc>
      </w:tr>
      <w:tr>
        <w:trPr>
          <w:trHeight w:val="235"/>
        </w:trPr>
        <w:tc>
          <w:tcPr>
            <w:tcW w:w="9020" w:type="dxa"/>
            <w:vAlign w:val="bottom"/>
          </w:tcPr>
          <w:p>
            <w:pPr>
              <w:spacing w:after="0"/>
              <w:rPr>
                <w:sz w:val="20"/>
                <w:szCs w:val="20"/>
                <w:color w:val="auto"/>
              </w:rPr>
            </w:pPr>
            <w:r>
              <w:rPr>
                <w:rFonts w:ascii="Arial" w:cs="Arial" w:eastAsia="Arial" w:hAnsi="Arial"/>
                <w:sz w:val="18"/>
                <w:szCs w:val="18"/>
                <w:color w:val="auto"/>
              </w:rPr>
              <w:t>Facility lease obligations</w:t>
            </w:r>
          </w:p>
        </w:tc>
        <w:tc>
          <w:tcPr>
            <w:tcW w:w="240" w:type="dxa"/>
            <w:vAlign w:val="bottom"/>
          </w:tcPr>
          <w:p>
            <w:pPr>
              <w:spacing w:after="0"/>
              <w:rPr>
                <w:sz w:val="20"/>
                <w:szCs w:val="20"/>
                <w:color w:val="auto"/>
              </w:rPr>
            </w:pPr>
          </w:p>
        </w:tc>
        <w:tc>
          <w:tcPr>
            <w:tcW w:w="1120" w:type="dxa"/>
            <w:vAlign w:val="bottom"/>
            <w:gridSpan w:val="2"/>
          </w:tcPr>
          <w:p>
            <w:pPr>
              <w:jc w:val="right"/>
              <w:ind w:right="260"/>
              <w:spacing w:after="0"/>
              <w:rPr>
                <w:sz w:val="20"/>
                <w:szCs w:val="20"/>
                <w:color w:val="auto"/>
              </w:rPr>
            </w:pPr>
            <w:r>
              <w:rPr>
                <w:rFonts w:ascii="Arial" w:cs="Arial" w:eastAsia="Arial" w:hAnsi="Arial"/>
                <w:sz w:val="18"/>
                <w:szCs w:val="18"/>
                <w:color w:val="auto"/>
              </w:rPr>
              <w:t>159,016</w:t>
            </w:r>
          </w:p>
        </w:tc>
        <w:tc>
          <w:tcPr>
            <w:tcW w:w="220" w:type="dxa"/>
            <w:vAlign w:val="bottom"/>
          </w:tcPr>
          <w:p>
            <w:pPr>
              <w:spacing w:after="0"/>
              <w:rPr>
                <w:sz w:val="20"/>
                <w:szCs w:val="20"/>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109,022</w:t>
            </w:r>
          </w:p>
        </w:tc>
        <w:tc>
          <w:tcPr>
            <w:tcW w:w="20" w:type="dxa"/>
            <w:vAlign w:val="bottom"/>
          </w:tcPr>
          <w:p>
            <w:pPr>
              <w:spacing w:after="0"/>
              <w:rPr>
                <w:sz w:val="20"/>
                <w:szCs w:val="20"/>
                <w:color w:val="auto"/>
              </w:rPr>
            </w:pPr>
          </w:p>
        </w:tc>
      </w:tr>
      <w:tr>
        <w:trPr>
          <w:trHeight w:val="243"/>
        </w:trPr>
        <w:tc>
          <w:tcPr>
            <w:tcW w:w="9020" w:type="dxa"/>
            <w:vAlign w:val="bottom"/>
            <w:shd w:val="clear" w:color="auto" w:fill="C0C0C0"/>
          </w:tcPr>
          <w:p>
            <w:pPr>
              <w:spacing w:after="0"/>
              <w:rPr>
                <w:sz w:val="20"/>
                <w:szCs w:val="20"/>
                <w:color w:val="auto"/>
              </w:rPr>
            </w:pPr>
            <w:r>
              <w:rPr>
                <w:rFonts w:ascii="Arial" w:cs="Arial" w:eastAsia="Arial" w:hAnsi="Arial"/>
                <w:sz w:val="18"/>
                <w:szCs w:val="18"/>
                <w:color w:val="auto"/>
              </w:rPr>
              <w:t>Stockholders' equity</w:t>
            </w:r>
          </w:p>
        </w:tc>
        <w:tc>
          <w:tcPr>
            <w:tcW w:w="240" w:type="dxa"/>
            <w:vAlign w:val="bottom"/>
            <w:shd w:val="clear" w:color="auto" w:fill="C0C0C0"/>
          </w:tcPr>
          <w:p>
            <w:pPr>
              <w:spacing w:after="0"/>
              <w:rPr>
                <w:sz w:val="21"/>
                <w:szCs w:val="21"/>
                <w:color w:val="auto"/>
              </w:rPr>
            </w:pPr>
          </w:p>
        </w:tc>
        <w:tc>
          <w:tcPr>
            <w:tcW w:w="1120" w:type="dxa"/>
            <w:vAlign w:val="bottom"/>
            <w:gridSpan w:val="2"/>
            <w:shd w:val="clear" w:color="auto" w:fill="C0C0C0"/>
          </w:tcPr>
          <w:p>
            <w:pPr>
              <w:jc w:val="right"/>
              <w:ind w:right="260"/>
              <w:spacing w:after="0"/>
              <w:rPr>
                <w:sz w:val="20"/>
                <w:szCs w:val="20"/>
                <w:color w:val="auto"/>
              </w:rPr>
            </w:pPr>
            <w:r>
              <w:rPr>
                <w:rFonts w:ascii="Arial" w:cs="Arial" w:eastAsia="Arial" w:hAnsi="Arial"/>
                <w:sz w:val="18"/>
                <w:szCs w:val="18"/>
                <w:color w:val="auto"/>
              </w:rPr>
              <w:t>348,064</w:t>
            </w:r>
          </w:p>
        </w:tc>
        <w:tc>
          <w:tcPr>
            <w:tcW w:w="220" w:type="dxa"/>
            <w:vAlign w:val="bottom"/>
            <w:shd w:val="clear" w:color="auto" w:fill="C0C0C0"/>
          </w:tcPr>
          <w:p>
            <w:pPr>
              <w:spacing w:after="0"/>
              <w:rPr>
                <w:sz w:val="21"/>
                <w:szCs w:val="21"/>
                <w:color w:val="auto"/>
              </w:rPr>
            </w:pPr>
          </w:p>
        </w:tc>
        <w:tc>
          <w:tcPr>
            <w:tcW w:w="820" w:type="dxa"/>
            <w:vAlign w:val="bottom"/>
            <w:shd w:val="clear" w:color="auto" w:fill="C0C0C0"/>
          </w:tcPr>
          <w:p>
            <w:pPr>
              <w:jc w:val="right"/>
              <w:spacing w:after="0"/>
              <w:rPr>
                <w:sz w:val="20"/>
                <w:szCs w:val="20"/>
                <w:color w:val="auto"/>
              </w:rPr>
            </w:pPr>
            <w:r>
              <w:rPr>
                <w:rFonts w:ascii="Arial" w:cs="Arial" w:eastAsia="Arial" w:hAnsi="Arial"/>
                <w:sz w:val="18"/>
                <w:szCs w:val="18"/>
                <w:color w:val="auto"/>
              </w:rPr>
              <w:t>396,762</w:t>
            </w:r>
          </w:p>
        </w:tc>
        <w:tc>
          <w:tcPr>
            <w:tcW w:w="20" w:type="dxa"/>
            <w:vAlign w:val="bottom"/>
          </w:tcPr>
          <w:p>
            <w:pPr>
              <w:spacing w:after="0"/>
              <w:rPr>
                <w:sz w:val="21"/>
                <w:szCs w:val="21"/>
                <w:color w:val="auto"/>
              </w:rPr>
            </w:pPr>
          </w:p>
        </w:tc>
      </w:tr>
      <w:tr>
        <w:trPr>
          <w:trHeight w:val="21"/>
        </w:trPr>
        <w:tc>
          <w:tcPr>
            <w:tcW w:w="9020" w:type="dxa"/>
            <w:vAlign w:val="bottom"/>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840" w:type="dxa"/>
            <w:vAlign w:val="bottom"/>
            <w:shd w:val="clear" w:color="auto" w:fill="000000"/>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820" w:type="dxa"/>
            <w:vAlign w:val="bottom"/>
            <w:shd w:val="clear" w:color="auto" w:fill="000000"/>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50"/>
        </w:trPr>
        <w:tc>
          <w:tcPr>
            <w:tcW w:w="9020" w:type="dxa"/>
            <w:vAlign w:val="bottom"/>
          </w:tcPr>
          <w:p>
            <w:pPr>
              <w:ind w:left="320"/>
              <w:spacing w:after="0"/>
              <w:rPr>
                <w:sz w:val="20"/>
                <w:szCs w:val="20"/>
                <w:color w:val="auto"/>
              </w:rPr>
            </w:pPr>
            <w:r>
              <w:rPr>
                <w:rFonts w:ascii="Arial" w:cs="Arial" w:eastAsia="Arial" w:hAnsi="Arial"/>
                <w:sz w:val="18"/>
                <w:szCs w:val="18"/>
                <w:color w:val="auto"/>
              </w:rPr>
              <w:t>Total liabilities and stockholders' equity</w:t>
            </w:r>
          </w:p>
        </w:tc>
        <w:tc>
          <w:tcPr>
            <w:tcW w:w="240" w:type="dxa"/>
            <w:vAlign w:val="bottom"/>
          </w:tcPr>
          <w:p>
            <w:pPr>
              <w:spacing w:after="0"/>
              <w:rPr>
                <w:sz w:val="20"/>
                <w:szCs w:val="20"/>
                <w:color w:val="auto"/>
              </w:rPr>
            </w:pPr>
            <w:r>
              <w:rPr>
                <w:rFonts w:ascii="Arial" w:cs="Arial" w:eastAsia="Arial" w:hAnsi="Arial"/>
                <w:sz w:val="18"/>
                <w:szCs w:val="18"/>
                <w:color w:val="auto"/>
              </w:rPr>
              <w:t>$</w:t>
            </w:r>
          </w:p>
        </w:tc>
        <w:tc>
          <w:tcPr>
            <w:tcW w:w="1120" w:type="dxa"/>
            <w:vAlign w:val="bottom"/>
            <w:gridSpan w:val="2"/>
          </w:tcPr>
          <w:p>
            <w:pPr>
              <w:jc w:val="right"/>
              <w:ind w:right="260"/>
              <w:spacing w:after="0"/>
              <w:rPr>
                <w:sz w:val="20"/>
                <w:szCs w:val="20"/>
                <w:color w:val="auto"/>
              </w:rPr>
            </w:pPr>
            <w:r>
              <w:rPr>
                <w:rFonts w:ascii="Arial" w:cs="Arial" w:eastAsia="Arial" w:hAnsi="Arial"/>
                <w:sz w:val="18"/>
                <w:szCs w:val="18"/>
                <w:color w:val="auto"/>
              </w:rPr>
              <w:t>942,433</w:t>
            </w:r>
          </w:p>
        </w:tc>
        <w:tc>
          <w:tcPr>
            <w:tcW w:w="220" w:type="dxa"/>
            <w:vAlign w:val="bottom"/>
          </w:tcPr>
          <w:p>
            <w:pPr>
              <w:spacing w:after="0"/>
              <w:rPr>
                <w:sz w:val="20"/>
                <w:szCs w:val="20"/>
                <w:color w:val="auto"/>
              </w:rPr>
            </w:pPr>
            <w:r>
              <w:rPr>
                <w:rFonts w:ascii="Arial" w:cs="Arial" w:eastAsia="Arial" w:hAnsi="Arial"/>
                <w:sz w:val="18"/>
                <w:szCs w:val="18"/>
                <w:color w:val="auto"/>
              </w:rPr>
              <w:t>$</w:t>
            </w:r>
          </w:p>
        </w:tc>
        <w:tc>
          <w:tcPr>
            <w:tcW w:w="820" w:type="dxa"/>
            <w:vAlign w:val="bottom"/>
          </w:tcPr>
          <w:p>
            <w:pPr>
              <w:jc w:val="right"/>
              <w:spacing w:after="0"/>
              <w:rPr>
                <w:sz w:val="20"/>
                <w:szCs w:val="20"/>
                <w:color w:val="auto"/>
              </w:rPr>
            </w:pPr>
            <w:r>
              <w:rPr>
                <w:rFonts w:ascii="Arial" w:cs="Arial" w:eastAsia="Arial" w:hAnsi="Arial"/>
                <w:sz w:val="18"/>
                <w:szCs w:val="18"/>
                <w:color w:val="auto"/>
              </w:rPr>
              <w:t>741,202</w:t>
            </w:r>
          </w:p>
        </w:tc>
        <w:tc>
          <w:tcPr>
            <w:tcW w:w="20" w:type="dxa"/>
            <w:vAlign w:val="bottom"/>
          </w:tcPr>
          <w:p>
            <w:pPr>
              <w:spacing w:after="0"/>
              <w:rPr>
                <w:sz w:val="21"/>
                <w:szCs w:val="21"/>
                <w:color w:val="auto"/>
              </w:rPr>
            </w:pPr>
          </w:p>
        </w:tc>
      </w:tr>
      <w:tr>
        <w:trPr>
          <w:trHeight w:val="388"/>
        </w:trPr>
        <w:tc>
          <w:tcPr>
            <w:tcW w:w="9020" w:type="dxa"/>
            <w:vAlign w:val="bottom"/>
            <w:tcBorders>
              <w:bottom w:val="single" w:sz="8" w:color="808080"/>
            </w:tcBorders>
          </w:tcPr>
          <w:p>
            <w:pPr>
              <w:spacing w:after="0"/>
              <w:rPr>
                <w:sz w:val="24"/>
                <w:szCs w:val="24"/>
                <w:color w:val="auto"/>
              </w:rPr>
            </w:pPr>
          </w:p>
        </w:tc>
        <w:tc>
          <w:tcPr>
            <w:tcW w:w="240" w:type="dxa"/>
            <w:vAlign w:val="bottom"/>
            <w:tcBorders>
              <w:top w:val="single" w:sz="8" w:color="auto"/>
              <w:bottom w:val="single" w:sz="8" w:color="808080"/>
            </w:tcBorders>
          </w:tcPr>
          <w:p>
            <w:pPr>
              <w:spacing w:after="0"/>
              <w:rPr>
                <w:sz w:val="24"/>
                <w:szCs w:val="24"/>
                <w:color w:val="auto"/>
              </w:rPr>
            </w:pPr>
          </w:p>
        </w:tc>
        <w:tc>
          <w:tcPr>
            <w:tcW w:w="840" w:type="dxa"/>
            <w:vAlign w:val="bottom"/>
            <w:tcBorders>
              <w:top w:val="single" w:sz="8" w:color="auto"/>
              <w:bottom w:val="single" w:sz="8" w:color="808080"/>
            </w:tcBorders>
          </w:tcPr>
          <w:p>
            <w:pPr>
              <w:spacing w:after="0"/>
              <w:rPr>
                <w:sz w:val="24"/>
                <w:szCs w:val="24"/>
                <w:color w:val="auto"/>
              </w:rPr>
            </w:pPr>
          </w:p>
        </w:tc>
        <w:tc>
          <w:tcPr>
            <w:tcW w:w="280" w:type="dxa"/>
            <w:vAlign w:val="bottom"/>
            <w:tcBorders>
              <w:bottom w:val="single" w:sz="8" w:color="808080"/>
            </w:tcBorders>
          </w:tcPr>
          <w:p>
            <w:pPr>
              <w:spacing w:after="0"/>
              <w:rPr>
                <w:sz w:val="24"/>
                <w:szCs w:val="24"/>
                <w:color w:val="auto"/>
              </w:rPr>
            </w:pPr>
          </w:p>
        </w:tc>
        <w:tc>
          <w:tcPr>
            <w:tcW w:w="220" w:type="dxa"/>
            <w:vAlign w:val="bottom"/>
            <w:tcBorders>
              <w:top w:val="single" w:sz="8" w:color="auto"/>
              <w:bottom w:val="single" w:sz="8" w:color="808080"/>
            </w:tcBorders>
          </w:tcPr>
          <w:p>
            <w:pPr>
              <w:spacing w:after="0"/>
              <w:rPr>
                <w:sz w:val="24"/>
                <w:szCs w:val="24"/>
                <w:color w:val="auto"/>
              </w:rPr>
            </w:pPr>
          </w:p>
        </w:tc>
        <w:tc>
          <w:tcPr>
            <w:tcW w:w="820" w:type="dxa"/>
            <w:vAlign w:val="bottom"/>
            <w:tcBorders>
              <w:top w:val="single" w:sz="8" w:color="auto"/>
              <w:bottom w:val="single" w:sz="8" w:color="808080"/>
            </w:tcBorders>
          </w:tcPr>
          <w:p>
            <w:pPr>
              <w:spacing w:after="0"/>
              <w:rPr>
                <w:sz w:val="24"/>
                <w:szCs w:val="24"/>
                <w:color w:val="auto"/>
              </w:rPr>
            </w:pPr>
          </w:p>
        </w:tc>
        <w:tc>
          <w:tcPr>
            <w:tcW w:w="20" w:type="dxa"/>
            <w:vAlign w:val="bottom"/>
            <w:tcBorders>
              <w:bottom w:val="single" w:sz="8" w:color="808080"/>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7258050</wp:posOffset>
            </wp:positionH>
            <wp:positionV relativeFrom="paragraph">
              <wp:posOffset>-14605</wp:posOffset>
            </wp:positionV>
            <wp:extent cx="12700" cy="889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-14605</wp:posOffset>
            </wp:positionV>
            <wp:extent cx="12700" cy="889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ectPr>
          <w:pgSz w:w="11900" w:h="16838" w:orient="portrait"/>
          <w:cols w:equalWidth="0" w:num="1">
            <w:col w:w="11440"/>
          </w:cols>
          <w:pgMar w:left="240" w:top="611" w:right="219" w:bottom="1440" w:gutter="0" w:footer="0" w:header="0"/>
        </w:sectPr>
      </w:pPr>
    </w:p>
    <w:bookmarkStart w:id="10" w:name="page11"/>
    <w:bookmarkEnd w:id="10"/>
    <w:p>
      <w:pPr>
        <w:jc w:val="center"/>
        <w:ind w:right="20"/>
        <w:spacing w:after="0"/>
        <w:rPr>
          <w:sz w:val="20"/>
          <w:szCs w:val="20"/>
          <w:color w:val="auto"/>
        </w:rPr>
      </w:pPr>
      <w:r>
        <w:rPr>
          <w:rFonts w:ascii="Arial" w:cs="Arial" w:eastAsia="Arial" w:hAnsi="Arial"/>
          <w:sz w:val="18"/>
          <w:szCs w:val="18"/>
          <w:b w:val="1"/>
          <w:bCs w:val="1"/>
          <w:color w:val="auto"/>
        </w:rPr>
        <w:t>REGENERON PHARMACEUTICALS, INC.</w:t>
      </w:r>
    </w:p>
    <w:p>
      <w:pPr>
        <w:spacing w:after="0" w:line="21" w:lineRule="exact"/>
        <w:rPr>
          <w:sz w:val="20"/>
          <w:szCs w:val="20"/>
          <w:color w:val="auto"/>
        </w:rPr>
      </w:pPr>
    </w:p>
    <w:p>
      <w:pPr>
        <w:jc w:val="center"/>
        <w:ind w:right="20"/>
        <w:spacing w:after="0"/>
        <w:rPr>
          <w:sz w:val="20"/>
          <w:szCs w:val="20"/>
          <w:color w:val="auto"/>
        </w:rPr>
      </w:pPr>
      <w:r>
        <w:rPr>
          <w:rFonts w:ascii="Arial" w:cs="Arial" w:eastAsia="Arial" w:hAnsi="Arial"/>
          <w:sz w:val="18"/>
          <w:szCs w:val="18"/>
          <w:b w:val="1"/>
          <w:bCs w:val="1"/>
          <w:color w:val="auto"/>
        </w:rPr>
        <w:t>CONDENSED STATEMENTS OF OPERATIONS (Unaudited)</w:t>
      </w:r>
    </w:p>
    <w:p>
      <w:pPr>
        <w:spacing w:after="0" w:line="9" w:lineRule="exact"/>
        <w:rPr>
          <w:sz w:val="20"/>
          <w:szCs w:val="20"/>
          <w:color w:val="auto"/>
        </w:rPr>
      </w:pPr>
    </w:p>
    <w:p>
      <w:pPr>
        <w:jc w:val="center"/>
        <w:ind w:right="20"/>
        <w:spacing w:after="0"/>
        <w:rPr>
          <w:sz w:val="20"/>
          <w:szCs w:val="20"/>
          <w:color w:val="auto"/>
        </w:rPr>
      </w:pPr>
      <w:r>
        <w:rPr>
          <w:rFonts w:ascii="Arial" w:cs="Arial" w:eastAsia="Arial" w:hAnsi="Arial"/>
          <w:sz w:val="18"/>
          <w:szCs w:val="18"/>
          <w:b w:val="1"/>
          <w:bCs w:val="1"/>
          <w:i w:val="1"/>
          <w:iCs w:val="1"/>
          <w:color w:val="auto"/>
        </w:rPr>
        <w:t>(In thousands, except per share data)</w:t>
      </w:r>
    </w:p>
    <w:p>
      <w:pPr>
        <w:spacing w:after="0" w:line="253" w:lineRule="exact"/>
        <w:rPr>
          <w:sz w:val="20"/>
          <w:szCs w:val="20"/>
          <w:color w:val="auto"/>
        </w:rPr>
      </w:pPr>
    </w:p>
    <w:tbl>
      <w:tblPr>
        <w:tblLayout w:type="fixed"/>
        <w:tblInd w:w="0" w:type="dxa"/>
        <w:tblCellMar>
          <w:top w:w="0" w:type="dxa"/>
          <w:left w:w="0" w:type="dxa"/>
          <w:bottom w:w="0" w:type="dxa"/>
          <w:right w:w="0" w:type="dxa"/>
        </w:tblCellMar>
      </w:tblPr>
      <w:tr>
        <w:trPr>
          <w:trHeight w:val="228"/>
        </w:trPr>
        <w:tc>
          <w:tcPr>
            <w:tcW w:w="66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2320" w:type="dxa"/>
            <w:vAlign w:val="bottom"/>
            <w:gridSpan w:val="5"/>
          </w:tcPr>
          <w:p>
            <w:pPr>
              <w:ind w:left="120"/>
              <w:spacing w:after="0"/>
              <w:rPr>
                <w:sz w:val="20"/>
                <w:szCs w:val="20"/>
                <w:color w:val="auto"/>
              </w:rPr>
            </w:pPr>
            <w:r>
              <w:rPr>
                <w:rFonts w:ascii="Arial" w:cs="Arial" w:eastAsia="Arial" w:hAnsi="Arial"/>
                <w:sz w:val="18"/>
                <w:szCs w:val="18"/>
                <w:b w:val="1"/>
                <w:bCs w:val="1"/>
                <w:color w:val="auto"/>
              </w:rPr>
              <w:t>For the three months</w:t>
            </w:r>
          </w:p>
        </w:tc>
        <w:tc>
          <w:tcPr>
            <w:tcW w:w="200" w:type="dxa"/>
            <w:vAlign w:val="bottom"/>
          </w:tcPr>
          <w:p>
            <w:pPr>
              <w:spacing w:after="0"/>
              <w:rPr>
                <w:sz w:val="19"/>
                <w:szCs w:val="19"/>
                <w:color w:val="auto"/>
              </w:rPr>
            </w:pPr>
          </w:p>
        </w:tc>
        <w:tc>
          <w:tcPr>
            <w:tcW w:w="2100" w:type="dxa"/>
            <w:vAlign w:val="bottom"/>
            <w:gridSpan w:val="4"/>
          </w:tcPr>
          <w:p>
            <w:pPr>
              <w:jc w:val="right"/>
              <w:ind w:right="312"/>
              <w:spacing w:after="0"/>
              <w:rPr>
                <w:sz w:val="20"/>
                <w:szCs w:val="20"/>
                <w:color w:val="auto"/>
              </w:rPr>
            </w:pPr>
            <w:r>
              <w:rPr>
                <w:rFonts w:ascii="Arial" w:cs="Arial" w:eastAsia="Arial" w:hAnsi="Arial"/>
                <w:sz w:val="18"/>
                <w:szCs w:val="18"/>
                <w:b w:val="1"/>
                <w:bCs w:val="1"/>
                <w:color w:val="auto"/>
                <w:w w:val="97"/>
              </w:rPr>
              <w:t>For the nine months</w:t>
            </w:r>
          </w:p>
        </w:tc>
        <w:tc>
          <w:tcPr>
            <w:tcW w:w="20" w:type="dxa"/>
            <w:vAlign w:val="bottom"/>
          </w:tcPr>
          <w:p>
            <w:pPr>
              <w:spacing w:after="0"/>
              <w:rPr>
                <w:sz w:val="19"/>
                <w:szCs w:val="19"/>
                <w:color w:val="auto"/>
              </w:rPr>
            </w:pPr>
          </w:p>
        </w:tc>
      </w:tr>
      <w:tr>
        <w:trPr>
          <w:trHeight w:val="243"/>
        </w:trPr>
        <w:tc>
          <w:tcPr>
            <w:tcW w:w="66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2320" w:type="dxa"/>
            <w:vAlign w:val="bottom"/>
            <w:gridSpan w:val="5"/>
          </w:tcPr>
          <w:p>
            <w:pPr>
              <w:ind w:left="140"/>
              <w:spacing w:after="0"/>
              <w:rPr>
                <w:sz w:val="20"/>
                <w:szCs w:val="20"/>
                <w:color w:val="auto"/>
              </w:rPr>
            </w:pPr>
            <w:r>
              <w:rPr>
                <w:rFonts w:ascii="Arial" w:cs="Arial" w:eastAsia="Arial" w:hAnsi="Arial"/>
                <w:sz w:val="18"/>
                <w:szCs w:val="18"/>
                <w:b w:val="1"/>
                <w:bCs w:val="1"/>
                <w:color w:val="auto"/>
              </w:rPr>
              <w:t>ended September 30,</w:t>
            </w:r>
          </w:p>
        </w:tc>
        <w:tc>
          <w:tcPr>
            <w:tcW w:w="200" w:type="dxa"/>
            <w:vAlign w:val="bottom"/>
          </w:tcPr>
          <w:p>
            <w:pPr>
              <w:spacing w:after="0"/>
              <w:rPr>
                <w:sz w:val="21"/>
                <w:szCs w:val="21"/>
                <w:color w:val="auto"/>
              </w:rPr>
            </w:pPr>
          </w:p>
        </w:tc>
        <w:tc>
          <w:tcPr>
            <w:tcW w:w="2100" w:type="dxa"/>
            <w:vAlign w:val="bottom"/>
            <w:gridSpan w:val="4"/>
          </w:tcPr>
          <w:p>
            <w:pPr>
              <w:jc w:val="right"/>
              <w:ind w:right="292"/>
              <w:spacing w:after="0"/>
              <w:rPr>
                <w:sz w:val="20"/>
                <w:szCs w:val="20"/>
                <w:color w:val="auto"/>
              </w:rPr>
            </w:pPr>
            <w:r>
              <w:rPr>
                <w:rFonts w:ascii="Arial" w:cs="Arial" w:eastAsia="Arial" w:hAnsi="Arial"/>
                <w:sz w:val="18"/>
                <w:szCs w:val="18"/>
                <w:b w:val="1"/>
                <w:bCs w:val="1"/>
                <w:color w:val="auto"/>
                <w:w w:val="93"/>
              </w:rPr>
              <w:t>ended September 30,</w:t>
            </w:r>
          </w:p>
        </w:tc>
        <w:tc>
          <w:tcPr>
            <w:tcW w:w="20" w:type="dxa"/>
            <w:vAlign w:val="bottom"/>
          </w:tcPr>
          <w:p>
            <w:pPr>
              <w:spacing w:after="0"/>
              <w:rPr>
                <w:sz w:val="21"/>
                <w:szCs w:val="21"/>
                <w:color w:val="auto"/>
              </w:rPr>
            </w:pPr>
          </w:p>
        </w:tc>
      </w:tr>
      <w:tr>
        <w:trPr>
          <w:trHeight w:val="252"/>
        </w:trPr>
        <w:tc>
          <w:tcPr>
            <w:tcW w:w="6600" w:type="dxa"/>
            <w:vAlign w:val="bottom"/>
            <w:tcBorders>
              <w:bottom w:val="single" w:sz="8" w:color="C0C0C0"/>
            </w:tcBorders>
          </w:tcPr>
          <w:p>
            <w:pPr>
              <w:spacing w:after="0"/>
              <w:rPr>
                <w:sz w:val="21"/>
                <w:szCs w:val="21"/>
                <w:color w:val="auto"/>
              </w:rPr>
            </w:pPr>
          </w:p>
        </w:tc>
        <w:tc>
          <w:tcPr>
            <w:tcW w:w="200" w:type="dxa"/>
            <w:vAlign w:val="bottom"/>
            <w:tcBorders>
              <w:bottom w:val="single" w:sz="8" w:color="auto"/>
            </w:tcBorders>
          </w:tcPr>
          <w:p>
            <w:pPr>
              <w:spacing w:after="0"/>
              <w:rPr>
                <w:sz w:val="21"/>
                <w:szCs w:val="21"/>
                <w:color w:val="auto"/>
              </w:rPr>
            </w:pPr>
          </w:p>
        </w:tc>
        <w:tc>
          <w:tcPr>
            <w:tcW w:w="780" w:type="dxa"/>
            <w:vAlign w:val="bottom"/>
            <w:tcBorders>
              <w:bottom w:val="single" w:sz="8" w:color="auto"/>
            </w:tcBorders>
          </w:tcPr>
          <w:p>
            <w:pPr>
              <w:ind w:left="120"/>
              <w:spacing w:after="0"/>
              <w:rPr>
                <w:sz w:val="20"/>
                <w:szCs w:val="20"/>
                <w:color w:val="auto"/>
              </w:rPr>
            </w:pPr>
            <w:r>
              <w:rPr>
                <w:rFonts w:ascii="Arial" w:cs="Arial" w:eastAsia="Arial" w:hAnsi="Arial"/>
                <w:sz w:val="18"/>
                <w:szCs w:val="18"/>
                <w:b w:val="1"/>
                <w:bCs w:val="1"/>
                <w:color w:val="auto"/>
              </w:rPr>
              <w:t>2010</w:t>
            </w:r>
          </w:p>
        </w:tc>
        <w:tc>
          <w:tcPr>
            <w:tcW w:w="280" w:type="dxa"/>
            <w:vAlign w:val="bottom"/>
            <w:tcBorders>
              <w:bottom w:val="single" w:sz="8" w:color="C0C0C0"/>
            </w:tcBorders>
          </w:tcPr>
          <w:p>
            <w:pPr>
              <w:spacing w:after="0"/>
              <w:rPr>
                <w:sz w:val="21"/>
                <w:szCs w:val="21"/>
                <w:color w:val="auto"/>
              </w:rPr>
            </w:pPr>
          </w:p>
        </w:tc>
        <w:tc>
          <w:tcPr>
            <w:tcW w:w="200" w:type="dxa"/>
            <w:vAlign w:val="bottom"/>
            <w:tcBorders>
              <w:bottom w:val="single" w:sz="8" w:color="auto"/>
            </w:tcBorders>
          </w:tcPr>
          <w:p>
            <w:pPr>
              <w:spacing w:after="0"/>
              <w:rPr>
                <w:sz w:val="21"/>
                <w:szCs w:val="21"/>
                <w:color w:val="auto"/>
              </w:rPr>
            </w:pPr>
          </w:p>
        </w:tc>
        <w:tc>
          <w:tcPr>
            <w:tcW w:w="780" w:type="dxa"/>
            <w:vAlign w:val="bottom"/>
            <w:tcBorders>
              <w:bottom w:val="single" w:sz="8" w:color="auto"/>
            </w:tcBorders>
          </w:tcPr>
          <w:p>
            <w:pPr>
              <w:jc w:val="right"/>
              <w:ind w:right="232"/>
              <w:spacing w:after="0"/>
              <w:rPr>
                <w:sz w:val="20"/>
                <w:szCs w:val="20"/>
                <w:color w:val="auto"/>
              </w:rPr>
            </w:pPr>
            <w:r>
              <w:rPr>
                <w:rFonts w:ascii="Arial" w:cs="Arial" w:eastAsia="Arial" w:hAnsi="Arial"/>
                <w:sz w:val="18"/>
                <w:szCs w:val="18"/>
                <w:b w:val="1"/>
                <w:bCs w:val="1"/>
                <w:color w:val="auto"/>
              </w:rPr>
              <w:t>2009</w:t>
            </w:r>
          </w:p>
        </w:tc>
        <w:tc>
          <w:tcPr>
            <w:tcW w:w="280" w:type="dxa"/>
            <w:vAlign w:val="bottom"/>
            <w:tcBorders>
              <w:bottom w:val="single" w:sz="8" w:color="C0C0C0"/>
            </w:tcBorders>
          </w:tcPr>
          <w:p>
            <w:pPr>
              <w:spacing w:after="0"/>
              <w:rPr>
                <w:sz w:val="21"/>
                <w:szCs w:val="21"/>
                <w:color w:val="auto"/>
              </w:rPr>
            </w:pPr>
          </w:p>
        </w:tc>
        <w:tc>
          <w:tcPr>
            <w:tcW w:w="200" w:type="dxa"/>
            <w:vAlign w:val="bottom"/>
            <w:tcBorders>
              <w:bottom w:val="single" w:sz="8" w:color="auto"/>
            </w:tcBorders>
          </w:tcPr>
          <w:p>
            <w:pPr>
              <w:spacing w:after="0"/>
              <w:rPr>
                <w:sz w:val="21"/>
                <w:szCs w:val="21"/>
                <w:color w:val="auto"/>
              </w:rPr>
            </w:pPr>
          </w:p>
        </w:tc>
        <w:tc>
          <w:tcPr>
            <w:tcW w:w="780" w:type="dxa"/>
            <w:vAlign w:val="bottom"/>
            <w:tcBorders>
              <w:bottom w:val="single" w:sz="8" w:color="auto"/>
            </w:tcBorders>
          </w:tcPr>
          <w:p>
            <w:pPr>
              <w:jc w:val="right"/>
              <w:ind w:right="232"/>
              <w:spacing w:after="0"/>
              <w:rPr>
                <w:sz w:val="20"/>
                <w:szCs w:val="20"/>
                <w:color w:val="auto"/>
              </w:rPr>
            </w:pPr>
            <w:r>
              <w:rPr>
                <w:rFonts w:ascii="Arial" w:cs="Arial" w:eastAsia="Arial" w:hAnsi="Arial"/>
                <w:sz w:val="18"/>
                <w:szCs w:val="18"/>
                <w:b w:val="1"/>
                <w:bCs w:val="1"/>
                <w:color w:val="auto"/>
              </w:rPr>
              <w:t>2010</w:t>
            </w:r>
          </w:p>
        </w:tc>
        <w:tc>
          <w:tcPr>
            <w:tcW w:w="260" w:type="dxa"/>
            <w:vAlign w:val="bottom"/>
            <w:tcBorders>
              <w:bottom w:val="single" w:sz="8" w:color="C0C0C0"/>
            </w:tcBorders>
          </w:tcPr>
          <w:p>
            <w:pPr>
              <w:spacing w:after="0"/>
              <w:rPr>
                <w:sz w:val="21"/>
                <w:szCs w:val="21"/>
                <w:color w:val="auto"/>
              </w:rPr>
            </w:pPr>
          </w:p>
        </w:tc>
        <w:tc>
          <w:tcPr>
            <w:tcW w:w="220" w:type="dxa"/>
            <w:vAlign w:val="bottom"/>
            <w:tcBorders>
              <w:bottom w:val="single" w:sz="8" w:color="auto"/>
            </w:tcBorders>
          </w:tcPr>
          <w:p>
            <w:pPr>
              <w:spacing w:after="0"/>
              <w:rPr>
                <w:sz w:val="21"/>
                <w:szCs w:val="21"/>
                <w:color w:val="auto"/>
              </w:rPr>
            </w:pPr>
          </w:p>
        </w:tc>
        <w:tc>
          <w:tcPr>
            <w:tcW w:w="840" w:type="dxa"/>
            <w:vAlign w:val="bottom"/>
            <w:tcBorders>
              <w:bottom w:val="single" w:sz="8" w:color="auto"/>
            </w:tcBorders>
          </w:tcPr>
          <w:p>
            <w:pPr>
              <w:jc w:val="right"/>
              <w:ind w:right="272"/>
              <w:spacing w:after="0"/>
              <w:rPr>
                <w:sz w:val="20"/>
                <w:szCs w:val="20"/>
                <w:color w:val="auto"/>
              </w:rPr>
            </w:pPr>
            <w:r>
              <w:rPr>
                <w:rFonts w:ascii="Arial" w:cs="Arial" w:eastAsia="Arial" w:hAnsi="Arial"/>
                <w:sz w:val="18"/>
                <w:szCs w:val="18"/>
                <w:b w:val="1"/>
                <w:bCs w:val="1"/>
                <w:color w:val="auto"/>
              </w:rPr>
              <w:t>2009</w:t>
            </w:r>
          </w:p>
        </w:tc>
        <w:tc>
          <w:tcPr>
            <w:tcW w:w="20" w:type="dxa"/>
            <w:vAlign w:val="bottom"/>
          </w:tcPr>
          <w:p>
            <w:pPr>
              <w:spacing w:after="0"/>
              <w:rPr>
                <w:sz w:val="21"/>
                <w:szCs w:val="21"/>
                <w:color w:val="auto"/>
              </w:rPr>
            </w:pPr>
          </w:p>
        </w:tc>
      </w:tr>
      <w:tr>
        <w:trPr>
          <w:trHeight w:val="243"/>
        </w:trPr>
        <w:tc>
          <w:tcPr>
            <w:tcW w:w="6600" w:type="dxa"/>
            <w:vAlign w:val="bottom"/>
            <w:shd w:val="clear" w:color="auto" w:fill="C0C0C0"/>
          </w:tcPr>
          <w:p>
            <w:pPr>
              <w:spacing w:after="0"/>
              <w:rPr>
                <w:sz w:val="20"/>
                <w:szCs w:val="20"/>
                <w:color w:val="auto"/>
              </w:rPr>
            </w:pPr>
            <w:r>
              <w:rPr>
                <w:rFonts w:ascii="Arial" w:cs="Arial" w:eastAsia="Arial" w:hAnsi="Arial"/>
                <w:sz w:val="18"/>
                <w:szCs w:val="18"/>
                <w:color w:val="auto"/>
              </w:rPr>
              <w:t>Revenues</w:t>
            </w:r>
          </w:p>
        </w:tc>
        <w:tc>
          <w:tcPr>
            <w:tcW w:w="200" w:type="dxa"/>
            <w:vAlign w:val="bottom"/>
            <w:shd w:val="clear" w:color="auto" w:fill="C0C0C0"/>
          </w:tcPr>
          <w:p>
            <w:pPr>
              <w:spacing w:after="0"/>
              <w:rPr>
                <w:sz w:val="21"/>
                <w:szCs w:val="21"/>
                <w:color w:val="auto"/>
              </w:rPr>
            </w:pPr>
          </w:p>
        </w:tc>
        <w:tc>
          <w:tcPr>
            <w:tcW w:w="780" w:type="dxa"/>
            <w:vAlign w:val="bottom"/>
            <w:shd w:val="clear" w:color="auto" w:fill="C0C0C0"/>
          </w:tcPr>
          <w:p>
            <w:pPr>
              <w:spacing w:after="0"/>
              <w:rPr>
                <w:sz w:val="21"/>
                <w:szCs w:val="21"/>
                <w:color w:val="auto"/>
              </w:rPr>
            </w:pPr>
          </w:p>
        </w:tc>
        <w:tc>
          <w:tcPr>
            <w:tcW w:w="280" w:type="dxa"/>
            <w:vAlign w:val="bottom"/>
            <w:shd w:val="clear" w:color="auto" w:fill="C0C0C0"/>
          </w:tcPr>
          <w:p>
            <w:pPr>
              <w:spacing w:after="0"/>
              <w:rPr>
                <w:sz w:val="21"/>
                <w:szCs w:val="21"/>
                <w:color w:val="auto"/>
              </w:rPr>
            </w:pPr>
          </w:p>
        </w:tc>
        <w:tc>
          <w:tcPr>
            <w:tcW w:w="200" w:type="dxa"/>
            <w:vAlign w:val="bottom"/>
            <w:shd w:val="clear" w:color="auto" w:fill="C0C0C0"/>
          </w:tcPr>
          <w:p>
            <w:pPr>
              <w:spacing w:after="0"/>
              <w:rPr>
                <w:sz w:val="21"/>
                <w:szCs w:val="21"/>
                <w:color w:val="auto"/>
              </w:rPr>
            </w:pPr>
          </w:p>
        </w:tc>
        <w:tc>
          <w:tcPr>
            <w:tcW w:w="780" w:type="dxa"/>
            <w:vAlign w:val="bottom"/>
            <w:shd w:val="clear" w:color="auto" w:fill="C0C0C0"/>
          </w:tcPr>
          <w:p>
            <w:pPr>
              <w:spacing w:after="0"/>
              <w:rPr>
                <w:sz w:val="21"/>
                <w:szCs w:val="21"/>
                <w:color w:val="auto"/>
              </w:rPr>
            </w:pPr>
          </w:p>
        </w:tc>
        <w:tc>
          <w:tcPr>
            <w:tcW w:w="280" w:type="dxa"/>
            <w:vAlign w:val="bottom"/>
            <w:shd w:val="clear" w:color="auto" w:fill="C0C0C0"/>
          </w:tcPr>
          <w:p>
            <w:pPr>
              <w:spacing w:after="0"/>
              <w:rPr>
                <w:sz w:val="21"/>
                <w:szCs w:val="21"/>
                <w:color w:val="auto"/>
              </w:rPr>
            </w:pPr>
          </w:p>
        </w:tc>
        <w:tc>
          <w:tcPr>
            <w:tcW w:w="200" w:type="dxa"/>
            <w:vAlign w:val="bottom"/>
            <w:shd w:val="clear" w:color="auto" w:fill="C0C0C0"/>
          </w:tcPr>
          <w:p>
            <w:pPr>
              <w:spacing w:after="0"/>
              <w:rPr>
                <w:sz w:val="21"/>
                <w:szCs w:val="21"/>
                <w:color w:val="auto"/>
              </w:rPr>
            </w:pPr>
          </w:p>
        </w:tc>
        <w:tc>
          <w:tcPr>
            <w:tcW w:w="780" w:type="dxa"/>
            <w:vAlign w:val="bottom"/>
            <w:shd w:val="clear" w:color="auto" w:fill="C0C0C0"/>
          </w:tcPr>
          <w:p>
            <w:pPr>
              <w:spacing w:after="0"/>
              <w:rPr>
                <w:sz w:val="21"/>
                <w:szCs w:val="21"/>
                <w:color w:val="auto"/>
              </w:rPr>
            </w:pPr>
          </w:p>
        </w:tc>
        <w:tc>
          <w:tcPr>
            <w:tcW w:w="260" w:type="dxa"/>
            <w:vAlign w:val="bottom"/>
            <w:shd w:val="clear" w:color="auto" w:fill="C0C0C0"/>
          </w:tcPr>
          <w:p>
            <w:pPr>
              <w:spacing w:after="0"/>
              <w:rPr>
                <w:sz w:val="21"/>
                <w:szCs w:val="21"/>
                <w:color w:val="auto"/>
              </w:rPr>
            </w:pPr>
          </w:p>
        </w:tc>
        <w:tc>
          <w:tcPr>
            <w:tcW w:w="220" w:type="dxa"/>
            <w:vAlign w:val="bottom"/>
            <w:shd w:val="clear" w:color="auto" w:fill="C0C0C0"/>
          </w:tcPr>
          <w:p>
            <w:pPr>
              <w:spacing w:after="0"/>
              <w:rPr>
                <w:sz w:val="21"/>
                <w:szCs w:val="21"/>
                <w:color w:val="auto"/>
              </w:rPr>
            </w:pPr>
          </w:p>
        </w:tc>
        <w:tc>
          <w:tcPr>
            <w:tcW w:w="840" w:type="dxa"/>
            <w:vAlign w:val="bottom"/>
            <w:shd w:val="clear" w:color="auto" w:fill="C0C0C0"/>
          </w:tcPr>
          <w:p>
            <w:pPr>
              <w:spacing w:after="0"/>
              <w:rPr>
                <w:sz w:val="21"/>
                <w:szCs w:val="21"/>
                <w:color w:val="auto"/>
              </w:rPr>
            </w:pPr>
          </w:p>
        </w:tc>
        <w:tc>
          <w:tcPr>
            <w:tcW w:w="20" w:type="dxa"/>
            <w:vAlign w:val="bottom"/>
          </w:tcPr>
          <w:p>
            <w:pPr>
              <w:spacing w:after="0"/>
              <w:rPr>
                <w:sz w:val="21"/>
                <w:szCs w:val="21"/>
                <w:color w:val="auto"/>
              </w:rPr>
            </w:pPr>
          </w:p>
        </w:tc>
      </w:tr>
      <w:tr>
        <w:trPr>
          <w:trHeight w:val="235"/>
        </w:trPr>
        <w:tc>
          <w:tcPr>
            <w:tcW w:w="6600" w:type="dxa"/>
            <w:vAlign w:val="bottom"/>
          </w:tcPr>
          <w:p>
            <w:pPr>
              <w:ind w:left="320"/>
              <w:spacing w:after="0"/>
              <w:rPr>
                <w:sz w:val="20"/>
                <w:szCs w:val="20"/>
                <w:color w:val="auto"/>
              </w:rPr>
            </w:pPr>
            <w:r>
              <w:rPr>
                <w:rFonts w:ascii="Arial" w:cs="Arial" w:eastAsia="Arial" w:hAnsi="Arial"/>
                <w:sz w:val="18"/>
                <w:szCs w:val="18"/>
                <w:color w:val="auto"/>
              </w:rPr>
              <w:t>Collaboration revenue</w:t>
            </w:r>
          </w:p>
        </w:tc>
        <w:tc>
          <w:tcPr>
            <w:tcW w:w="200" w:type="dxa"/>
            <w:vAlign w:val="bottom"/>
          </w:tcPr>
          <w:p>
            <w:pPr>
              <w:jc w:val="right"/>
              <w:ind w:right="43"/>
              <w:spacing w:after="0"/>
              <w:rPr>
                <w:sz w:val="20"/>
                <w:szCs w:val="20"/>
                <w:color w:val="auto"/>
              </w:rPr>
            </w:pPr>
            <w:r>
              <w:rPr>
                <w:rFonts w:ascii="Arial" w:cs="Arial" w:eastAsia="Arial" w:hAnsi="Arial"/>
                <w:sz w:val="15"/>
                <w:szCs w:val="15"/>
                <w:color w:val="auto"/>
                <w:w w:val="71"/>
              </w:rPr>
              <w:t>$</w:t>
            </w:r>
          </w:p>
        </w:tc>
        <w:tc>
          <w:tcPr>
            <w:tcW w:w="780" w:type="dxa"/>
            <w:vAlign w:val="bottom"/>
          </w:tcPr>
          <w:p>
            <w:pPr>
              <w:jc w:val="right"/>
              <w:spacing w:after="0"/>
              <w:rPr>
                <w:sz w:val="20"/>
                <w:szCs w:val="20"/>
                <w:color w:val="auto"/>
              </w:rPr>
            </w:pPr>
            <w:r>
              <w:rPr>
                <w:rFonts w:ascii="Arial" w:cs="Arial" w:eastAsia="Arial" w:hAnsi="Arial"/>
                <w:sz w:val="18"/>
                <w:szCs w:val="18"/>
                <w:color w:val="auto"/>
              </w:rPr>
              <w:t>89,344</w:t>
            </w:r>
          </w:p>
        </w:tc>
        <w:tc>
          <w:tcPr>
            <w:tcW w:w="280" w:type="dxa"/>
            <w:vAlign w:val="bottom"/>
          </w:tcPr>
          <w:p>
            <w:pPr>
              <w:spacing w:after="0"/>
              <w:rPr>
                <w:sz w:val="20"/>
                <w:szCs w:val="20"/>
                <w:color w:val="auto"/>
              </w:rPr>
            </w:pPr>
          </w:p>
        </w:tc>
        <w:tc>
          <w:tcPr>
            <w:tcW w:w="200" w:type="dxa"/>
            <w:vAlign w:val="bottom"/>
          </w:tcPr>
          <w:p>
            <w:pPr>
              <w:jc w:val="right"/>
              <w:ind w:right="43"/>
              <w:spacing w:after="0"/>
              <w:rPr>
                <w:sz w:val="20"/>
                <w:szCs w:val="20"/>
                <w:color w:val="auto"/>
              </w:rPr>
            </w:pPr>
            <w:r>
              <w:rPr>
                <w:rFonts w:ascii="Arial" w:cs="Arial" w:eastAsia="Arial" w:hAnsi="Arial"/>
                <w:sz w:val="15"/>
                <w:szCs w:val="15"/>
                <w:color w:val="auto"/>
                <w:w w:val="71"/>
              </w:rPr>
              <w:t>$</w:t>
            </w:r>
          </w:p>
        </w:tc>
        <w:tc>
          <w:tcPr>
            <w:tcW w:w="780" w:type="dxa"/>
            <w:vAlign w:val="bottom"/>
          </w:tcPr>
          <w:p>
            <w:pPr>
              <w:jc w:val="right"/>
              <w:ind w:right="12"/>
              <w:spacing w:after="0"/>
              <w:rPr>
                <w:sz w:val="20"/>
                <w:szCs w:val="20"/>
                <w:color w:val="auto"/>
              </w:rPr>
            </w:pPr>
            <w:r>
              <w:rPr>
                <w:rFonts w:ascii="Arial" w:cs="Arial" w:eastAsia="Arial" w:hAnsi="Arial"/>
                <w:sz w:val="18"/>
                <w:szCs w:val="18"/>
                <w:color w:val="auto"/>
              </w:rPr>
              <w:t>100,689</w:t>
            </w:r>
          </w:p>
        </w:tc>
        <w:tc>
          <w:tcPr>
            <w:tcW w:w="280" w:type="dxa"/>
            <w:vAlign w:val="bottom"/>
          </w:tcPr>
          <w:p>
            <w:pPr>
              <w:spacing w:after="0"/>
              <w:rPr>
                <w:sz w:val="20"/>
                <w:szCs w:val="20"/>
                <w:color w:val="auto"/>
              </w:rPr>
            </w:pPr>
          </w:p>
        </w:tc>
        <w:tc>
          <w:tcPr>
            <w:tcW w:w="200" w:type="dxa"/>
            <w:vAlign w:val="bottom"/>
          </w:tcPr>
          <w:p>
            <w:pPr>
              <w:jc w:val="right"/>
              <w:ind w:right="43"/>
              <w:spacing w:after="0"/>
              <w:rPr>
                <w:sz w:val="20"/>
                <w:szCs w:val="20"/>
                <w:color w:val="auto"/>
              </w:rPr>
            </w:pPr>
            <w:r>
              <w:rPr>
                <w:rFonts w:ascii="Arial" w:cs="Arial" w:eastAsia="Arial" w:hAnsi="Arial"/>
                <w:sz w:val="15"/>
                <w:szCs w:val="15"/>
                <w:color w:val="auto"/>
                <w:w w:val="71"/>
              </w:rPr>
              <w:t>$</w:t>
            </w:r>
          </w:p>
        </w:tc>
        <w:tc>
          <w:tcPr>
            <w:tcW w:w="780" w:type="dxa"/>
            <w:vAlign w:val="bottom"/>
          </w:tcPr>
          <w:p>
            <w:pPr>
              <w:jc w:val="right"/>
              <w:ind w:right="12"/>
              <w:spacing w:after="0"/>
              <w:rPr>
                <w:sz w:val="20"/>
                <w:szCs w:val="20"/>
                <w:color w:val="auto"/>
              </w:rPr>
            </w:pPr>
            <w:r>
              <w:rPr>
                <w:rFonts w:ascii="Arial" w:cs="Arial" w:eastAsia="Arial" w:hAnsi="Arial"/>
                <w:sz w:val="18"/>
                <w:szCs w:val="18"/>
                <w:color w:val="auto"/>
              </w:rPr>
              <w:t>269,678</w:t>
            </w:r>
          </w:p>
        </w:tc>
        <w:tc>
          <w:tcPr>
            <w:tcW w:w="260" w:type="dxa"/>
            <w:vAlign w:val="bottom"/>
          </w:tcPr>
          <w:p>
            <w:pPr>
              <w:spacing w:after="0"/>
              <w:rPr>
                <w:sz w:val="20"/>
                <w:szCs w:val="20"/>
                <w:color w:val="auto"/>
              </w:rPr>
            </w:pPr>
          </w:p>
        </w:tc>
        <w:tc>
          <w:tcPr>
            <w:tcW w:w="220" w:type="dxa"/>
            <w:vAlign w:val="bottom"/>
          </w:tcPr>
          <w:p>
            <w:pPr>
              <w:jc w:val="right"/>
              <w:ind w:right="32"/>
              <w:spacing w:after="0"/>
              <w:rPr>
                <w:sz w:val="20"/>
                <w:szCs w:val="20"/>
                <w:color w:val="auto"/>
              </w:rPr>
            </w:pPr>
            <w:r>
              <w:rPr>
                <w:rFonts w:ascii="Arial" w:cs="Arial" w:eastAsia="Arial" w:hAnsi="Arial"/>
                <w:sz w:val="18"/>
                <w:szCs w:val="18"/>
                <w:color w:val="auto"/>
                <w:w w:val="79"/>
              </w:rPr>
              <w:t>$</w:t>
            </w:r>
          </w:p>
        </w:tc>
        <w:tc>
          <w:tcPr>
            <w:tcW w:w="840" w:type="dxa"/>
            <w:vAlign w:val="bottom"/>
          </w:tcPr>
          <w:p>
            <w:pPr>
              <w:jc w:val="right"/>
              <w:ind w:right="72"/>
              <w:spacing w:after="0"/>
              <w:rPr>
                <w:sz w:val="20"/>
                <w:szCs w:val="20"/>
                <w:color w:val="auto"/>
              </w:rPr>
            </w:pPr>
            <w:r>
              <w:rPr>
                <w:rFonts w:ascii="Arial" w:cs="Arial" w:eastAsia="Arial" w:hAnsi="Arial"/>
                <w:sz w:val="18"/>
                <w:szCs w:val="18"/>
                <w:color w:val="auto"/>
              </w:rPr>
              <w:t>233,875</w:t>
            </w:r>
          </w:p>
        </w:tc>
        <w:tc>
          <w:tcPr>
            <w:tcW w:w="20" w:type="dxa"/>
            <w:vAlign w:val="bottom"/>
          </w:tcPr>
          <w:p>
            <w:pPr>
              <w:spacing w:after="0"/>
              <w:rPr>
                <w:sz w:val="20"/>
                <w:szCs w:val="20"/>
                <w:color w:val="auto"/>
              </w:rPr>
            </w:pPr>
          </w:p>
        </w:tc>
      </w:tr>
      <w:tr>
        <w:trPr>
          <w:trHeight w:val="251"/>
        </w:trPr>
        <w:tc>
          <w:tcPr>
            <w:tcW w:w="6600" w:type="dxa"/>
            <w:vAlign w:val="bottom"/>
            <w:shd w:val="clear" w:color="auto" w:fill="C0C0C0"/>
          </w:tcPr>
          <w:p>
            <w:pPr>
              <w:ind w:left="320"/>
              <w:spacing w:after="0"/>
              <w:rPr>
                <w:sz w:val="20"/>
                <w:szCs w:val="20"/>
                <w:color w:val="auto"/>
              </w:rPr>
            </w:pPr>
            <w:r>
              <w:rPr>
                <w:rFonts w:ascii="Arial" w:cs="Arial" w:eastAsia="Arial" w:hAnsi="Arial"/>
                <w:sz w:val="18"/>
                <w:szCs w:val="18"/>
                <w:color w:val="auto"/>
              </w:rPr>
              <w:t>Technology licensing</w:t>
            </w:r>
          </w:p>
        </w:tc>
        <w:tc>
          <w:tcPr>
            <w:tcW w:w="200" w:type="dxa"/>
            <w:vAlign w:val="bottom"/>
            <w:shd w:val="clear" w:color="auto" w:fill="C0C0C0"/>
          </w:tcPr>
          <w:p>
            <w:pPr>
              <w:spacing w:after="0"/>
              <w:rPr>
                <w:sz w:val="21"/>
                <w:szCs w:val="21"/>
                <w:color w:val="auto"/>
              </w:rPr>
            </w:pPr>
          </w:p>
        </w:tc>
        <w:tc>
          <w:tcPr>
            <w:tcW w:w="780" w:type="dxa"/>
            <w:vAlign w:val="bottom"/>
            <w:shd w:val="clear" w:color="auto" w:fill="C0C0C0"/>
          </w:tcPr>
          <w:p>
            <w:pPr>
              <w:jc w:val="right"/>
              <w:spacing w:after="0"/>
              <w:rPr>
                <w:sz w:val="20"/>
                <w:szCs w:val="20"/>
                <w:color w:val="auto"/>
              </w:rPr>
            </w:pPr>
            <w:r>
              <w:rPr>
                <w:rFonts w:ascii="Arial" w:cs="Arial" w:eastAsia="Arial" w:hAnsi="Arial"/>
                <w:sz w:val="18"/>
                <w:szCs w:val="18"/>
                <w:color w:val="auto"/>
              </w:rPr>
              <w:t>10,037</w:t>
            </w:r>
          </w:p>
        </w:tc>
        <w:tc>
          <w:tcPr>
            <w:tcW w:w="280" w:type="dxa"/>
            <w:vAlign w:val="bottom"/>
            <w:shd w:val="clear" w:color="auto" w:fill="C0C0C0"/>
          </w:tcPr>
          <w:p>
            <w:pPr>
              <w:spacing w:after="0"/>
              <w:rPr>
                <w:sz w:val="21"/>
                <w:szCs w:val="21"/>
                <w:color w:val="auto"/>
              </w:rPr>
            </w:pPr>
          </w:p>
        </w:tc>
        <w:tc>
          <w:tcPr>
            <w:tcW w:w="200" w:type="dxa"/>
            <w:vAlign w:val="bottom"/>
            <w:shd w:val="clear" w:color="auto" w:fill="C0C0C0"/>
          </w:tcPr>
          <w:p>
            <w:pPr>
              <w:spacing w:after="0"/>
              <w:rPr>
                <w:sz w:val="21"/>
                <w:szCs w:val="21"/>
                <w:color w:val="auto"/>
              </w:rPr>
            </w:pPr>
          </w:p>
        </w:tc>
        <w:tc>
          <w:tcPr>
            <w:tcW w:w="780" w:type="dxa"/>
            <w:vAlign w:val="bottom"/>
            <w:shd w:val="clear" w:color="auto" w:fill="C0C0C0"/>
          </w:tcPr>
          <w:p>
            <w:pPr>
              <w:jc w:val="right"/>
              <w:ind w:right="12"/>
              <w:spacing w:after="0"/>
              <w:rPr>
                <w:sz w:val="20"/>
                <w:szCs w:val="20"/>
                <w:color w:val="auto"/>
              </w:rPr>
            </w:pPr>
            <w:r>
              <w:rPr>
                <w:rFonts w:ascii="Arial" w:cs="Arial" w:eastAsia="Arial" w:hAnsi="Arial"/>
                <w:sz w:val="18"/>
                <w:szCs w:val="18"/>
                <w:color w:val="auto"/>
              </w:rPr>
              <w:t>10,000</w:t>
            </w:r>
          </w:p>
        </w:tc>
        <w:tc>
          <w:tcPr>
            <w:tcW w:w="280" w:type="dxa"/>
            <w:vAlign w:val="bottom"/>
            <w:shd w:val="clear" w:color="auto" w:fill="C0C0C0"/>
          </w:tcPr>
          <w:p>
            <w:pPr>
              <w:spacing w:after="0"/>
              <w:rPr>
                <w:sz w:val="21"/>
                <w:szCs w:val="21"/>
                <w:color w:val="auto"/>
              </w:rPr>
            </w:pPr>
          </w:p>
        </w:tc>
        <w:tc>
          <w:tcPr>
            <w:tcW w:w="200" w:type="dxa"/>
            <w:vAlign w:val="bottom"/>
            <w:shd w:val="clear" w:color="auto" w:fill="C0C0C0"/>
          </w:tcPr>
          <w:p>
            <w:pPr>
              <w:spacing w:after="0"/>
              <w:rPr>
                <w:sz w:val="21"/>
                <w:szCs w:val="21"/>
                <w:color w:val="auto"/>
              </w:rPr>
            </w:pPr>
          </w:p>
        </w:tc>
        <w:tc>
          <w:tcPr>
            <w:tcW w:w="780" w:type="dxa"/>
            <w:vAlign w:val="bottom"/>
            <w:shd w:val="clear" w:color="auto" w:fill="C0C0C0"/>
          </w:tcPr>
          <w:p>
            <w:pPr>
              <w:jc w:val="right"/>
              <w:ind w:right="12"/>
              <w:spacing w:after="0"/>
              <w:rPr>
                <w:sz w:val="20"/>
                <w:szCs w:val="20"/>
                <w:color w:val="auto"/>
              </w:rPr>
            </w:pPr>
            <w:r>
              <w:rPr>
                <w:rFonts w:ascii="Arial" w:cs="Arial" w:eastAsia="Arial" w:hAnsi="Arial"/>
                <w:sz w:val="18"/>
                <w:szCs w:val="18"/>
                <w:color w:val="auto"/>
              </w:rPr>
              <w:t>30,112</w:t>
            </w:r>
          </w:p>
        </w:tc>
        <w:tc>
          <w:tcPr>
            <w:tcW w:w="260" w:type="dxa"/>
            <w:vAlign w:val="bottom"/>
            <w:shd w:val="clear" w:color="auto" w:fill="C0C0C0"/>
          </w:tcPr>
          <w:p>
            <w:pPr>
              <w:spacing w:after="0"/>
              <w:rPr>
                <w:sz w:val="21"/>
                <w:szCs w:val="21"/>
                <w:color w:val="auto"/>
              </w:rPr>
            </w:pPr>
          </w:p>
        </w:tc>
        <w:tc>
          <w:tcPr>
            <w:tcW w:w="220" w:type="dxa"/>
            <w:vAlign w:val="bottom"/>
            <w:shd w:val="clear" w:color="auto" w:fill="C0C0C0"/>
          </w:tcPr>
          <w:p>
            <w:pPr>
              <w:spacing w:after="0"/>
              <w:rPr>
                <w:sz w:val="21"/>
                <w:szCs w:val="21"/>
                <w:color w:val="auto"/>
              </w:rPr>
            </w:pPr>
          </w:p>
        </w:tc>
        <w:tc>
          <w:tcPr>
            <w:tcW w:w="840" w:type="dxa"/>
            <w:vAlign w:val="bottom"/>
            <w:shd w:val="clear" w:color="auto" w:fill="C0C0C0"/>
          </w:tcPr>
          <w:p>
            <w:pPr>
              <w:jc w:val="right"/>
              <w:ind w:right="72"/>
              <w:spacing w:after="0"/>
              <w:rPr>
                <w:sz w:val="20"/>
                <w:szCs w:val="20"/>
                <w:color w:val="auto"/>
              </w:rPr>
            </w:pPr>
            <w:r>
              <w:rPr>
                <w:rFonts w:ascii="Arial" w:cs="Arial" w:eastAsia="Arial" w:hAnsi="Arial"/>
                <w:sz w:val="18"/>
                <w:szCs w:val="18"/>
                <w:color w:val="auto"/>
              </w:rPr>
              <w:t>30,000</w:t>
            </w:r>
          </w:p>
        </w:tc>
        <w:tc>
          <w:tcPr>
            <w:tcW w:w="20" w:type="dxa"/>
            <w:vAlign w:val="bottom"/>
          </w:tcPr>
          <w:p>
            <w:pPr>
              <w:spacing w:after="0"/>
              <w:rPr>
                <w:sz w:val="21"/>
                <w:szCs w:val="21"/>
                <w:color w:val="auto"/>
              </w:rPr>
            </w:pPr>
          </w:p>
        </w:tc>
      </w:tr>
      <w:tr>
        <w:trPr>
          <w:trHeight w:val="235"/>
        </w:trPr>
        <w:tc>
          <w:tcPr>
            <w:tcW w:w="6600" w:type="dxa"/>
            <w:vAlign w:val="bottom"/>
          </w:tcPr>
          <w:p>
            <w:pPr>
              <w:ind w:left="320"/>
              <w:spacing w:after="0"/>
              <w:rPr>
                <w:sz w:val="20"/>
                <w:szCs w:val="20"/>
                <w:color w:val="auto"/>
              </w:rPr>
            </w:pPr>
            <w:r>
              <w:rPr>
                <w:rFonts w:ascii="Arial" w:cs="Arial" w:eastAsia="Arial" w:hAnsi="Arial"/>
                <w:sz w:val="18"/>
                <w:szCs w:val="18"/>
                <w:color w:val="auto"/>
              </w:rPr>
              <w:t>Net product sales</w:t>
            </w:r>
          </w:p>
        </w:tc>
        <w:tc>
          <w:tcPr>
            <w:tcW w:w="200" w:type="dxa"/>
            <w:vAlign w:val="bottom"/>
          </w:tcPr>
          <w:p>
            <w:pPr>
              <w:spacing w:after="0"/>
              <w:rPr>
                <w:sz w:val="20"/>
                <w:szCs w:val="20"/>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4,936</w:t>
            </w:r>
          </w:p>
        </w:tc>
        <w:tc>
          <w:tcPr>
            <w:tcW w:w="2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780" w:type="dxa"/>
            <w:vAlign w:val="bottom"/>
          </w:tcPr>
          <w:p>
            <w:pPr>
              <w:jc w:val="right"/>
              <w:ind w:right="12"/>
              <w:spacing w:after="0"/>
              <w:rPr>
                <w:sz w:val="20"/>
                <w:szCs w:val="20"/>
                <w:color w:val="auto"/>
              </w:rPr>
            </w:pPr>
            <w:r>
              <w:rPr>
                <w:rFonts w:ascii="Arial" w:cs="Arial" w:eastAsia="Arial" w:hAnsi="Arial"/>
                <w:sz w:val="18"/>
                <w:szCs w:val="18"/>
                <w:color w:val="auto"/>
              </w:rPr>
              <w:t>4,973</w:t>
            </w:r>
          </w:p>
        </w:tc>
        <w:tc>
          <w:tcPr>
            <w:tcW w:w="2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780" w:type="dxa"/>
            <w:vAlign w:val="bottom"/>
          </w:tcPr>
          <w:p>
            <w:pPr>
              <w:jc w:val="right"/>
              <w:ind w:right="12"/>
              <w:spacing w:after="0"/>
              <w:rPr>
                <w:sz w:val="20"/>
                <w:szCs w:val="20"/>
                <w:color w:val="auto"/>
              </w:rPr>
            </w:pPr>
            <w:r>
              <w:rPr>
                <w:rFonts w:ascii="Arial" w:cs="Arial" w:eastAsia="Arial" w:hAnsi="Arial"/>
                <w:sz w:val="18"/>
                <w:szCs w:val="18"/>
                <w:color w:val="auto"/>
              </w:rPr>
              <w:t>19,985</w:t>
            </w:r>
          </w:p>
        </w:tc>
        <w:tc>
          <w:tcPr>
            <w:tcW w:w="2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840" w:type="dxa"/>
            <w:vAlign w:val="bottom"/>
          </w:tcPr>
          <w:p>
            <w:pPr>
              <w:jc w:val="right"/>
              <w:ind w:right="72"/>
              <w:spacing w:after="0"/>
              <w:rPr>
                <w:sz w:val="20"/>
                <w:szCs w:val="20"/>
                <w:color w:val="auto"/>
              </w:rPr>
            </w:pPr>
            <w:r>
              <w:rPr>
                <w:rFonts w:ascii="Arial" w:cs="Arial" w:eastAsia="Arial" w:hAnsi="Arial"/>
                <w:sz w:val="18"/>
                <w:szCs w:val="18"/>
                <w:color w:val="auto"/>
              </w:rPr>
              <w:t>13,364</w:t>
            </w:r>
          </w:p>
        </w:tc>
        <w:tc>
          <w:tcPr>
            <w:tcW w:w="20" w:type="dxa"/>
            <w:vAlign w:val="bottom"/>
          </w:tcPr>
          <w:p>
            <w:pPr>
              <w:spacing w:after="0"/>
              <w:rPr>
                <w:sz w:val="20"/>
                <w:szCs w:val="20"/>
                <w:color w:val="auto"/>
              </w:rPr>
            </w:pPr>
          </w:p>
        </w:tc>
      </w:tr>
      <w:tr>
        <w:trPr>
          <w:trHeight w:val="244"/>
        </w:trPr>
        <w:tc>
          <w:tcPr>
            <w:tcW w:w="6600" w:type="dxa"/>
            <w:vAlign w:val="bottom"/>
            <w:shd w:val="clear" w:color="auto" w:fill="C0C0C0"/>
          </w:tcPr>
          <w:p>
            <w:pPr>
              <w:ind w:left="320"/>
              <w:spacing w:after="0"/>
              <w:rPr>
                <w:sz w:val="20"/>
                <w:szCs w:val="20"/>
                <w:color w:val="auto"/>
              </w:rPr>
            </w:pPr>
            <w:r>
              <w:rPr>
                <w:rFonts w:ascii="Arial" w:cs="Arial" w:eastAsia="Arial" w:hAnsi="Arial"/>
                <w:sz w:val="18"/>
                <w:szCs w:val="18"/>
                <w:color w:val="auto"/>
              </w:rPr>
              <w:t>Contract research and other</w:t>
            </w:r>
          </w:p>
        </w:tc>
        <w:tc>
          <w:tcPr>
            <w:tcW w:w="200" w:type="dxa"/>
            <w:vAlign w:val="bottom"/>
            <w:tcBorders>
              <w:bottom w:val="single" w:sz="8" w:color="auto"/>
            </w:tcBorders>
            <w:shd w:val="clear" w:color="auto" w:fill="C0C0C0"/>
          </w:tcPr>
          <w:p>
            <w:pPr>
              <w:spacing w:after="0"/>
              <w:rPr>
                <w:sz w:val="21"/>
                <w:szCs w:val="21"/>
                <w:color w:val="auto"/>
              </w:rPr>
            </w:pPr>
          </w:p>
        </w:tc>
        <w:tc>
          <w:tcPr>
            <w:tcW w:w="780" w:type="dxa"/>
            <w:vAlign w:val="bottom"/>
            <w:tcBorders>
              <w:bottom w:val="single" w:sz="8" w:color="auto"/>
            </w:tcBorders>
            <w:shd w:val="clear" w:color="auto" w:fill="C0C0C0"/>
          </w:tcPr>
          <w:p>
            <w:pPr>
              <w:jc w:val="right"/>
              <w:spacing w:after="0"/>
              <w:rPr>
                <w:sz w:val="20"/>
                <w:szCs w:val="20"/>
                <w:color w:val="auto"/>
              </w:rPr>
            </w:pPr>
            <w:r>
              <w:rPr>
                <w:rFonts w:ascii="Arial" w:cs="Arial" w:eastAsia="Arial" w:hAnsi="Arial"/>
                <w:sz w:val="18"/>
                <w:szCs w:val="18"/>
                <w:color w:val="auto"/>
              </w:rPr>
              <w:t>1,662</w:t>
            </w:r>
          </w:p>
        </w:tc>
        <w:tc>
          <w:tcPr>
            <w:tcW w:w="280" w:type="dxa"/>
            <w:vAlign w:val="bottom"/>
            <w:shd w:val="clear" w:color="auto" w:fill="C0C0C0"/>
          </w:tcPr>
          <w:p>
            <w:pPr>
              <w:spacing w:after="0"/>
              <w:rPr>
                <w:sz w:val="21"/>
                <w:szCs w:val="21"/>
                <w:color w:val="auto"/>
              </w:rPr>
            </w:pPr>
          </w:p>
        </w:tc>
        <w:tc>
          <w:tcPr>
            <w:tcW w:w="200" w:type="dxa"/>
            <w:vAlign w:val="bottom"/>
            <w:tcBorders>
              <w:bottom w:val="single" w:sz="8" w:color="auto"/>
            </w:tcBorders>
            <w:shd w:val="clear" w:color="auto" w:fill="C0C0C0"/>
          </w:tcPr>
          <w:p>
            <w:pPr>
              <w:spacing w:after="0"/>
              <w:rPr>
                <w:sz w:val="21"/>
                <w:szCs w:val="21"/>
                <w:color w:val="auto"/>
              </w:rPr>
            </w:pPr>
          </w:p>
        </w:tc>
        <w:tc>
          <w:tcPr>
            <w:tcW w:w="780" w:type="dxa"/>
            <w:vAlign w:val="bottom"/>
            <w:tcBorders>
              <w:bottom w:val="single" w:sz="8" w:color="auto"/>
            </w:tcBorders>
            <w:shd w:val="clear" w:color="auto" w:fill="C0C0C0"/>
          </w:tcPr>
          <w:p>
            <w:pPr>
              <w:jc w:val="right"/>
              <w:ind w:right="12"/>
              <w:spacing w:after="0"/>
              <w:rPr>
                <w:sz w:val="20"/>
                <w:szCs w:val="20"/>
                <w:color w:val="auto"/>
              </w:rPr>
            </w:pPr>
            <w:r>
              <w:rPr>
                <w:rFonts w:ascii="Arial" w:cs="Arial" w:eastAsia="Arial" w:hAnsi="Arial"/>
                <w:sz w:val="18"/>
                <w:szCs w:val="18"/>
                <w:color w:val="auto"/>
              </w:rPr>
              <w:t>1,793</w:t>
            </w:r>
          </w:p>
        </w:tc>
        <w:tc>
          <w:tcPr>
            <w:tcW w:w="280" w:type="dxa"/>
            <w:vAlign w:val="bottom"/>
            <w:shd w:val="clear" w:color="auto" w:fill="C0C0C0"/>
          </w:tcPr>
          <w:p>
            <w:pPr>
              <w:spacing w:after="0"/>
              <w:rPr>
                <w:sz w:val="21"/>
                <w:szCs w:val="21"/>
                <w:color w:val="auto"/>
              </w:rPr>
            </w:pPr>
          </w:p>
        </w:tc>
        <w:tc>
          <w:tcPr>
            <w:tcW w:w="200" w:type="dxa"/>
            <w:vAlign w:val="bottom"/>
            <w:tcBorders>
              <w:bottom w:val="single" w:sz="8" w:color="auto"/>
            </w:tcBorders>
            <w:shd w:val="clear" w:color="auto" w:fill="C0C0C0"/>
          </w:tcPr>
          <w:p>
            <w:pPr>
              <w:spacing w:after="0"/>
              <w:rPr>
                <w:sz w:val="21"/>
                <w:szCs w:val="21"/>
                <w:color w:val="auto"/>
              </w:rPr>
            </w:pPr>
          </w:p>
        </w:tc>
        <w:tc>
          <w:tcPr>
            <w:tcW w:w="780" w:type="dxa"/>
            <w:vAlign w:val="bottom"/>
            <w:tcBorders>
              <w:bottom w:val="single" w:sz="8" w:color="auto"/>
            </w:tcBorders>
            <w:shd w:val="clear" w:color="auto" w:fill="C0C0C0"/>
          </w:tcPr>
          <w:p>
            <w:pPr>
              <w:jc w:val="right"/>
              <w:ind w:right="12"/>
              <w:spacing w:after="0"/>
              <w:rPr>
                <w:sz w:val="20"/>
                <w:szCs w:val="20"/>
                <w:color w:val="auto"/>
              </w:rPr>
            </w:pPr>
            <w:r>
              <w:rPr>
                <w:rFonts w:ascii="Arial" w:cs="Arial" w:eastAsia="Arial" w:hAnsi="Arial"/>
                <w:sz w:val="18"/>
                <w:szCs w:val="18"/>
                <w:color w:val="auto"/>
              </w:rPr>
              <w:t>5,624</w:t>
            </w:r>
          </w:p>
        </w:tc>
        <w:tc>
          <w:tcPr>
            <w:tcW w:w="260" w:type="dxa"/>
            <w:vAlign w:val="bottom"/>
            <w:shd w:val="clear" w:color="auto" w:fill="C0C0C0"/>
          </w:tcPr>
          <w:p>
            <w:pPr>
              <w:spacing w:after="0"/>
              <w:rPr>
                <w:sz w:val="21"/>
                <w:szCs w:val="21"/>
                <w:color w:val="auto"/>
              </w:rPr>
            </w:pPr>
          </w:p>
        </w:tc>
        <w:tc>
          <w:tcPr>
            <w:tcW w:w="220" w:type="dxa"/>
            <w:vAlign w:val="bottom"/>
            <w:tcBorders>
              <w:bottom w:val="single" w:sz="8" w:color="auto"/>
            </w:tcBorders>
            <w:shd w:val="clear" w:color="auto" w:fill="C0C0C0"/>
          </w:tcPr>
          <w:p>
            <w:pPr>
              <w:spacing w:after="0"/>
              <w:rPr>
                <w:sz w:val="21"/>
                <w:szCs w:val="21"/>
                <w:color w:val="auto"/>
              </w:rPr>
            </w:pPr>
          </w:p>
        </w:tc>
        <w:tc>
          <w:tcPr>
            <w:tcW w:w="840" w:type="dxa"/>
            <w:vAlign w:val="bottom"/>
            <w:tcBorders>
              <w:bottom w:val="single" w:sz="8" w:color="auto"/>
            </w:tcBorders>
            <w:shd w:val="clear" w:color="auto" w:fill="C0C0C0"/>
          </w:tcPr>
          <w:p>
            <w:pPr>
              <w:jc w:val="right"/>
              <w:ind w:right="72"/>
              <w:spacing w:after="0"/>
              <w:rPr>
                <w:sz w:val="20"/>
                <w:szCs w:val="20"/>
                <w:color w:val="auto"/>
              </w:rPr>
            </w:pPr>
            <w:r>
              <w:rPr>
                <w:rFonts w:ascii="Arial" w:cs="Arial" w:eastAsia="Arial" w:hAnsi="Arial"/>
                <w:sz w:val="18"/>
                <w:szCs w:val="18"/>
                <w:color w:val="auto"/>
              </w:rPr>
              <w:t>5,229</w:t>
            </w:r>
          </w:p>
        </w:tc>
        <w:tc>
          <w:tcPr>
            <w:tcW w:w="20" w:type="dxa"/>
            <w:vAlign w:val="bottom"/>
          </w:tcPr>
          <w:p>
            <w:pPr>
              <w:spacing w:after="0"/>
              <w:rPr>
                <w:sz w:val="21"/>
                <w:szCs w:val="21"/>
                <w:color w:val="auto"/>
              </w:rPr>
            </w:pPr>
          </w:p>
        </w:tc>
      </w:tr>
      <w:tr>
        <w:trPr>
          <w:trHeight w:val="237"/>
        </w:trPr>
        <w:tc>
          <w:tcPr>
            <w:tcW w:w="6600" w:type="dxa"/>
            <w:vAlign w:val="bottom"/>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105,979</w:t>
            </w:r>
          </w:p>
        </w:tc>
        <w:tc>
          <w:tcPr>
            <w:tcW w:w="280" w:type="dxa"/>
            <w:vAlign w:val="bottom"/>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780" w:type="dxa"/>
            <w:vAlign w:val="bottom"/>
            <w:tcBorders>
              <w:bottom w:val="single" w:sz="8" w:color="auto"/>
            </w:tcBorders>
          </w:tcPr>
          <w:p>
            <w:pPr>
              <w:jc w:val="right"/>
              <w:ind w:right="12"/>
              <w:spacing w:after="0"/>
              <w:rPr>
                <w:sz w:val="20"/>
                <w:szCs w:val="20"/>
                <w:color w:val="auto"/>
              </w:rPr>
            </w:pPr>
            <w:r>
              <w:rPr>
                <w:rFonts w:ascii="Arial" w:cs="Arial" w:eastAsia="Arial" w:hAnsi="Arial"/>
                <w:sz w:val="18"/>
                <w:szCs w:val="18"/>
                <w:color w:val="auto"/>
              </w:rPr>
              <w:t>117,455</w:t>
            </w:r>
          </w:p>
        </w:tc>
        <w:tc>
          <w:tcPr>
            <w:tcW w:w="280" w:type="dxa"/>
            <w:vAlign w:val="bottom"/>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780" w:type="dxa"/>
            <w:vAlign w:val="bottom"/>
            <w:tcBorders>
              <w:bottom w:val="single" w:sz="8" w:color="auto"/>
            </w:tcBorders>
          </w:tcPr>
          <w:p>
            <w:pPr>
              <w:jc w:val="right"/>
              <w:ind w:right="12"/>
              <w:spacing w:after="0"/>
              <w:rPr>
                <w:sz w:val="20"/>
                <w:szCs w:val="20"/>
                <w:color w:val="auto"/>
              </w:rPr>
            </w:pPr>
            <w:r>
              <w:rPr>
                <w:rFonts w:ascii="Arial" w:cs="Arial" w:eastAsia="Arial" w:hAnsi="Arial"/>
                <w:sz w:val="18"/>
                <w:szCs w:val="18"/>
                <w:color w:val="auto"/>
              </w:rPr>
              <w:t>325,399</w:t>
            </w:r>
          </w:p>
        </w:tc>
        <w:tc>
          <w:tcPr>
            <w:tcW w:w="260" w:type="dxa"/>
            <w:vAlign w:val="bottom"/>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840" w:type="dxa"/>
            <w:vAlign w:val="bottom"/>
            <w:tcBorders>
              <w:bottom w:val="single" w:sz="8" w:color="auto"/>
            </w:tcBorders>
          </w:tcPr>
          <w:p>
            <w:pPr>
              <w:jc w:val="right"/>
              <w:ind w:right="72"/>
              <w:spacing w:after="0"/>
              <w:rPr>
                <w:sz w:val="20"/>
                <w:szCs w:val="20"/>
                <w:color w:val="auto"/>
              </w:rPr>
            </w:pPr>
            <w:r>
              <w:rPr>
                <w:rFonts w:ascii="Arial" w:cs="Arial" w:eastAsia="Arial" w:hAnsi="Arial"/>
                <w:sz w:val="18"/>
                <w:szCs w:val="18"/>
                <w:color w:val="auto"/>
              </w:rPr>
              <w:t>282,468</w:t>
            </w:r>
          </w:p>
        </w:tc>
        <w:tc>
          <w:tcPr>
            <w:tcW w:w="20" w:type="dxa"/>
            <w:vAlign w:val="bottom"/>
          </w:tcPr>
          <w:p>
            <w:pPr>
              <w:spacing w:after="0"/>
              <w:rPr>
                <w:sz w:val="20"/>
                <w:szCs w:val="20"/>
                <w:color w:val="auto"/>
              </w:rPr>
            </w:pPr>
          </w:p>
        </w:tc>
      </w:tr>
      <w:tr>
        <w:trPr>
          <w:trHeight w:val="230"/>
        </w:trPr>
        <w:tc>
          <w:tcPr>
            <w:tcW w:w="66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20" w:type="dxa"/>
            <w:vAlign w:val="bottom"/>
          </w:tcPr>
          <w:p>
            <w:pPr>
              <w:spacing w:after="0"/>
              <w:rPr>
                <w:sz w:val="19"/>
                <w:szCs w:val="19"/>
                <w:color w:val="auto"/>
              </w:rPr>
            </w:pPr>
          </w:p>
        </w:tc>
      </w:tr>
      <w:tr>
        <w:trPr>
          <w:trHeight w:val="243"/>
        </w:trPr>
        <w:tc>
          <w:tcPr>
            <w:tcW w:w="6600" w:type="dxa"/>
            <w:vAlign w:val="bottom"/>
            <w:shd w:val="clear" w:color="auto" w:fill="C0C0C0"/>
          </w:tcPr>
          <w:p>
            <w:pPr>
              <w:spacing w:after="0"/>
              <w:rPr>
                <w:sz w:val="20"/>
                <w:szCs w:val="20"/>
                <w:color w:val="auto"/>
              </w:rPr>
            </w:pPr>
            <w:r>
              <w:rPr>
                <w:rFonts w:ascii="Arial" w:cs="Arial" w:eastAsia="Arial" w:hAnsi="Arial"/>
                <w:sz w:val="18"/>
                <w:szCs w:val="18"/>
                <w:color w:val="auto"/>
              </w:rPr>
              <w:t>Expenses</w:t>
            </w:r>
          </w:p>
        </w:tc>
        <w:tc>
          <w:tcPr>
            <w:tcW w:w="200" w:type="dxa"/>
            <w:vAlign w:val="bottom"/>
            <w:shd w:val="clear" w:color="auto" w:fill="C0C0C0"/>
          </w:tcPr>
          <w:p>
            <w:pPr>
              <w:spacing w:after="0"/>
              <w:rPr>
                <w:sz w:val="21"/>
                <w:szCs w:val="21"/>
                <w:color w:val="auto"/>
              </w:rPr>
            </w:pPr>
          </w:p>
        </w:tc>
        <w:tc>
          <w:tcPr>
            <w:tcW w:w="780" w:type="dxa"/>
            <w:vAlign w:val="bottom"/>
            <w:shd w:val="clear" w:color="auto" w:fill="C0C0C0"/>
          </w:tcPr>
          <w:p>
            <w:pPr>
              <w:spacing w:after="0"/>
              <w:rPr>
                <w:sz w:val="21"/>
                <w:szCs w:val="21"/>
                <w:color w:val="auto"/>
              </w:rPr>
            </w:pPr>
          </w:p>
        </w:tc>
        <w:tc>
          <w:tcPr>
            <w:tcW w:w="280" w:type="dxa"/>
            <w:vAlign w:val="bottom"/>
            <w:shd w:val="clear" w:color="auto" w:fill="C0C0C0"/>
          </w:tcPr>
          <w:p>
            <w:pPr>
              <w:spacing w:after="0"/>
              <w:rPr>
                <w:sz w:val="21"/>
                <w:szCs w:val="21"/>
                <w:color w:val="auto"/>
              </w:rPr>
            </w:pPr>
          </w:p>
        </w:tc>
        <w:tc>
          <w:tcPr>
            <w:tcW w:w="200" w:type="dxa"/>
            <w:vAlign w:val="bottom"/>
            <w:shd w:val="clear" w:color="auto" w:fill="C0C0C0"/>
          </w:tcPr>
          <w:p>
            <w:pPr>
              <w:spacing w:after="0"/>
              <w:rPr>
                <w:sz w:val="21"/>
                <w:szCs w:val="21"/>
                <w:color w:val="auto"/>
              </w:rPr>
            </w:pPr>
          </w:p>
        </w:tc>
        <w:tc>
          <w:tcPr>
            <w:tcW w:w="780" w:type="dxa"/>
            <w:vAlign w:val="bottom"/>
            <w:shd w:val="clear" w:color="auto" w:fill="C0C0C0"/>
          </w:tcPr>
          <w:p>
            <w:pPr>
              <w:spacing w:after="0"/>
              <w:rPr>
                <w:sz w:val="21"/>
                <w:szCs w:val="21"/>
                <w:color w:val="auto"/>
              </w:rPr>
            </w:pPr>
          </w:p>
        </w:tc>
        <w:tc>
          <w:tcPr>
            <w:tcW w:w="280" w:type="dxa"/>
            <w:vAlign w:val="bottom"/>
            <w:shd w:val="clear" w:color="auto" w:fill="C0C0C0"/>
          </w:tcPr>
          <w:p>
            <w:pPr>
              <w:spacing w:after="0"/>
              <w:rPr>
                <w:sz w:val="21"/>
                <w:szCs w:val="21"/>
                <w:color w:val="auto"/>
              </w:rPr>
            </w:pPr>
          </w:p>
        </w:tc>
        <w:tc>
          <w:tcPr>
            <w:tcW w:w="200" w:type="dxa"/>
            <w:vAlign w:val="bottom"/>
            <w:shd w:val="clear" w:color="auto" w:fill="C0C0C0"/>
          </w:tcPr>
          <w:p>
            <w:pPr>
              <w:spacing w:after="0"/>
              <w:rPr>
                <w:sz w:val="21"/>
                <w:szCs w:val="21"/>
                <w:color w:val="auto"/>
              </w:rPr>
            </w:pPr>
          </w:p>
        </w:tc>
        <w:tc>
          <w:tcPr>
            <w:tcW w:w="780" w:type="dxa"/>
            <w:vAlign w:val="bottom"/>
            <w:shd w:val="clear" w:color="auto" w:fill="C0C0C0"/>
          </w:tcPr>
          <w:p>
            <w:pPr>
              <w:spacing w:after="0"/>
              <w:rPr>
                <w:sz w:val="21"/>
                <w:szCs w:val="21"/>
                <w:color w:val="auto"/>
              </w:rPr>
            </w:pPr>
          </w:p>
        </w:tc>
        <w:tc>
          <w:tcPr>
            <w:tcW w:w="260" w:type="dxa"/>
            <w:vAlign w:val="bottom"/>
            <w:shd w:val="clear" w:color="auto" w:fill="C0C0C0"/>
          </w:tcPr>
          <w:p>
            <w:pPr>
              <w:spacing w:after="0"/>
              <w:rPr>
                <w:sz w:val="21"/>
                <w:szCs w:val="21"/>
                <w:color w:val="auto"/>
              </w:rPr>
            </w:pPr>
          </w:p>
        </w:tc>
        <w:tc>
          <w:tcPr>
            <w:tcW w:w="220" w:type="dxa"/>
            <w:vAlign w:val="bottom"/>
            <w:shd w:val="clear" w:color="auto" w:fill="C0C0C0"/>
          </w:tcPr>
          <w:p>
            <w:pPr>
              <w:spacing w:after="0"/>
              <w:rPr>
                <w:sz w:val="21"/>
                <w:szCs w:val="21"/>
                <w:color w:val="auto"/>
              </w:rPr>
            </w:pPr>
          </w:p>
        </w:tc>
        <w:tc>
          <w:tcPr>
            <w:tcW w:w="840" w:type="dxa"/>
            <w:vAlign w:val="bottom"/>
            <w:shd w:val="clear" w:color="auto" w:fill="C0C0C0"/>
          </w:tcPr>
          <w:p>
            <w:pPr>
              <w:spacing w:after="0"/>
              <w:rPr>
                <w:sz w:val="21"/>
                <w:szCs w:val="21"/>
                <w:color w:val="auto"/>
              </w:rPr>
            </w:pPr>
          </w:p>
        </w:tc>
        <w:tc>
          <w:tcPr>
            <w:tcW w:w="20" w:type="dxa"/>
            <w:vAlign w:val="bottom"/>
          </w:tcPr>
          <w:p>
            <w:pPr>
              <w:spacing w:after="0"/>
              <w:rPr>
                <w:sz w:val="21"/>
                <w:szCs w:val="21"/>
                <w:color w:val="auto"/>
              </w:rPr>
            </w:pPr>
          </w:p>
        </w:tc>
      </w:tr>
      <w:tr>
        <w:trPr>
          <w:trHeight w:val="235"/>
        </w:trPr>
        <w:tc>
          <w:tcPr>
            <w:tcW w:w="6600" w:type="dxa"/>
            <w:vAlign w:val="bottom"/>
          </w:tcPr>
          <w:p>
            <w:pPr>
              <w:ind w:left="320"/>
              <w:spacing w:after="0"/>
              <w:rPr>
                <w:sz w:val="20"/>
                <w:szCs w:val="20"/>
                <w:color w:val="auto"/>
              </w:rPr>
            </w:pPr>
            <w:r>
              <w:rPr>
                <w:rFonts w:ascii="Arial" w:cs="Arial" w:eastAsia="Arial" w:hAnsi="Arial"/>
                <w:sz w:val="18"/>
                <w:szCs w:val="18"/>
                <w:color w:val="auto"/>
              </w:rPr>
              <w:t>Research and development</w:t>
            </w:r>
          </w:p>
        </w:tc>
        <w:tc>
          <w:tcPr>
            <w:tcW w:w="200" w:type="dxa"/>
            <w:vAlign w:val="bottom"/>
          </w:tcPr>
          <w:p>
            <w:pPr>
              <w:spacing w:after="0"/>
              <w:rPr>
                <w:sz w:val="20"/>
                <w:szCs w:val="20"/>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122,043</w:t>
            </w:r>
          </w:p>
        </w:tc>
        <w:tc>
          <w:tcPr>
            <w:tcW w:w="2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780" w:type="dxa"/>
            <w:vAlign w:val="bottom"/>
          </w:tcPr>
          <w:p>
            <w:pPr>
              <w:jc w:val="right"/>
              <w:ind w:right="12"/>
              <w:spacing w:after="0"/>
              <w:rPr>
                <w:sz w:val="20"/>
                <w:szCs w:val="20"/>
                <w:color w:val="auto"/>
              </w:rPr>
            </w:pPr>
            <w:r>
              <w:rPr>
                <w:rFonts w:ascii="Arial" w:cs="Arial" w:eastAsia="Arial" w:hAnsi="Arial"/>
                <w:sz w:val="18"/>
                <w:szCs w:val="18"/>
                <w:color w:val="auto"/>
              </w:rPr>
              <w:t>105,434</w:t>
            </w:r>
          </w:p>
        </w:tc>
        <w:tc>
          <w:tcPr>
            <w:tcW w:w="2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780" w:type="dxa"/>
            <w:vAlign w:val="bottom"/>
          </w:tcPr>
          <w:p>
            <w:pPr>
              <w:jc w:val="right"/>
              <w:ind w:right="12"/>
              <w:spacing w:after="0"/>
              <w:rPr>
                <w:sz w:val="20"/>
                <w:szCs w:val="20"/>
                <w:color w:val="auto"/>
              </w:rPr>
            </w:pPr>
            <w:r>
              <w:rPr>
                <w:rFonts w:ascii="Arial" w:cs="Arial" w:eastAsia="Arial" w:hAnsi="Arial"/>
                <w:sz w:val="18"/>
                <w:szCs w:val="18"/>
                <w:color w:val="auto"/>
              </w:rPr>
              <w:t>364,040</w:t>
            </w:r>
          </w:p>
        </w:tc>
        <w:tc>
          <w:tcPr>
            <w:tcW w:w="2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840" w:type="dxa"/>
            <w:vAlign w:val="bottom"/>
          </w:tcPr>
          <w:p>
            <w:pPr>
              <w:jc w:val="right"/>
              <w:ind w:right="72"/>
              <w:spacing w:after="0"/>
              <w:rPr>
                <w:sz w:val="20"/>
                <w:szCs w:val="20"/>
                <w:color w:val="auto"/>
              </w:rPr>
            </w:pPr>
            <w:r>
              <w:rPr>
                <w:rFonts w:ascii="Arial" w:cs="Arial" w:eastAsia="Arial" w:hAnsi="Arial"/>
                <w:sz w:val="18"/>
                <w:szCs w:val="18"/>
                <w:color w:val="auto"/>
              </w:rPr>
              <w:t>279,972</w:t>
            </w:r>
          </w:p>
        </w:tc>
        <w:tc>
          <w:tcPr>
            <w:tcW w:w="20" w:type="dxa"/>
            <w:vAlign w:val="bottom"/>
          </w:tcPr>
          <w:p>
            <w:pPr>
              <w:spacing w:after="0"/>
              <w:rPr>
                <w:sz w:val="20"/>
                <w:szCs w:val="20"/>
                <w:color w:val="auto"/>
              </w:rPr>
            </w:pPr>
          </w:p>
        </w:tc>
      </w:tr>
      <w:tr>
        <w:trPr>
          <w:trHeight w:val="251"/>
        </w:trPr>
        <w:tc>
          <w:tcPr>
            <w:tcW w:w="6600" w:type="dxa"/>
            <w:vAlign w:val="bottom"/>
            <w:shd w:val="clear" w:color="auto" w:fill="C0C0C0"/>
          </w:tcPr>
          <w:p>
            <w:pPr>
              <w:ind w:left="320"/>
              <w:spacing w:after="0"/>
              <w:rPr>
                <w:sz w:val="20"/>
                <w:szCs w:val="20"/>
                <w:color w:val="auto"/>
              </w:rPr>
            </w:pPr>
            <w:r>
              <w:rPr>
                <w:rFonts w:ascii="Arial" w:cs="Arial" w:eastAsia="Arial" w:hAnsi="Arial"/>
                <w:sz w:val="18"/>
                <w:szCs w:val="18"/>
                <w:color w:val="auto"/>
              </w:rPr>
              <w:t>Selling, general, and administrative</w:t>
            </w:r>
          </w:p>
        </w:tc>
        <w:tc>
          <w:tcPr>
            <w:tcW w:w="200" w:type="dxa"/>
            <w:vAlign w:val="bottom"/>
            <w:shd w:val="clear" w:color="auto" w:fill="C0C0C0"/>
          </w:tcPr>
          <w:p>
            <w:pPr>
              <w:spacing w:after="0"/>
              <w:rPr>
                <w:sz w:val="21"/>
                <w:szCs w:val="21"/>
                <w:color w:val="auto"/>
              </w:rPr>
            </w:pPr>
          </w:p>
        </w:tc>
        <w:tc>
          <w:tcPr>
            <w:tcW w:w="780" w:type="dxa"/>
            <w:vAlign w:val="bottom"/>
            <w:shd w:val="clear" w:color="auto" w:fill="C0C0C0"/>
          </w:tcPr>
          <w:p>
            <w:pPr>
              <w:jc w:val="right"/>
              <w:spacing w:after="0"/>
              <w:rPr>
                <w:sz w:val="20"/>
                <w:szCs w:val="20"/>
                <w:color w:val="auto"/>
              </w:rPr>
            </w:pPr>
            <w:r>
              <w:rPr>
                <w:rFonts w:ascii="Arial" w:cs="Arial" w:eastAsia="Arial" w:hAnsi="Arial"/>
                <w:sz w:val="18"/>
                <w:szCs w:val="18"/>
                <w:color w:val="auto"/>
              </w:rPr>
              <w:t>15,658</w:t>
            </w:r>
          </w:p>
        </w:tc>
        <w:tc>
          <w:tcPr>
            <w:tcW w:w="280" w:type="dxa"/>
            <w:vAlign w:val="bottom"/>
            <w:shd w:val="clear" w:color="auto" w:fill="C0C0C0"/>
          </w:tcPr>
          <w:p>
            <w:pPr>
              <w:spacing w:after="0"/>
              <w:rPr>
                <w:sz w:val="21"/>
                <w:szCs w:val="21"/>
                <w:color w:val="auto"/>
              </w:rPr>
            </w:pPr>
          </w:p>
        </w:tc>
        <w:tc>
          <w:tcPr>
            <w:tcW w:w="200" w:type="dxa"/>
            <w:vAlign w:val="bottom"/>
            <w:shd w:val="clear" w:color="auto" w:fill="C0C0C0"/>
          </w:tcPr>
          <w:p>
            <w:pPr>
              <w:spacing w:after="0"/>
              <w:rPr>
                <w:sz w:val="21"/>
                <w:szCs w:val="21"/>
                <w:color w:val="auto"/>
              </w:rPr>
            </w:pPr>
          </w:p>
        </w:tc>
        <w:tc>
          <w:tcPr>
            <w:tcW w:w="780" w:type="dxa"/>
            <w:vAlign w:val="bottom"/>
            <w:shd w:val="clear" w:color="auto" w:fill="C0C0C0"/>
          </w:tcPr>
          <w:p>
            <w:pPr>
              <w:jc w:val="right"/>
              <w:ind w:right="12"/>
              <w:spacing w:after="0"/>
              <w:rPr>
                <w:sz w:val="20"/>
                <w:szCs w:val="20"/>
                <w:color w:val="auto"/>
              </w:rPr>
            </w:pPr>
            <w:r>
              <w:rPr>
                <w:rFonts w:ascii="Arial" w:cs="Arial" w:eastAsia="Arial" w:hAnsi="Arial"/>
                <w:sz w:val="18"/>
                <w:szCs w:val="18"/>
                <w:color w:val="auto"/>
              </w:rPr>
              <w:t>12,840</w:t>
            </w:r>
          </w:p>
        </w:tc>
        <w:tc>
          <w:tcPr>
            <w:tcW w:w="280" w:type="dxa"/>
            <w:vAlign w:val="bottom"/>
            <w:shd w:val="clear" w:color="auto" w:fill="C0C0C0"/>
          </w:tcPr>
          <w:p>
            <w:pPr>
              <w:spacing w:after="0"/>
              <w:rPr>
                <w:sz w:val="21"/>
                <w:szCs w:val="21"/>
                <w:color w:val="auto"/>
              </w:rPr>
            </w:pPr>
          </w:p>
        </w:tc>
        <w:tc>
          <w:tcPr>
            <w:tcW w:w="200" w:type="dxa"/>
            <w:vAlign w:val="bottom"/>
            <w:shd w:val="clear" w:color="auto" w:fill="C0C0C0"/>
          </w:tcPr>
          <w:p>
            <w:pPr>
              <w:spacing w:after="0"/>
              <w:rPr>
                <w:sz w:val="21"/>
                <w:szCs w:val="21"/>
                <w:color w:val="auto"/>
              </w:rPr>
            </w:pPr>
          </w:p>
        </w:tc>
        <w:tc>
          <w:tcPr>
            <w:tcW w:w="780" w:type="dxa"/>
            <w:vAlign w:val="bottom"/>
            <w:shd w:val="clear" w:color="auto" w:fill="C0C0C0"/>
          </w:tcPr>
          <w:p>
            <w:pPr>
              <w:jc w:val="right"/>
              <w:ind w:right="12"/>
              <w:spacing w:after="0"/>
              <w:rPr>
                <w:sz w:val="20"/>
                <w:szCs w:val="20"/>
                <w:color w:val="auto"/>
              </w:rPr>
            </w:pPr>
            <w:r>
              <w:rPr>
                <w:rFonts w:ascii="Arial" w:cs="Arial" w:eastAsia="Arial" w:hAnsi="Arial"/>
                <w:sz w:val="18"/>
                <w:szCs w:val="18"/>
                <w:color w:val="auto"/>
              </w:rPr>
              <w:t>44,560</w:t>
            </w:r>
          </w:p>
        </w:tc>
        <w:tc>
          <w:tcPr>
            <w:tcW w:w="260" w:type="dxa"/>
            <w:vAlign w:val="bottom"/>
            <w:shd w:val="clear" w:color="auto" w:fill="C0C0C0"/>
          </w:tcPr>
          <w:p>
            <w:pPr>
              <w:spacing w:after="0"/>
              <w:rPr>
                <w:sz w:val="21"/>
                <w:szCs w:val="21"/>
                <w:color w:val="auto"/>
              </w:rPr>
            </w:pPr>
          </w:p>
        </w:tc>
        <w:tc>
          <w:tcPr>
            <w:tcW w:w="220" w:type="dxa"/>
            <w:vAlign w:val="bottom"/>
            <w:shd w:val="clear" w:color="auto" w:fill="C0C0C0"/>
          </w:tcPr>
          <w:p>
            <w:pPr>
              <w:spacing w:after="0"/>
              <w:rPr>
                <w:sz w:val="21"/>
                <w:szCs w:val="21"/>
                <w:color w:val="auto"/>
              </w:rPr>
            </w:pPr>
          </w:p>
        </w:tc>
        <w:tc>
          <w:tcPr>
            <w:tcW w:w="840" w:type="dxa"/>
            <w:vAlign w:val="bottom"/>
            <w:shd w:val="clear" w:color="auto" w:fill="C0C0C0"/>
          </w:tcPr>
          <w:p>
            <w:pPr>
              <w:jc w:val="right"/>
              <w:ind w:right="72"/>
              <w:spacing w:after="0"/>
              <w:rPr>
                <w:sz w:val="20"/>
                <w:szCs w:val="20"/>
                <w:color w:val="auto"/>
              </w:rPr>
            </w:pPr>
            <w:r>
              <w:rPr>
                <w:rFonts w:ascii="Arial" w:cs="Arial" w:eastAsia="Arial" w:hAnsi="Arial"/>
                <w:sz w:val="18"/>
                <w:szCs w:val="18"/>
                <w:color w:val="auto"/>
              </w:rPr>
              <w:t>35,892</w:t>
            </w:r>
          </w:p>
        </w:tc>
        <w:tc>
          <w:tcPr>
            <w:tcW w:w="20" w:type="dxa"/>
            <w:vAlign w:val="bottom"/>
          </w:tcPr>
          <w:p>
            <w:pPr>
              <w:spacing w:after="0"/>
              <w:rPr>
                <w:sz w:val="21"/>
                <w:szCs w:val="21"/>
                <w:color w:val="auto"/>
              </w:rPr>
            </w:pPr>
          </w:p>
        </w:tc>
      </w:tr>
      <w:tr>
        <w:trPr>
          <w:trHeight w:val="237"/>
        </w:trPr>
        <w:tc>
          <w:tcPr>
            <w:tcW w:w="6600" w:type="dxa"/>
            <w:vAlign w:val="bottom"/>
            <w:tcBorders>
              <w:bottom w:val="single" w:sz="8" w:color="C0C0C0"/>
            </w:tcBorders>
          </w:tcPr>
          <w:p>
            <w:pPr>
              <w:ind w:left="320"/>
              <w:spacing w:after="0"/>
              <w:rPr>
                <w:sz w:val="20"/>
                <w:szCs w:val="20"/>
                <w:color w:val="auto"/>
              </w:rPr>
            </w:pPr>
            <w:r>
              <w:rPr>
                <w:rFonts w:ascii="Arial" w:cs="Arial" w:eastAsia="Arial" w:hAnsi="Arial"/>
                <w:sz w:val="18"/>
                <w:szCs w:val="18"/>
                <w:color w:val="auto"/>
              </w:rPr>
              <w:t>Cost of goods sold</w:t>
            </w:r>
          </w:p>
        </w:tc>
        <w:tc>
          <w:tcPr>
            <w:tcW w:w="200" w:type="dxa"/>
            <w:vAlign w:val="bottom"/>
            <w:tcBorders>
              <w:bottom w:val="single" w:sz="8" w:color="auto"/>
            </w:tcBorders>
          </w:tcPr>
          <w:p>
            <w:pPr>
              <w:spacing w:after="0"/>
              <w:rPr>
                <w:sz w:val="20"/>
                <w:szCs w:val="20"/>
                <w:color w:val="auto"/>
              </w:rPr>
            </w:pP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372</w:t>
            </w:r>
          </w:p>
        </w:tc>
        <w:tc>
          <w:tcPr>
            <w:tcW w:w="280" w:type="dxa"/>
            <w:vAlign w:val="bottom"/>
            <w:tcBorders>
              <w:bottom w:val="single" w:sz="8" w:color="C0C0C0"/>
            </w:tcBorders>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780" w:type="dxa"/>
            <w:vAlign w:val="bottom"/>
            <w:tcBorders>
              <w:bottom w:val="single" w:sz="8" w:color="auto"/>
            </w:tcBorders>
          </w:tcPr>
          <w:p>
            <w:pPr>
              <w:jc w:val="right"/>
              <w:ind w:right="12"/>
              <w:spacing w:after="0"/>
              <w:rPr>
                <w:sz w:val="20"/>
                <w:szCs w:val="20"/>
                <w:color w:val="auto"/>
              </w:rPr>
            </w:pPr>
            <w:r>
              <w:rPr>
                <w:rFonts w:ascii="Arial" w:cs="Arial" w:eastAsia="Arial" w:hAnsi="Arial"/>
                <w:sz w:val="18"/>
                <w:szCs w:val="18"/>
                <w:color w:val="auto"/>
              </w:rPr>
              <w:t>472</w:t>
            </w:r>
          </w:p>
        </w:tc>
        <w:tc>
          <w:tcPr>
            <w:tcW w:w="280" w:type="dxa"/>
            <w:vAlign w:val="bottom"/>
            <w:tcBorders>
              <w:bottom w:val="single" w:sz="8" w:color="C0C0C0"/>
            </w:tcBorders>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780" w:type="dxa"/>
            <w:vAlign w:val="bottom"/>
            <w:tcBorders>
              <w:bottom w:val="single" w:sz="8" w:color="auto"/>
            </w:tcBorders>
          </w:tcPr>
          <w:p>
            <w:pPr>
              <w:jc w:val="right"/>
              <w:ind w:right="12"/>
              <w:spacing w:after="0"/>
              <w:rPr>
                <w:sz w:val="20"/>
                <w:szCs w:val="20"/>
                <w:color w:val="auto"/>
              </w:rPr>
            </w:pPr>
            <w:r>
              <w:rPr>
                <w:rFonts w:ascii="Arial" w:cs="Arial" w:eastAsia="Arial" w:hAnsi="Arial"/>
                <w:sz w:val="18"/>
                <w:szCs w:val="18"/>
                <w:color w:val="auto"/>
              </w:rPr>
              <w:t>1,494</w:t>
            </w:r>
          </w:p>
        </w:tc>
        <w:tc>
          <w:tcPr>
            <w:tcW w:w="260" w:type="dxa"/>
            <w:vAlign w:val="bottom"/>
            <w:tcBorders>
              <w:bottom w:val="single" w:sz="8" w:color="C0C0C0"/>
            </w:tcBorders>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840" w:type="dxa"/>
            <w:vAlign w:val="bottom"/>
            <w:tcBorders>
              <w:bottom w:val="single" w:sz="8" w:color="auto"/>
            </w:tcBorders>
          </w:tcPr>
          <w:p>
            <w:pPr>
              <w:jc w:val="right"/>
              <w:ind w:right="72"/>
              <w:spacing w:after="0"/>
              <w:rPr>
                <w:sz w:val="20"/>
                <w:szCs w:val="20"/>
                <w:color w:val="auto"/>
              </w:rPr>
            </w:pPr>
            <w:r>
              <w:rPr>
                <w:rFonts w:ascii="Arial" w:cs="Arial" w:eastAsia="Arial" w:hAnsi="Arial"/>
                <w:sz w:val="18"/>
                <w:szCs w:val="18"/>
                <w:color w:val="auto"/>
              </w:rPr>
              <w:t>1,299</w:t>
            </w:r>
          </w:p>
        </w:tc>
        <w:tc>
          <w:tcPr>
            <w:tcW w:w="20" w:type="dxa"/>
            <w:vAlign w:val="bottom"/>
          </w:tcPr>
          <w:p>
            <w:pPr>
              <w:spacing w:after="0"/>
              <w:rPr>
                <w:sz w:val="20"/>
                <w:szCs w:val="20"/>
                <w:color w:val="auto"/>
              </w:rPr>
            </w:pPr>
          </w:p>
        </w:tc>
      </w:tr>
      <w:tr>
        <w:trPr>
          <w:trHeight w:val="237"/>
        </w:trPr>
        <w:tc>
          <w:tcPr>
            <w:tcW w:w="6600" w:type="dxa"/>
            <w:vAlign w:val="bottom"/>
            <w:shd w:val="clear" w:color="auto" w:fill="C0C0C0"/>
          </w:tcPr>
          <w:p>
            <w:pPr>
              <w:spacing w:after="0"/>
              <w:rPr>
                <w:sz w:val="20"/>
                <w:szCs w:val="20"/>
                <w:color w:val="auto"/>
              </w:rPr>
            </w:pPr>
          </w:p>
        </w:tc>
        <w:tc>
          <w:tcPr>
            <w:tcW w:w="200" w:type="dxa"/>
            <w:vAlign w:val="bottom"/>
            <w:tcBorders>
              <w:bottom w:val="single" w:sz="8" w:color="auto"/>
            </w:tcBorders>
            <w:shd w:val="clear" w:color="auto" w:fill="C0C0C0"/>
          </w:tcPr>
          <w:p>
            <w:pPr>
              <w:spacing w:after="0"/>
              <w:rPr>
                <w:sz w:val="20"/>
                <w:szCs w:val="20"/>
                <w:color w:val="auto"/>
              </w:rPr>
            </w:pPr>
          </w:p>
        </w:tc>
        <w:tc>
          <w:tcPr>
            <w:tcW w:w="780" w:type="dxa"/>
            <w:vAlign w:val="bottom"/>
            <w:tcBorders>
              <w:bottom w:val="single" w:sz="8" w:color="auto"/>
            </w:tcBorders>
            <w:shd w:val="clear" w:color="auto" w:fill="C0C0C0"/>
          </w:tcPr>
          <w:p>
            <w:pPr>
              <w:jc w:val="right"/>
              <w:spacing w:after="0"/>
              <w:rPr>
                <w:sz w:val="20"/>
                <w:szCs w:val="20"/>
                <w:color w:val="auto"/>
              </w:rPr>
            </w:pPr>
            <w:r>
              <w:rPr>
                <w:rFonts w:ascii="Arial" w:cs="Arial" w:eastAsia="Arial" w:hAnsi="Arial"/>
                <w:sz w:val="18"/>
                <w:szCs w:val="18"/>
                <w:color w:val="auto"/>
              </w:rPr>
              <w:t>138,073</w:t>
            </w:r>
          </w:p>
        </w:tc>
        <w:tc>
          <w:tcPr>
            <w:tcW w:w="280" w:type="dxa"/>
            <w:vAlign w:val="bottom"/>
            <w:shd w:val="clear" w:color="auto" w:fill="C0C0C0"/>
          </w:tcPr>
          <w:p>
            <w:pPr>
              <w:spacing w:after="0"/>
              <w:rPr>
                <w:sz w:val="20"/>
                <w:szCs w:val="20"/>
                <w:color w:val="auto"/>
              </w:rPr>
            </w:pPr>
          </w:p>
        </w:tc>
        <w:tc>
          <w:tcPr>
            <w:tcW w:w="200" w:type="dxa"/>
            <w:vAlign w:val="bottom"/>
            <w:tcBorders>
              <w:bottom w:val="single" w:sz="8" w:color="auto"/>
            </w:tcBorders>
            <w:shd w:val="clear" w:color="auto" w:fill="C0C0C0"/>
          </w:tcPr>
          <w:p>
            <w:pPr>
              <w:spacing w:after="0"/>
              <w:rPr>
                <w:sz w:val="20"/>
                <w:szCs w:val="20"/>
                <w:color w:val="auto"/>
              </w:rPr>
            </w:pPr>
          </w:p>
        </w:tc>
        <w:tc>
          <w:tcPr>
            <w:tcW w:w="780" w:type="dxa"/>
            <w:vAlign w:val="bottom"/>
            <w:tcBorders>
              <w:bottom w:val="single" w:sz="8" w:color="auto"/>
            </w:tcBorders>
            <w:shd w:val="clear" w:color="auto" w:fill="C0C0C0"/>
          </w:tcPr>
          <w:p>
            <w:pPr>
              <w:jc w:val="right"/>
              <w:ind w:right="12"/>
              <w:spacing w:after="0"/>
              <w:rPr>
                <w:sz w:val="20"/>
                <w:szCs w:val="20"/>
                <w:color w:val="auto"/>
              </w:rPr>
            </w:pPr>
            <w:r>
              <w:rPr>
                <w:rFonts w:ascii="Arial" w:cs="Arial" w:eastAsia="Arial" w:hAnsi="Arial"/>
                <w:sz w:val="18"/>
                <w:szCs w:val="18"/>
                <w:color w:val="auto"/>
              </w:rPr>
              <w:t>118,746</w:t>
            </w:r>
          </w:p>
        </w:tc>
        <w:tc>
          <w:tcPr>
            <w:tcW w:w="280" w:type="dxa"/>
            <w:vAlign w:val="bottom"/>
            <w:shd w:val="clear" w:color="auto" w:fill="C0C0C0"/>
          </w:tcPr>
          <w:p>
            <w:pPr>
              <w:spacing w:after="0"/>
              <w:rPr>
                <w:sz w:val="20"/>
                <w:szCs w:val="20"/>
                <w:color w:val="auto"/>
              </w:rPr>
            </w:pPr>
          </w:p>
        </w:tc>
        <w:tc>
          <w:tcPr>
            <w:tcW w:w="200" w:type="dxa"/>
            <w:vAlign w:val="bottom"/>
            <w:tcBorders>
              <w:bottom w:val="single" w:sz="8" w:color="auto"/>
            </w:tcBorders>
            <w:shd w:val="clear" w:color="auto" w:fill="C0C0C0"/>
          </w:tcPr>
          <w:p>
            <w:pPr>
              <w:spacing w:after="0"/>
              <w:rPr>
                <w:sz w:val="20"/>
                <w:szCs w:val="20"/>
                <w:color w:val="auto"/>
              </w:rPr>
            </w:pPr>
          </w:p>
        </w:tc>
        <w:tc>
          <w:tcPr>
            <w:tcW w:w="780" w:type="dxa"/>
            <w:vAlign w:val="bottom"/>
            <w:tcBorders>
              <w:bottom w:val="single" w:sz="8" w:color="auto"/>
            </w:tcBorders>
            <w:shd w:val="clear" w:color="auto" w:fill="C0C0C0"/>
          </w:tcPr>
          <w:p>
            <w:pPr>
              <w:jc w:val="right"/>
              <w:ind w:right="12"/>
              <w:spacing w:after="0"/>
              <w:rPr>
                <w:sz w:val="20"/>
                <w:szCs w:val="20"/>
                <w:color w:val="auto"/>
              </w:rPr>
            </w:pPr>
            <w:r>
              <w:rPr>
                <w:rFonts w:ascii="Arial" w:cs="Arial" w:eastAsia="Arial" w:hAnsi="Arial"/>
                <w:sz w:val="18"/>
                <w:szCs w:val="18"/>
                <w:color w:val="auto"/>
              </w:rPr>
              <w:t>410,094</w:t>
            </w:r>
          </w:p>
        </w:tc>
        <w:tc>
          <w:tcPr>
            <w:tcW w:w="260" w:type="dxa"/>
            <w:vAlign w:val="bottom"/>
            <w:shd w:val="clear" w:color="auto" w:fill="C0C0C0"/>
          </w:tcPr>
          <w:p>
            <w:pPr>
              <w:spacing w:after="0"/>
              <w:rPr>
                <w:sz w:val="20"/>
                <w:szCs w:val="20"/>
                <w:color w:val="auto"/>
              </w:rPr>
            </w:pPr>
          </w:p>
        </w:tc>
        <w:tc>
          <w:tcPr>
            <w:tcW w:w="220" w:type="dxa"/>
            <w:vAlign w:val="bottom"/>
            <w:tcBorders>
              <w:bottom w:val="single" w:sz="8" w:color="auto"/>
            </w:tcBorders>
            <w:shd w:val="clear" w:color="auto" w:fill="C0C0C0"/>
          </w:tcPr>
          <w:p>
            <w:pPr>
              <w:spacing w:after="0"/>
              <w:rPr>
                <w:sz w:val="20"/>
                <w:szCs w:val="20"/>
                <w:color w:val="auto"/>
              </w:rPr>
            </w:pPr>
          </w:p>
        </w:tc>
        <w:tc>
          <w:tcPr>
            <w:tcW w:w="840" w:type="dxa"/>
            <w:vAlign w:val="bottom"/>
            <w:tcBorders>
              <w:bottom w:val="single" w:sz="8" w:color="auto"/>
            </w:tcBorders>
            <w:shd w:val="clear" w:color="auto" w:fill="C0C0C0"/>
          </w:tcPr>
          <w:p>
            <w:pPr>
              <w:jc w:val="right"/>
              <w:ind w:right="72"/>
              <w:spacing w:after="0"/>
              <w:rPr>
                <w:sz w:val="20"/>
                <w:szCs w:val="20"/>
                <w:color w:val="auto"/>
              </w:rPr>
            </w:pPr>
            <w:r>
              <w:rPr>
                <w:rFonts w:ascii="Arial" w:cs="Arial" w:eastAsia="Arial" w:hAnsi="Arial"/>
                <w:sz w:val="18"/>
                <w:szCs w:val="18"/>
                <w:color w:val="auto"/>
              </w:rPr>
              <w:t>317,163</w:t>
            </w:r>
          </w:p>
        </w:tc>
        <w:tc>
          <w:tcPr>
            <w:tcW w:w="20" w:type="dxa"/>
            <w:vAlign w:val="bottom"/>
          </w:tcPr>
          <w:p>
            <w:pPr>
              <w:spacing w:after="0"/>
              <w:rPr>
                <w:sz w:val="20"/>
                <w:szCs w:val="20"/>
                <w:color w:val="auto"/>
              </w:rPr>
            </w:pPr>
          </w:p>
        </w:tc>
      </w:tr>
      <w:tr>
        <w:trPr>
          <w:trHeight w:val="230"/>
        </w:trPr>
        <w:tc>
          <w:tcPr>
            <w:tcW w:w="66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20" w:type="dxa"/>
            <w:vAlign w:val="bottom"/>
          </w:tcPr>
          <w:p>
            <w:pPr>
              <w:spacing w:after="0"/>
              <w:rPr>
                <w:sz w:val="19"/>
                <w:szCs w:val="19"/>
                <w:color w:val="auto"/>
              </w:rPr>
            </w:pPr>
          </w:p>
        </w:tc>
      </w:tr>
      <w:tr>
        <w:trPr>
          <w:trHeight w:val="237"/>
        </w:trPr>
        <w:tc>
          <w:tcPr>
            <w:tcW w:w="6600" w:type="dxa"/>
            <w:vAlign w:val="bottom"/>
            <w:shd w:val="clear" w:color="auto" w:fill="C0C0C0"/>
          </w:tcPr>
          <w:p>
            <w:pPr>
              <w:spacing w:after="0"/>
              <w:rPr>
                <w:sz w:val="20"/>
                <w:szCs w:val="20"/>
                <w:color w:val="auto"/>
              </w:rPr>
            </w:pPr>
            <w:r>
              <w:rPr>
                <w:rFonts w:ascii="Arial" w:cs="Arial" w:eastAsia="Arial" w:hAnsi="Arial"/>
                <w:sz w:val="18"/>
                <w:szCs w:val="18"/>
                <w:color w:val="auto"/>
              </w:rPr>
              <w:t>Loss from operations</w:t>
            </w:r>
          </w:p>
        </w:tc>
        <w:tc>
          <w:tcPr>
            <w:tcW w:w="200" w:type="dxa"/>
            <w:vAlign w:val="bottom"/>
            <w:tcBorders>
              <w:bottom w:val="single" w:sz="8" w:color="auto"/>
            </w:tcBorders>
            <w:shd w:val="clear" w:color="auto" w:fill="C0C0C0"/>
          </w:tcPr>
          <w:p>
            <w:pPr>
              <w:spacing w:after="0"/>
              <w:rPr>
                <w:sz w:val="20"/>
                <w:szCs w:val="20"/>
                <w:color w:val="auto"/>
              </w:rPr>
            </w:pPr>
          </w:p>
        </w:tc>
        <w:tc>
          <w:tcPr>
            <w:tcW w:w="780" w:type="dxa"/>
            <w:vAlign w:val="bottom"/>
            <w:tcBorders>
              <w:bottom w:val="single" w:sz="8" w:color="auto"/>
            </w:tcBorders>
            <w:shd w:val="clear" w:color="auto" w:fill="C0C0C0"/>
          </w:tcPr>
          <w:p>
            <w:pPr>
              <w:jc w:val="right"/>
              <w:spacing w:after="0"/>
              <w:rPr>
                <w:sz w:val="20"/>
                <w:szCs w:val="20"/>
                <w:color w:val="auto"/>
              </w:rPr>
            </w:pPr>
            <w:r>
              <w:rPr>
                <w:rFonts w:ascii="Arial" w:cs="Arial" w:eastAsia="Arial" w:hAnsi="Arial"/>
                <w:sz w:val="18"/>
                <w:szCs w:val="18"/>
                <w:color w:val="auto"/>
              </w:rPr>
              <w:t>(32,094)</w:t>
            </w:r>
          </w:p>
        </w:tc>
        <w:tc>
          <w:tcPr>
            <w:tcW w:w="280" w:type="dxa"/>
            <w:vAlign w:val="bottom"/>
            <w:shd w:val="clear" w:color="auto" w:fill="C0C0C0"/>
          </w:tcPr>
          <w:p>
            <w:pPr>
              <w:spacing w:after="0"/>
              <w:rPr>
                <w:sz w:val="20"/>
                <w:szCs w:val="20"/>
                <w:color w:val="auto"/>
              </w:rPr>
            </w:pPr>
          </w:p>
        </w:tc>
        <w:tc>
          <w:tcPr>
            <w:tcW w:w="200" w:type="dxa"/>
            <w:vAlign w:val="bottom"/>
            <w:tcBorders>
              <w:bottom w:val="single" w:sz="8" w:color="auto"/>
            </w:tcBorders>
            <w:shd w:val="clear" w:color="auto" w:fill="C0C0C0"/>
          </w:tcPr>
          <w:p>
            <w:pPr>
              <w:spacing w:after="0"/>
              <w:rPr>
                <w:sz w:val="20"/>
                <w:szCs w:val="20"/>
                <w:color w:val="auto"/>
              </w:rPr>
            </w:pPr>
          </w:p>
        </w:tc>
        <w:tc>
          <w:tcPr>
            <w:tcW w:w="780" w:type="dxa"/>
            <w:vAlign w:val="bottom"/>
            <w:tcBorders>
              <w:bottom w:val="single" w:sz="8" w:color="auto"/>
            </w:tcBorders>
            <w:shd w:val="clear" w:color="auto" w:fill="C0C0C0"/>
          </w:tcPr>
          <w:p>
            <w:pPr>
              <w:jc w:val="right"/>
              <w:spacing w:after="0"/>
              <w:rPr>
                <w:sz w:val="20"/>
                <w:szCs w:val="20"/>
                <w:color w:val="auto"/>
              </w:rPr>
            </w:pPr>
            <w:r>
              <w:rPr>
                <w:rFonts w:ascii="Arial" w:cs="Arial" w:eastAsia="Arial" w:hAnsi="Arial"/>
                <w:sz w:val="18"/>
                <w:szCs w:val="18"/>
                <w:color w:val="auto"/>
              </w:rPr>
              <w:t>(1,291)</w:t>
            </w:r>
          </w:p>
        </w:tc>
        <w:tc>
          <w:tcPr>
            <w:tcW w:w="280" w:type="dxa"/>
            <w:vAlign w:val="bottom"/>
            <w:shd w:val="clear" w:color="auto" w:fill="C0C0C0"/>
          </w:tcPr>
          <w:p>
            <w:pPr>
              <w:spacing w:after="0"/>
              <w:rPr>
                <w:sz w:val="20"/>
                <w:szCs w:val="20"/>
                <w:color w:val="auto"/>
              </w:rPr>
            </w:pPr>
          </w:p>
        </w:tc>
        <w:tc>
          <w:tcPr>
            <w:tcW w:w="200" w:type="dxa"/>
            <w:vAlign w:val="bottom"/>
            <w:tcBorders>
              <w:bottom w:val="single" w:sz="8" w:color="auto"/>
            </w:tcBorders>
            <w:shd w:val="clear" w:color="auto" w:fill="C0C0C0"/>
          </w:tcPr>
          <w:p>
            <w:pPr>
              <w:spacing w:after="0"/>
              <w:rPr>
                <w:sz w:val="20"/>
                <w:szCs w:val="20"/>
                <w:color w:val="auto"/>
              </w:rPr>
            </w:pPr>
          </w:p>
        </w:tc>
        <w:tc>
          <w:tcPr>
            <w:tcW w:w="780" w:type="dxa"/>
            <w:vAlign w:val="bottom"/>
            <w:tcBorders>
              <w:bottom w:val="single" w:sz="8" w:color="auto"/>
            </w:tcBorders>
            <w:shd w:val="clear" w:color="auto" w:fill="C0C0C0"/>
          </w:tcPr>
          <w:p>
            <w:pPr>
              <w:jc w:val="right"/>
              <w:spacing w:after="0"/>
              <w:rPr>
                <w:sz w:val="20"/>
                <w:szCs w:val="20"/>
                <w:color w:val="auto"/>
              </w:rPr>
            </w:pPr>
            <w:r>
              <w:rPr>
                <w:rFonts w:ascii="Arial" w:cs="Arial" w:eastAsia="Arial" w:hAnsi="Arial"/>
                <w:sz w:val="18"/>
                <w:szCs w:val="18"/>
                <w:color w:val="auto"/>
              </w:rPr>
              <w:t>(84,695)</w:t>
            </w:r>
          </w:p>
        </w:tc>
        <w:tc>
          <w:tcPr>
            <w:tcW w:w="260" w:type="dxa"/>
            <w:vAlign w:val="bottom"/>
            <w:shd w:val="clear" w:color="auto" w:fill="C0C0C0"/>
          </w:tcPr>
          <w:p>
            <w:pPr>
              <w:spacing w:after="0"/>
              <w:rPr>
                <w:sz w:val="20"/>
                <w:szCs w:val="20"/>
                <w:color w:val="auto"/>
              </w:rPr>
            </w:pPr>
          </w:p>
        </w:tc>
        <w:tc>
          <w:tcPr>
            <w:tcW w:w="220" w:type="dxa"/>
            <w:vAlign w:val="bottom"/>
            <w:tcBorders>
              <w:bottom w:val="single" w:sz="8" w:color="auto"/>
            </w:tcBorders>
            <w:shd w:val="clear" w:color="auto" w:fill="C0C0C0"/>
          </w:tcPr>
          <w:p>
            <w:pPr>
              <w:spacing w:after="0"/>
              <w:rPr>
                <w:sz w:val="20"/>
                <w:szCs w:val="20"/>
                <w:color w:val="auto"/>
              </w:rPr>
            </w:pPr>
          </w:p>
        </w:tc>
        <w:tc>
          <w:tcPr>
            <w:tcW w:w="840" w:type="dxa"/>
            <w:vAlign w:val="bottom"/>
            <w:tcBorders>
              <w:bottom w:val="single" w:sz="8" w:color="auto"/>
            </w:tcBorders>
            <w:shd w:val="clear" w:color="auto" w:fill="C0C0C0"/>
          </w:tcPr>
          <w:p>
            <w:pPr>
              <w:jc w:val="right"/>
              <w:ind w:right="12"/>
              <w:spacing w:after="0"/>
              <w:rPr>
                <w:sz w:val="20"/>
                <w:szCs w:val="20"/>
                <w:color w:val="auto"/>
              </w:rPr>
            </w:pPr>
            <w:r>
              <w:rPr>
                <w:rFonts w:ascii="Arial" w:cs="Arial" w:eastAsia="Arial" w:hAnsi="Arial"/>
                <w:sz w:val="18"/>
                <w:szCs w:val="18"/>
                <w:color w:val="auto"/>
              </w:rPr>
              <w:t>(34,695)</w:t>
            </w:r>
          </w:p>
        </w:tc>
        <w:tc>
          <w:tcPr>
            <w:tcW w:w="20" w:type="dxa"/>
            <w:vAlign w:val="bottom"/>
          </w:tcPr>
          <w:p>
            <w:pPr>
              <w:spacing w:after="0"/>
              <w:rPr>
                <w:sz w:val="20"/>
                <w:szCs w:val="20"/>
                <w:color w:val="auto"/>
              </w:rPr>
            </w:pPr>
          </w:p>
        </w:tc>
      </w:tr>
      <w:tr>
        <w:trPr>
          <w:trHeight w:val="230"/>
        </w:trPr>
        <w:tc>
          <w:tcPr>
            <w:tcW w:w="66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20" w:type="dxa"/>
            <w:vAlign w:val="bottom"/>
          </w:tcPr>
          <w:p>
            <w:pPr>
              <w:spacing w:after="0"/>
              <w:rPr>
                <w:sz w:val="19"/>
                <w:szCs w:val="19"/>
                <w:color w:val="auto"/>
              </w:rPr>
            </w:pPr>
          </w:p>
        </w:tc>
      </w:tr>
      <w:tr>
        <w:trPr>
          <w:trHeight w:val="243"/>
        </w:trPr>
        <w:tc>
          <w:tcPr>
            <w:tcW w:w="6600" w:type="dxa"/>
            <w:vAlign w:val="bottom"/>
            <w:shd w:val="clear" w:color="auto" w:fill="C0C0C0"/>
          </w:tcPr>
          <w:p>
            <w:pPr>
              <w:spacing w:after="0"/>
              <w:rPr>
                <w:sz w:val="20"/>
                <w:szCs w:val="20"/>
                <w:color w:val="auto"/>
              </w:rPr>
            </w:pPr>
            <w:r>
              <w:rPr>
                <w:rFonts w:ascii="Arial" w:cs="Arial" w:eastAsia="Arial" w:hAnsi="Arial"/>
                <w:sz w:val="18"/>
                <w:szCs w:val="18"/>
                <w:color w:val="auto"/>
              </w:rPr>
              <w:t>Other income (expense)</w:t>
            </w:r>
          </w:p>
        </w:tc>
        <w:tc>
          <w:tcPr>
            <w:tcW w:w="200" w:type="dxa"/>
            <w:vAlign w:val="bottom"/>
            <w:shd w:val="clear" w:color="auto" w:fill="C0C0C0"/>
          </w:tcPr>
          <w:p>
            <w:pPr>
              <w:spacing w:after="0"/>
              <w:rPr>
                <w:sz w:val="21"/>
                <w:szCs w:val="21"/>
                <w:color w:val="auto"/>
              </w:rPr>
            </w:pPr>
          </w:p>
        </w:tc>
        <w:tc>
          <w:tcPr>
            <w:tcW w:w="780" w:type="dxa"/>
            <w:vAlign w:val="bottom"/>
            <w:shd w:val="clear" w:color="auto" w:fill="C0C0C0"/>
          </w:tcPr>
          <w:p>
            <w:pPr>
              <w:spacing w:after="0"/>
              <w:rPr>
                <w:sz w:val="21"/>
                <w:szCs w:val="21"/>
                <w:color w:val="auto"/>
              </w:rPr>
            </w:pPr>
          </w:p>
        </w:tc>
        <w:tc>
          <w:tcPr>
            <w:tcW w:w="280" w:type="dxa"/>
            <w:vAlign w:val="bottom"/>
            <w:shd w:val="clear" w:color="auto" w:fill="C0C0C0"/>
          </w:tcPr>
          <w:p>
            <w:pPr>
              <w:spacing w:after="0"/>
              <w:rPr>
                <w:sz w:val="21"/>
                <w:szCs w:val="21"/>
                <w:color w:val="auto"/>
              </w:rPr>
            </w:pPr>
          </w:p>
        </w:tc>
        <w:tc>
          <w:tcPr>
            <w:tcW w:w="200" w:type="dxa"/>
            <w:vAlign w:val="bottom"/>
            <w:shd w:val="clear" w:color="auto" w:fill="C0C0C0"/>
          </w:tcPr>
          <w:p>
            <w:pPr>
              <w:spacing w:after="0"/>
              <w:rPr>
                <w:sz w:val="21"/>
                <w:szCs w:val="21"/>
                <w:color w:val="auto"/>
              </w:rPr>
            </w:pPr>
          </w:p>
        </w:tc>
        <w:tc>
          <w:tcPr>
            <w:tcW w:w="780" w:type="dxa"/>
            <w:vAlign w:val="bottom"/>
            <w:shd w:val="clear" w:color="auto" w:fill="C0C0C0"/>
          </w:tcPr>
          <w:p>
            <w:pPr>
              <w:spacing w:after="0"/>
              <w:rPr>
                <w:sz w:val="21"/>
                <w:szCs w:val="21"/>
                <w:color w:val="auto"/>
              </w:rPr>
            </w:pPr>
          </w:p>
        </w:tc>
        <w:tc>
          <w:tcPr>
            <w:tcW w:w="280" w:type="dxa"/>
            <w:vAlign w:val="bottom"/>
            <w:shd w:val="clear" w:color="auto" w:fill="C0C0C0"/>
          </w:tcPr>
          <w:p>
            <w:pPr>
              <w:spacing w:after="0"/>
              <w:rPr>
                <w:sz w:val="21"/>
                <w:szCs w:val="21"/>
                <w:color w:val="auto"/>
              </w:rPr>
            </w:pPr>
          </w:p>
        </w:tc>
        <w:tc>
          <w:tcPr>
            <w:tcW w:w="200" w:type="dxa"/>
            <w:vAlign w:val="bottom"/>
            <w:shd w:val="clear" w:color="auto" w:fill="C0C0C0"/>
          </w:tcPr>
          <w:p>
            <w:pPr>
              <w:spacing w:after="0"/>
              <w:rPr>
                <w:sz w:val="21"/>
                <w:szCs w:val="21"/>
                <w:color w:val="auto"/>
              </w:rPr>
            </w:pPr>
          </w:p>
        </w:tc>
        <w:tc>
          <w:tcPr>
            <w:tcW w:w="780" w:type="dxa"/>
            <w:vAlign w:val="bottom"/>
            <w:shd w:val="clear" w:color="auto" w:fill="C0C0C0"/>
          </w:tcPr>
          <w:p>
            <w:pPr>
              <w:spacing w:after="0"/>
              <w:rPr>
                <w:sz w:val="21"/>
                <w:szCs w:val="21"/>
                <w:color w:val="auto"/>
              </w:rPr>
            </w:pPr>
          </w:p>
        </w:tc>
        <w:tc>
          <w:tcPr>
            <w:tcW w:w="260" w:type="dxa"/>
            <w:vAlign w:val="bottom"/>
            <w:shd w:val="clear" w:color="auto" w:fill="C0C0C0"/>
          </w:tcPr>
          <w:p>
            <w:pPr>
              <w:spacing w:after="0"/>
              <w:rPr>
                <w:sz w:val="21"/>
                <w:szCs w:val="21"/>
                <w:color w:val="auto"/>
              </w:rPr>
            </w:pPr>
          </w:p>
        </w:tc>
        <w:tc>
          <w:tcPr>
            <w:tcW w:w="220" w:type="dxa"/>
            <w:vAlign w:val="bottom"/>
            <w:shd w:val="clear" w:color="auto" w:fill="C0C0C0"/>
          </w:tcPr>
          <w:p>
            <w:pPr>
              <w:spacing w:after="0"/>
              <w:rPr>
                <w:sz w:val="21"/>
                <w:szCs w:val="21"/>
                <w:color w:val="auto"/>
              </w:rPr>
            </w:pPr>
          </w:p>
        </w:tc>
        <w:tc>
          <w:tcPr>
            <w:tcW w:w="840" w:type="dxa"/>
            <w:vAlign w:val="bottom"/>
            <w:shd w:val="clear" w:color="auto" w:fill="C0C0C0"/>
          </w:tcPr>
          <w:p>
            <w:pPr>
              <w:spacing w:after="0"/>
              <w:rPr>
                <w:sz w:val="21"/>
                <w:szCs w:val="21"/>
                <w:color w:val="auto"/>
              </w:rPr>
            </w:pPr>
          </w:p>
        </w:tc>
        <w:tc>
          <w:tcPr>
            <w:tcW w:w="20" w:type="dxa"/>
            <w:vAlign w:val="bottom"/>
          </w:tcPr>
          <w:p>
            <w:pPr>
              <w:spacing w:after="0"/>
              <w:rPr>
                <w:sz w:val="21"/>
                <w:szCs w:val="21"/>
                <w:color w:val="auto"/>
              </w:rPr>
            </w:pPr>
          </w:p>
        </w:tc>
      </w:tr>
      <w:tr>
        <w:trPr>
          <w:trHeight w:val="235"/>
        </w:trPr>
        <w:tc>
          <w:tcPr>
            <w:tcW w:w="6600" w:type="dxa"/>
            <w:vAlign w:val="bottom"/>
          </w:tcPr>
          <w:p>
            <w:pPr>
              <w:ind w:left="320"/>
              <w:spacing w:after="0"/>
              <w:rPr>
                <w:sz w:val="20"/>
                <w:szCs w:val="20"/>
                <w:color w:val="auto"/>
              </w:rPr>
            </w:pPr>
            <w:r>
              <w:rPr>
                <w:rFonts w:ascii="Arial" w:cs="Arial" w:eastAsia="Arial" w:hAnsi="Arial"/>
                <w:sz w:val="18"/>
                <w:szCs w:val="18"/>
                <w:color w:val="auto"/>
              </w:rPr>
              <w:t>Investment income</w:t>
            </w:r>
          </w:p>
        </w:tc>
        <w:tc>
          <w:tcPr>
            <w:tcW w:w="200" w:type="dxa"/>
            <w:vAlign w:val="bottom"/>
          </w:tcPr>
          <w:p>
            <w:pPr>
              <w:spacing w:after="0"/>
              <w:rPr>
                <w:sz w:val="20"/>
                <w:szCs w:val="20"/>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453</w:t>
            </w:r>
          </w:p>
        </w:tc>
        <w:tc>
          <w:tcPr>
            <w:tcW w:w="2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780" w:type="dxa"/>
            <w:vAlign w:val="bottom"/>
          </w:tcPr>
          <w:p>
            <w:pPr>
              <w:jc w:val="right"/>
              <w:ind w:right="12"/>
              <w:spacing w:after="0"/>
              <w:rPr>
                <w:sz w:val="20"/>
                <w:szCs w:val="20"/>
                <w:color w:val="auto"/>
              </w:rPr>
            </w:pPr>
            <w:r>
              <w:rPr>
                <w:rFonts w:ascii="Arial" w:cs="Arial" w:eastAsia="Arial" w:hAnsi="Arial"/>
                <w:sz w:val="18"/>
                <w:szCs w:val="18"/>
                <w:color w:val="auto"/>
              </w:rPr>
              <w:t>857</w:t>
            </w:r>
          </w:p>
        </w:tc>
        <w:tc>
          <w:tcPr>
            <w:tcW w:w="2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780" w:type="dxa"/>
            <w:vAlign w:val="bottom"/>
          </w:tcPr>
          <w:p>
            <w:pPr>
              <w:jc w:val="right"/>
              <w:ind w:right="12"/>
              <w:spacing w:after="0"/>
              <w:rPr>
                <w:sz w:val="20"/>
                <w:szCs w:val="20"/>
                <w:color w:val="auto"/>
              </w:rPr>
            </w:pPr>
            <w:r>
              <w:rPr>
                <w:rFonts w:ascii="Arial" w:cs="Arial" w:eastAsia="Arial" w:hAnsi="Arial"/>
                <w:sz w:val="18"/>
                <w:szCs w:val="18"/>
                <w:color w:val="auto"/>
              </w:rPr>
              <w:t>1,484</w:t>
            </w:r>
          </w:p>
        </w:tc>
        <w:tc>
          <w:tcPr>
            <w:tcW w:w="2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840" w:type="dxa"/>
            <w:vAlign w:val="bottom"/>
          </w:tcPr>
          <w:p>
            <w:pPr>
              <w:jc w:val="right"/>
              <w:ind w:right="72"/>
              <w:spacing w:after="0"/>
              <w:rPr>
                <w:sz w:val="20"/>
                <w:szCs w:val="20"/>
                <w:color w:val="auto"/>
              </w:rPr>
            </w:pPr>
            <w:r>
              <w:rPr>
                <w:rFonts w:ascii="Arial" w:cs="Arial" w:eastAsia="Arial" w:hAnsi="Arial"/>
                <w:sz w:val="18"/>
                <w:szCs w:val="18"/>
                <w:color w:val="auto"/>
              </w:rPr>
              <w:t>3,935</w:t>
            </w:r>
          </w:p>
        </w:tc>
        <w:tc>
          <w:tcPr>
            <w:tcW w:w="20" w:type="dxa"/>
            <w:vAlign w:val="bottom"/>
          </w:tcPr>
          <w:p>
            <w:pPr>
              <w:spacing w:after="0"/>
              <w:rPr>
                <w:sz w:val="20"/>
                <w:szCs w:val="20"/>
                <w:color w:val="auto"/>
              </w:rPr>
            </w:pPr>
          </w:p>
        </w:tc>
      </w:tr>
      <w:tr>
        <w:trPr>
          <w:trHeight w:val="244"/>
        </w:trPr>
        <w:tc>
          <w:tcPr>
            <w:tcW w:w="6600" w:type="dxa"/>
            <w:vAlign w:val="bottom"/>
            <w:shd w:val="clear" w:color="auto" w:fill="C0C0C0"/>
          </w:tcPr>
          <w:p>
            <w:pPr>
              <w:ind w:left="320"/>
              <w:spacing w:after="0"/>
              <w:rPr>
                <w:sz w:val="20"/>
                <w:szCs w:val="20"/>
                <w:color w:val="auto"/>
              </w:rPr>
            </w:pPr>
            <w:r>
              <w:rPr>
                <w:rFonts w:ascii="Arial" w:cs="Arial" w:eastAsia="Arial" w:hAnsi="Arial"/>
                <w:sz w:val="18"/>
                <w:szCs w:val="18"/>
                <w:color w:val="auto"/>
              </w:rPr>
              <w:t>Interest expense</w:t>
            </w:r>
          </w:p>
        </w:tc>
        <w:tc>
          <w:tcPr>
            <w:tcW w:w="200" w:type="dxa"/>
            <w:vAlign w:val="bottom"/>
            <w:tcBorders>
              <w:bottom w:val="single" w:sz="8" w:color="auto"/>
            </w:tcBorders>
            <w:shd w:val="clear" w:color="auto" w:fill="C0C0C0"/>
          </w:tcPr>
          <w:p>
            <w:pPr>
              <w:spacing w:after="0"/>
              <w:rPr>
                <w:sz w:val="21"/>
                <w:szCs w:val="21"/>
                <w:color w:val="auto"/>
              </w:rPr>
            </w:pPr>
          </w:p>
        </w:tc>
        <w:tc>
          <w:tcPr>
            <w:tcW w:w="780" w:type="dxa"/>
            <w:vAlign w:val="bottom"/>
            <w:tcBorders>
              <w:bottom w:val="single" w:sz="8" w:color="auto"/>
            </w:tcBorders>
            <w:shd w:val="clear" w:color="auto" w:fill="C0C0C0"/>
          </w:tcPr>
          <w:p>
            <w:pPr>
              <w:jc w:val="right"/>
              <w:spacing w:after="0"/>
              <w:rPr>
                <w:sz w:val="20"/>
                <w:szCs w:val="20"/>
                <w:color w:val="auto"/>
              </w:rPr>
            </w:pPr>
            <w:r>
              <w:rPr>
                <w:rFonts w:ascii="Arial" w:cs="Arial" w:eastAsia="Arial" w:hAnsi="Arial"/>
                <w:sz w:val="18"/>
                <w:szCs w:val="18"/>
                <w:color w:val="auto"/>
              </w:rPr>
              <w:t>(2,234)</w:t>
            </w:r>
          </w:p>
        </w:tc>
        <w:tc>
          <w:tcPr>
            <w:tcW w:w="280" w:type="dxa"/>
            <w:vAlign w:val="bottom"/>
            <w:shd w:val="clear" w:color="auto" w:fill="C0C0C0"/>
          </w:tcPr>
          <w:p>
            <w:pPr>
              <w:spacing w:after="0"/>
              <w:rPr>
                <w:sz w:val="21"/>
                <w:szCs w:val="21"/>
                <w:color w:val="auto"/>
              </w:rPr>
            </w:pPr>
          </w:p>
        </w:tc>
        <w:tc>
          <w:tcPr>
            <w:tcW w:w="200" w:type="dxa"/>
            <w:vAlign w:val="bottom"/>
            <w:tcBorders>
              <w:bottom w:val="single" w:sz="8" w:color="auto"/>
            </w:tcBorders>
            <w:shd w:val="clear" w:color="auto" w:fill="C0C0C0"/>
          </w:tcPr>
          <w:p>
            <w:pPr>
              <w:spacing w:after="0"/>
              <w:rPr>
                <w:sz w:val="21"/>
                <w:szCs w:val="21"/>
                <w:color w:val="auto"/>
              </w:rPr>
            </w:pPr>
          </w:p>
        </w:tc>
        <w:tc>
          <w:tcPr>
            <w:tcW w:w="780" w:type="dxa"/>
            <w:vAlign w:val="bottom"/>
            <w:tcBorders>
              <w:bottom w:val="single" w:sz="8" w:color="auto"/>
            </w:tcBorders>
            <w:shd w:val="clear" w:color="auto" w:fill="C0C0C0"/>
          </w:tcPr>
          <w:p>
            <w:pPr>
              <w:jc w:val="right"/>
              <w:spacing w:after="0"/>
              <w:rPr>
                <w:sz w:val="20"/>
                <w:szCs w:val="20"/>
                <w:color w:val="auto"/>
              </w:rPr>
            </w:pPr>
            <w:r>
              <w:rPr>
                <w:rFonts w:ascii="Arial" w:cs="Arial" w:eastAsia="Arial" w:hAnsi="Arial"/>
                <w:sz w:val="18"/>
                <w:szCs w:val="18"/>
                <w:color w:val="auto"/>
              </w:rPr>
              <w:t>(581)</w:t>
            </w:r>
          </w:p>
        </w:tc>
        <w:tc>
          <w:tcPr>
            <w:tcW w:w="280" w:type="dxa"/>
            <w:vAlign w:val="bottom"/>
            <w:shd w:val="clear" w:color="auto" w:fill="C0C0C0"/>
          </w:tcPr>
          <w:p>
            <w:pPr>
              <w:spacing w:after="0"/>
              <w:rPr>
                <w:sz w:val="21"/>
                <w:szCs w:val="21"/>
                <w:color w:val="auto"/>
              </w:rPr>
            </w:pPr>
          </w:p>
        </w:tc>
        <w:tc>
          <w:tcPr>
            <w:tcW w:w="200" w:type="dxa"/>
            <w:vAlign w:val="bottom"/>
            <w:tcBorders>
              <w:bottom w:val="single" w:sz="8" w:color="auto"/>
            </w:tcBorders>
            <w:shd w:val="clear" w:color="auto" w:fill="C0C0C0"/>
          </w:tcPr>
          <w:p>
            <w:pPr>
              <w:spacing w:after="0"/>
              <w:rPr>
                <w:sz w:val="21"/>
                <w:szCs w:val="21"/>
                <w:color w:val="auto"/>
              </w:rPr>
            </w:pPr>
          </w:p>
        </w:tc>
        <w:tc>
          <w:tcPr>
            <w:tcW w:w="780" w:type="dxa"/>
            <w:vAlign w:val="bottom"/>
            <w:tcBorders>
              <w:bottom w:val="single" w:sz="8" w:color="auto"/>
            </w:tcBorders>
            <w:shd w:val="clear" w:color="auto" w:fill="C0C0C0"/>
          </w:tcPr>
          <w:p>
            <w:pPr>
              <w:jc w:val="right"/>
              <w:spacing w:after="0"/>
              <w:rPr>
                <w:sz w:val="20"/>
                <w:szCs w:val="20"/>
                <w:color w:val="auto"/>
              </w:rPr>
            </w:pPr>
            <w:r>
              <w:rPr>
                <w:rFonts w:ascii="Arial" w:cs="Arial" w:eastAsia="Arial" w:hAnsi="Arial"/>
                <w:sz w:val="18"/>
                <w:szCs w:val="18"/>
                <w:color w:val="auto"/>
              </w:rPr>
              <w:t>(6,660)</w:t>
            </w:r>
          </w:p>
        </w:tc>
        <w:tc>
          <w:tcPr>
            <w:tcW w:w="260" w:type="dxa"/>
            <w:vAlign w:val="bottom"/>
            <w:shd w:val="clear" w:color="auto" w:fill="C0C0C0"/>
          </w:tcPr>
          <w:p>
            <w:pPr>
              <w:spacing w:after="0"/>
              <w:rPr>
                <w:sz w:val="21"/>
                <w:szCs w:val="21"/>
                <w:color w:val="auto"/>
              </w:rPr>
            </w:pPr>
          </w:p>
        </w:tc>
        <w:tc>
          <w:tcPr>
            <w:tcW w:w="220" w:type="dxa"/>
            <w:vAlign w:val="bottom"/>
            <w:tcBorders>
              <w:bottom w:val="single" w:sz="8" w:color="auto"/>
            </w:tcBorders>
            <w:shd w:val="clear" w:color="auto" w:fill="C0C0C0"/>
          </w:tcPr>
          <w:p>
            <w:pPr>
              <w:spacing w:after="0"/>
              <w:rPr>
                <w:sz w:val="21"/>
                <w:szCs w:val="21"/>
                <w:color w:val="auto"/>
              </w:rPr>
            </w:pPr>
          </w:p>
        </w:tc>
        <w:tc>
          <w:tcPr>
            <w:tcW w:w="840" w:type="dxa"/>
            <w:vAlign w:val="bottom"/>
            <w:tcBorders>
              <w:bottom w:val="single" w:sz="8" w:color="auto"/>
            </w:tcBorders>
            <w:shd w:val="clear" w:color="auto" w:fill="C0C0C0"/>
          </w:tcPr>
          <w:p>
            <w:pPr>
              <w:jc w:val="right"/>
              <w:ind w:right="12"/>
              <w:spacing w:after="0"/>
              <w:rPr>
                <w:sz w:val="20"/>
                <w:szCs w:val="20"/>
                <w:color w:val="auto"/>
              </w:rPr>
            </w:pPr>
            <w:r>
              <w:rPr>
                <w:rFonts w:ascii="Arial" w:cs="Arial" w:eastAsia="Arial" w:hAnsi="Arial"/>
                <w:sz w:val="18"/>
                <w:szCs w:val="18"/>
                <w:color w:val="auto"/>
              </w:rPr>
              <w:t>(581)</w:t>
            </w:r>
          </w:p>
        </w:tc>
        <w:tc>
          <w:tcPr>
            <w:tcW w:w="20" w:type="dxa"/>
            <w:vAlign w:val="bottom"/>
          </w:tcPr>
          <w:p>
            <w:pPr>
              <w:spacing w:after="0"/>
              <w:rPr>
                <w:sz w:val="21"/>
                <w:szCs w:val="21"/>
                <w:color w:val="auto"/>
              </w:rPr>
            </w:pPr>
          </w:p>
        </w:tc>
      </w:tr>
      <w:tr>
        <w:trPr>
          <w:trHeight w:val="237"/>
        </w:trPr>
        <w:tc>
          <w:tcPr>
            <w:tcW w:w="6600" w:type="dxa"/>
            <w:vAlign w:val="bottom"/>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(1,781)</w:t>
            </w:r>
          </w:p>
        </w:tc>
        <w:tc>
          <w:tcPr>
            <w:tcW w:w="280" w:type="dxa"/>
            <w:vAlign w:val="bottom"/>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780" w:type="dxa"/>
            <w:vAlign w:val="bottom"/>
            <w:tcBorders>
              <w:bottom w:val="single" w:sz="8" w:color="auto"/>
            </w:tcBorders>
          </w:tcPr>
          <w:p>
            <w:pPr>
              <w:jc w:val="right"/>
              <w:ind w:right="12"/>
              <w:spacing w:after="0"/>
              <w:rPr>
                <w:sz w:val="20"/>
                <w:szCs w:val="20"/>
                <w:color w:val="auto"/>
              </w:rPr>
            </w:pPr>
            <w:r>
              <w:rPr>
                <w:rFonts w:ascii="Arial" w:cs="Arial" w:eastAsia="Arial" w:hAnsi="Arial"/>
                <w:sz w:val="18"/>
                <w:szCs w:val="18"/>
                <w:color w:val="auto"/>
              </w:rPr>
              <w:t>276</w:t>
            </w:r>
          </w:p>
        </w:tc>
        <w:tc>
          <w:tcPr>
            <w:tcW w:w="280" w:type="dxa"/>
            <w:vAlign w:val="bottom"/>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(5,176)</w:t>
            </w:r>
          </w:p>
        </w:tc>
        <w:tc>
          <w:tcPr>
            <w:tcW w:w="260" w:type="dxa"/>
            <w:vAlign w:val="bottom"/>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840" w:type="dxa"/>
            <w:vAlign w:val="bottom"/>
            <w:tcBorders>
              <w:bottom w:val="single" w:sz="8" w:color="auto"/>
            </w:tcBorders>
          </w:tcPr>
          <w:p>
            <w:pPr>
              <w:jc w:val="right"/>
              <w:ind w:right="72"/>
              <w:spacing w:after="0"/>
              <w:rPr>
                <w:sz w:val="20"/>
                <w:szCs w:val="20"/>
                <w:color w:val="auto"/>
              </w:rPr>
            </w:pPr>
            <w:r>
              <w:rPr>
                <w:rFonts w:ascii="Arial" w:cs="Arial" w:eastAsia="Arial" w:hAnsi="Arial"/>
                <w:sz w:val="18"/>
                <w:szCs w:val="18"/>
                <w:color w:val="auto"/>
              </w:rPr>
              <w:t>3,354</w:t>
            </w:r>
          </w:p>
        </w:tc>
        <w:tc>
          <w:tcPr>
            <w:tcW w:w="20" w:type="dxa"/>
            <w:vAlign w:val="bottom"/>
          </w:tcPr>
          <w:p>
            <w:pPr>
              <w:spacing w:after="0"/>
              <w:rPr>
                <w:sz w:val="20"/>
                <w:szCs w:val="20"/>
                <w:color w:val="auto"/>
              </w:rPr>
            </w:pPr>
          </w:p>
        </w:tc>
      </w:tr>
      <w:tr>
        <w:trPr>
          <w:trHeight w:val="230"/>
        </w:trPr>
        <w:tc>
          <w:tcPr>
            <w:tcW w:w="66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20" w:type="dxa"/>
            <w:vAlign w:val="bottom"/>
          </w:tcPr>
          <w:p>
            <w:pPr>
              <w:spacing w:after="0"/>
              <w:rPr>
                <w:sz w:val="19"/>
                <w:szCs w:val="19"/>
                <w:color w:val="auto"/>
              </w:rPr>
            </w:pPr>
          </w:p>
        </w:tc>
      </w:tr>
      <w:tr>
        <w:trPr>
          <w:trHeight w:val="250"/>
        </w:trPr>
        <w:tc>
          <w:tcPr>
            <w:tcW w:w="6600" w:type="dxa"/>
            <w:vAlign w:val="bottom"/>
            <w:tcBorders>
              <w:bottom w:val="single" w:sz="8" w:color="C0C0C0"/>
            </w:tcBorders>
            <w:shd w:val="clear" w:color="auto" w:fill="C0C0C0"/>
          </w:tcPr>
          <w:p>
            <w:pPr>
              <w:spacing w:after="0"/>
              <w:rPr>
                <w:sz w:val="20"/>
                <w:szCs w:val="20"/>
                <w:color w:val="auto"/>
              </w:rPr>
            </w:pPr>
            <w:r>
              <w:rPr>
                <w:rFonts w:ascii="Arial" w:cs="Arial" w:eastAsia="Arial" w:hAnsi="Arial"/>
                <w:sz w:val="18"/>
                <w:szCs w:val="18"/>
                <w:color w:val="auto"/>
              </w:rPr>
              <w:t>Net loss</w:t>
            </w:r>
          </w:p>
        </w:tc>
        <w:tc>
          <w:tcPr>
            <w:tcW w:w="200" w:type="dxa"/>
            <w:vAlign w:val="bottom"/>
            <w:tcBorders>
              <w:bottom w:val="single" w:sz="8" w:color="auto"/>
            </w:tcBorders>
            <w:shd w:val="clear" w:color="auto" w:fill="C0C0C0"/>
          </w:tcPr>
          <w:p>
            <w:pPr>
              <w:jc w:val="right"/>
              <w:ind w:right="43"/>
              <w:spacing w:after="0"/>
              <w:rPr>
                <w:sz w:val="20"/>
                <w:szCs w:val="20"/>
                <w:color w:val="auto"/>
              </w:rPr>
            </w:pPr>
            <w:r>
              <w:rPr>
                <w:rFonts w:ascii="Arial" w:cs="Arial" w:eastAsia="Arial" w:hAnsi="Arial"/>
                <w:sz w:val="15"/>
                <w:szCs w:val="15"/>
                <w:color w:val="auto"/>
                <w:w w:val="71"/>
              </w:rPr>
              <w:t>$</w:t>
            </w:r>
          </w:p>
        </w:tc>
        <w:tc>
          <w:tcPr>
            <w:tcW w:w="780" w:type="dxa"/>
            <w:vAlign w:val="bottom"/>
            <w:tcBorders>
              <w:bottom w:val="single" w:sz="8" w:color="auto"/>
            </w:tcBorders>
            <w:shd w:val="clear" w:color="auto" w:fill="C0C0C0"/>
          </w:tcPr>
          <w:p>
            <w:pPr>
              <w:jc w:val="right"/>
              <w:spacing w:after="0"/>
              <w:rPr>
                <w:sz w:val="20"/>
                <w:szCs w:val="20"/>
                <w:color w:val="auto"/>
              </w:rPr>
            </w:pPr>
            <w:r>
              <w:rPr>
                <w:rFonts w:ascii="Arial" w:cs="Arial" w:eastAsia="Arial" w:hAnsi="Arial"/>
                <w:sz w:val="18"/>
                <w:szCs w:val="18"/>
                <w:color w:val="auto"/>
              </w:rPr>
              <w:t>(33,875)</w:t>
            </w:r>
          </w:p>
        </w:tc>
        <w:tc>
          <w:tcPr>
            <w:tcW w:w="280" w:type="dxa"/>
            <w:vAlign w:val="bottom"/>
            <w:tcBorders>
              <w:bottom w:val="single" w:sz="8" w:color="C0C0C0"/>
            </w:tcBorders>
            <w:shd w:val="clear" w:color="auto" w:fill="C0C0C0"/>
          </w:tcPr>
          <w:p>
            <w:pPr>
              <w:spacing w:after="0"/>
              <w:rPr>
                <w:sz w:val="21"/>
                <w:szCs w:val="21"/>
                <w:color w:val="auto"/>
              </w:rPr>
            </w:pPr>
          </w:p>
        </w:tc>
        <w:tc>
          <w:tcPr>
            <w:tcW w:w="200" w:type="dxa"/>
            <w:vAlign w:val="bottom"/>
            <w:tcBorders>
              <w:bottom w:val="single" w:sz="8" w:color="auto"/>
            </w:tcBorders>
            <w:shd w:val="clear" w:color="auto" w:fill="C0C0C0"/>
          </w:tcPr>
          <w:p>
            <w:pPr>
              <w:jc w:val="right"/>
              <w:ind w:right="43"/>
              <w:spacing w:after="0"/>
              <w:rPr>
                <w:sz w:val="20"/>
                <w:szCs w:val="20"/>
                <w:color w:val="auto"/>
              </w:rPr>
            </w:pPr>
            <w:r>
              <w:rPr>
                <w:rFonts w:ascii="Arial" w:cs="Arial" w:eastAsia="Arial" w:hAnsi="Arial"/>
                <w:sz w:val="15"/>
                <w:szCs w:val="15"/>
                <w:color w:val="auto"/>
                <w:w w:val="71"/>
              </w:rPr>
              <w:t>$</w:t>
            </w:r>
          </w:p>
        </w:tc>
        <w:tc>
          <w:tcPr>
            <w:tcW w:w="780" w:type="dxa"/>
            <w:vAlign w:val="bottom"/>
            <w:tcBorders>
              <w:bottom w:val="single" w:sz="8" w:color="auto"/>
            </w:tcBorders>
            <w:shd w:val="clear" w:color="auto" w:fill="C0C0C0"/>
          </w:tcPr>
          <w:p>
            <w:pPr>
              <w:jc w:val="right"/>
              <w:spacing w:after="0"/>
              <w:rPr>
                <w:sz w:val="20"/>
                <w:szCs w:val="20"/>
                <w:color w:val="auto"/>
              </w:rPr>
            </w:pPr>
            <w:r>
              <w:rPr>
                <w:rFonts w:ascii="Arial" w:cs="Arial" w:eastAsia="Arial" w:hAnsi="Arial"/>
                <w:sz w:val="18"/>
                <w:szCs w:val="18"/>
                <w:color w:val="auto"/>
              </w:rPr>
              <w:t>(1,015)</w:t>
            </w:r>
          </w:p>
        </w:tc>
        <w:tc>
          <w:tcPr>
            <w:tcW w:w="280" w:type="dxa"/>
            <w:vAlign w:val="bottom"/>
            <w:tcBorders>
              <w:bottom w:val="single" w:sz="8" w:color="C0C0C0"/>
            </w:tcBorders>
            <w:shd w:val="clear" w:color="auto" w:fill="C0C0C0"/>
          </w:tcPr>
          <w:p>
            <w:pPr>
              <w:spacing w:after="0"/>
              <w:rPr>
                <w:sz w:val="21"/>
                <w:szCs w:val="21"/>
                <w:color w:val="auto"/>
              </w:rPr>
            </w:pPr>
          </w:p>
        </w:tc>
        <w:tc>
          <w:tcPr>
            <w:tcW w:w="200" w:type="dxa"/>
            <w:vAlign w:val="bottom"/>
            <w:tcBorders>
              <w:bottom w:val="single" w:sz="8" w:color="auto"/>
            </w:tcBorders>
            <w:shd w:val="clear" w:color="auto" w:fill="C0C0C0"/>
          </w:tcPr>
          <w:p>
            <w:pPr>
              <w:jc w:val="right"/>
              <w:ind w:right="43"/>
              <w:spacing w:after="0"/>
              <w:rPr>
                <w:sz w:val="20"/>
                <w:szCs w:val="20"/>
                <w:color w:val="auto"/>
              </w:rPr>
            </w:pPr>
            <w:r>
              <w:rPr>
                <w:rFonts w:ascii="Arial" w:cs="Arial" w:eastAsia="Arial" w:hAnsi="Arial"/>
                <w:sz w:val="15"/>
                <w:szCs w:val="15"/>
                <w:color w:val="auto"/>
                <w:w w:val="71"/>
              </w:rPr>
              <w:t>$</w:t>
            </w:r>
          </w:p>
        </w:tc>
        <w:tc>
          <w:tcPr>
            <w:tcW w:w="780" w:type="dxa"/>
            <w:vAlign w:val="bottom"/>
            <w:tcBorders>
              <w:bottom w:val="single" w:sz="8" w:color="auto"/>
            </w:tcBorders>
            <w:shd w:val="clear" w:color="auto" w:fill="C0C0C0"/>
          </w:tcPr>
          <w:p>
            <w:pPr>
              <w:jc w:val="right"/>
              <w:spacing w:after="0"/>
              <w:rPr>
                <w:sz w:val="20"/>
                <w:szCs w:val="20"/>
                <w:color w:val="auto"/>
              </w:rPr>
            </w:pPr>
            <w:r>
              <w:rPr>
                <w:rFonts w:ascii="Arial" w:cs="Arial" w:eastAsia="Arial" w:hAnsi="Arial"/>
                <w:sz w:val="18"/>
                <w:szCs w:val="18"/>
                <w:color w:val="auto"/>
              </w:rPr>
              <w:t>(89,871)</w:t>
            </w:r>
          </w:p>
        </w:tc>
        <w:tc>
          <w:tcPr>
            <w:tcW w:w="260" w:type="dxa"/>
            <w:vAlign w:val="bottom"/>
            <w:tcBorders>
              <w:bottom w:val="single" w:sz="8" w:color="C0C0C0"/>
            </w:tcBorders>
            <w:shd w:val="clear" w:color="auto" w:fill="C0C0C0"/>
          </w:tcPr>
          <w:p>
            <w:pPr>
              <w:spacing w:after="0"/>
              <w:rPr>
                <w:sz w:val="21"/>
                <w:szCs w:val="21"/>
                <w:color w:val="auto"/>
              </w:rPr>
            </w:pPr>
          </w:p>
        </w:tc>
        <w:tc>
          <w:tcPr>
            <w:tcW w:w="220" w:type="dxa"/>
            <w:vAlign w:val="bottom"/>
            <w:tcBorders>
              <w:bottom w:val="single" w:sz="8" w:color="auto"/>
            </w:tcBorders>
            <w:shd w:val="clear" w:color="auto" w:fill="C0C0C0"/>
          </w:tcPr>
          <w:p>
            <w:pPr>
              <w:jc w:val="right"/>
              <w:ind w:right="32"/>
              <w:spacing w:after="0"/>
              <w:rPr>
                <w:sz w:val="20"/>
                <w:szCs w:val="20"/>
                <w:color w:val="auto"/>
              </w:rPr>
            </w:pPr>
            <w:r>
              <w:rPr>
                <w:rFonts w:ascii="Arial" w:cs="Arial" w:eastAsia="Arial" w:hAnsi="Arial"/>
                <w:sz w:val="18"/>
                <w:szCs w:val="18"/>
                <w:color w:val="auto"/>
                <w:w w:val="79"/>
              </w:rPr>
              <w:t>$</w:t>
            </w:r>
          </w:p>
        </w:tc>
        <w:tc>
          <w:tcPr>
            <w:tcW w:w="840" w:type="dxa"/>
            <w:vAlign w:val="bottom"/>
            <w:tcBorders>
              <w:bottom w:val="single" w:sz="8" w:color="auto"/>
            </w:tcBorders>
            <w:shd w:val="clear" w:color="auto" w:fill="C0C0C0"/>
          </w:tcPr>
          <w:p>
            <w:pPr>
              <w:jc w:val="right"/>
              <w:ind w:right="12"/>
              <w:spacing w:after="0"/>
              <w:rPr>
                <w:sz w:val="20"/>
                <w:szCs w:val="20"/>
                <w:color w:val="auto"/>
              </w:rPr>
            </w:pPr>
            <w:r>
              <w:rPr>
                <w:rFonts w:ascii="Arial" w:cs="Arial" w:eastAsia="Arial" w:hAnsi="Arial"/>
                <w:sz w:val="18"/>
                <w:szCs w:val="18"/>
                <w:color w:val="auto"/>
              </w:rPr>
              <w:t>(31,341)</w:t>
            </w:r>
          </w:p>
        </w:tc>
        <w:tc>
          <w:tcPr>
            <w:tcW w:w="20" w:type="dxa"/>
            <w:vAlign w:val="bottom"/>
          </w:tcPr>
          <w:p>
            <w:pPr>
              <w:spacing w:after="0"/>
              <w:rPr>
                <w:sz w:val="21"/>
                <w:szCs w:val="21"/>
                <w:color w:val="auto"/>
              </w:rPr>
            </w:pPr>
          </w:p>
        </w:tc>
      </w:tr>
      <w:tr>
        <w:trPr>
          <w:trHeight w:val="230"/>
        </w:trPr>
        <w:tc>
          <w:tcPr>
            <w:tcW w:w="66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20" w:type="dxa"/>
            <w:vAlign w:val="bottom"/>
          </w:tcPr>
          <w:p>
            <w:pPr>
              <w:spacing w:after="0"/>
              <w:rPr>
                <w:sz w:val="19"/>
                <w:szCs w:val="19"/>
                <w:color w:val="auto"/>
              </w:rPr>
            </w:pPr>
          </w:p>
        </w:tc>
      </w:tr>
      <w:tr>
        <w:trPr>
          <w:trHeight w:val="243"/>
        </w:trPr>
        <w:tc>
          <w:tcPr>
            <w:tcW w:w="6600" w:type="dxa"/>
            <w:vAlign w:val="bottom"/>
            <w:shd w:val="clear" w:color="auto" w:fill="C0C0C0"/>
          </w:tcPr>
          <w:p>
            <w:pPr>
              <w:spacing w:after="0"/>
              <w:rPr>
                <w:sz w:val="20"/>
                <w:szCs w:val="20"/>
                <w:color w:val="auto"/>
              </w:rPr>
            </w:pPr>
            <w:r>
              <w:rPr>
                <w:rFonts w:ascii="Arial" w:cs="Arial" w:eastAsia="Arial" w:hAnsi="Arial"/>
                <w:sz w:val="18"/>
                <w:szCs w:val="18"/>
                <w:color w:val="auto"/>
              </w:rPr>
              <w:t>Net loss per share amounts, basic and diluted</w:t>
            </w:r>
          </w:p>
        </w:tc>
        <w:tc>
          <w:tcPr>
            <w:tcW w:w="200" w:type="dxa"/>
            <w:vAlign w:val="bottom"/>
            <w:shd w:val="clear" w:color="auto" w:fill="C0C0C0"/>
          </w:tcPr>
          <w:p>
            <w:pPr>
              <w:jc w:val="right"/>
              <w:ind w:right="43"/>
              <w:spacing w:after="0"/>
              <w:rPr>
                <w:sz w:val="20"/>
                <w:szCs w:val="20"/>
                <w:color w:val="auto"/>
              </w:rPr>
            </w:pPr>
            <w:r>
              <w:rPr>
                <w:rFonts w:ascii="Arial" w:cs="Arial" w:eastAsia="Arial" w:hAnsi="Arial"/>
                <w:sz w:val="15"/>
                <w:szCs w:val="15"/>
                <w:color w:val="auto"/>
                <w:w w:val="71"/>
              </w:rPr>
              <w:t>$</w:t>
            </w:r>
          </w:p>
        </w:tc>
        <w:tc>
          <w:tcPr>
            <w:tcW w:w="780" w:type="dxa"/>
            <w:vAlign w:val="bottom"/>
            <w:shd w:val="clear" w:color="auto" w:fill="C0C0C0"/>
          </w:tcPr>
          <w:p>
            <w:pPr>
              <w:jc w:val="right"/>
              <w:spacing w:after="0"/>
              <w:rPr>
                <w:sz w:val="20"/>
                <w:szCs w:val="20"/>
                <w:color w:val="auto"/>
              </w:rPr>
            </w:pPr>
            <w:r>
              <w:rPr>
                <w:rFonts w:ascii="Arial" w:cs="Arial" w:eastAsia="Arial" w:hAnsi="Arial"/>
                <w:sz w:val="18"/>
                <w:szCs w:val="18"/>
                <w:color w:val="auto"/>
              </w:rPr>
              <w:t>(0.41)</w:t>
            </w:r>
          </w:p>
        </w:tc>
        <w:tc>
          <w:tcPr>
            <w:tcW w:w="280" w:type="dxa"/>
            <w:vAlign w:val="bottom"/>
            <w:shd w:val="clear" w:color="auto" w:fill="C0C0C0"/>
          </w:tcPr>
          <w:p>
            <w:pPr>
              <w:spacing w:after="0"/>
              <w:rPr>
                <w:sz w:val="21"/>
                <w:szCs w:val="21"/>
                <w:color w:val="auto"/>
              </w:rPr>
            </w:pPr>
          </w:p>
        </w:tc>
        <w:tc>
          <w:tcPr>
            <w:tcW w:w="200" w:type="dxa"/>
            <w:vAlign w:val="bottom"/>
            <w:shd w:val="clear" w:color="auto" w:fill="C0C0C0"/>
          </w:tcPr>
          <w:p>
            <w:pPr>
              <w:jc w:val="right"/>
              <w:ind w:right="43"/>
              <w:spacing w:after="0"/>
              <w:rPr>
                <w:sz w:val="20"/>
                <w:szCs w:val="20"/>
                <w:color w:val="auto"/>
              </w:rPr>
            </w:pPr>
            <w:r>
              <w:rPr>
                <w:rFonts w:ascii="Arial" w:cs="Arial" w:eastAsia="Arial" w:hAnsi="Arial"/>
                <w:sz w:val="15"/>
                <w:szCs w:val="15"/>
                <w:color w:val="auto"/>
                <w:w w:val="71"/>
              </w:rPr>
              <w:t>$</w:t>
            </w:r>
          </w:p>
        </w:tc>
        <w:tc>
          <w:tcPr>
            <w:tcW w:w="780" w:type="dxa"/>
            <w:vAlign w:val="bottom"/>
            <w:shd w:val="clear" w:color="auto" w:fill="C0C0C0"/>
          </w:tcPr>
          <w:p>
            <w:pPr>
              <w:jc w:val="right"/>
              <w:spacing w:after="0"/>
              <w:rPr>
                <w:sz w:val="20"/>
                <w:szCs w:val="20"/>
                <w:color w:val="auto"/>
              </w:rPr>
            </w:pPr>
            <w:r>
              <w:rPr>
                <w:rFonts w:ascii="Arial" w:cs="Arial" w:eastAsia="Arial" w:hAnsi="Arial"/>
                <w:sz w:val="18"/>
                <w:szCs w:val="18"/>
                <w:color w:val="auto"/>
              </w:rPr>
              <w:t>(0.01)</w:t>
            </w:r>
          </w:p>
        </w:tc>
        <w:tc>
          <w:tcPr>
            <w:tcW w:w="280" w:type="dxa"/>
            <w:vAlign w:val="bottom"/>
            <w:shd w:val="clear" w:color="auto" w:fill="C0C0C0"/>
          </w:tcPr>
          <w:p>
            <w:pPr>
              <w:spacing w:after="0"/>
              <w:rPr>
                <w:sz w:val="21"/>
                <w:szCs w:val="21"/>
                <w:color w:val="auto"/>
              </w:rPr>
            </w:pPr>
          </w:p>
        </w:tc>
        <w:tc>
          <w:tcPr>
            <w:tcW w:w="200" w:type="dxa"/>
            <w:vAlign w:val="bottom"/>
            <w:shd w:val="clear" w:color="auto" w:fill="C0C0C0"/>
          </w:tcPr>
          <w:p>
            <w:pPr>
              <w:jc w:val="right"/>
              <w:ind w:right="43"/>
              <w:spacing w:after="0"/>
              <w:rPr>
                <w:sz w:val="20"/>
                <w:szCs w:val="20"/>
                <w:color w:val="auto"/>
              </w:rPr>
            </w:pPr>
            <w:r>
              <w:rPr>
                <w:rFonts w:ascii="Arial" w:cs="Arial" w:eastAsia="Arial" w:hAnsi="Arial"/>
                <w:sz w:val="15"/>
                <w:szCs w:val="15"/>
                <w:color w:val="auto"/>
                <w:w w:val="71"/>
              </w:rPr>
              <w:t>$</w:t>
            </w:r>
          </w:p>
        </w:tc>
        <w:tc>
          <w:tcPr>
            <w:tcW w:w="780" w:type="dxa"/>
            <w:vAlign w:val="bottom"/>
            <w:shd w:val="clear" w:color="auto" w:fill="C0C0C0"/>
          </w:tcPr>
          <w:p>
            <w:pPr>
              <w:jc w:val="right"/>
              <w:spacing w:after="0"/>
              <w:rPr>
                <w:sz w:val="20"/>
                <w:szCs w:val="20"/>
                <w:color w:val="auto"/>
              </w:rPr>
            </w:pPr>
            <w:r>
              <w:rPr>
                <w:rFonts w:ascii="Arial" w:cs="Arial" w:eastAsia="Arial" w:hAnsi="Arial"/>
                <w:sz w:val="18"/>
                <w:szCs w:val="18"/>
                <w:color w:val="auto"/>
              </w:rPr>
              <w:t>(1.10)</w:t>
            </w:r>
          </w:p>
        </w:tc>
        <w:tc>
          <w:tcPr>
            <w:tcW w:w="260" w:type="dxa"/>
            <w:vAlign w:val="bottom"/>
            <w:shd w:val="clear" w:color="auto" w:fill="C0C0C0"/>
          </w:tcPr>
          <w:p>
            <w:pPr>
              <w:spacing w:after="0"/>
              <w:rPr>
                <w:sz w:val="21"/>
                <w:szCs w:val="21"/>
                <w:color w:val="auto"/>
              </w:rPr>
            </w:pPr>
          </w:p>
        </w:tc>
        <w:tc>
          <w:tcPr>
            <w:tcW w:w="220" w:type="dxa"/>
            <w:vAlign w:val="bottom"/>
            <w:shd w:val="clear" w:color="auto" w:fill="C0C0C0"/>
          </w:tcPr>
          <w:p>
            <w:pPr>
              <w:jc w:val="right"/>
              <w:ind w:right="32"/>
              <w:spacing w:after="0"/>
              <w:rPr>
                <w:sz w:val="20"/>
                <w:szCs w:val="20"/>
                <w:color w:val="auto"/>
              </w:rPr>
            </w:pPr>
            <w:r>
              <w:rPr>
                <w:rFonts w:ascii="Arial" w:cs="Arial" w:eastAsia="Arial" w:hAnsi="Arial"/>
                <w:sz w:val="18"/>
                <w:szCs w:val="18"/>
                <w:color w:val="auto"/>
                <w:w w:val="79"/>
              </w:rPr>
              <w:t>$</w:t>
            </w:r>
          </w:p>
        </w:tc>
        <w:tc>
          <w:tcPr>
            <w:tcW w:w="840" w:type="dxa"/>
            <w:vAlign w:val="bottom"/>
            <w:shd w:val="clear" w:color="auto" w:fill="C0C0C0"/>
          </w:tcPr>
          <w:p>
            <w:pPr>
              <w:jc w:val="right"/>
              <w:ind w:right="12"/>
              <w:spacing w:after="0"/>
              <w:rPr>
                <w:sz w:val="20"/>
                <w:szCs w:val="20"/>
                <w:color w:val="auto"/>
              </w:rPr>
            </w:pPr>
            <w:r>
              <w:rPr>
                <w:rFonts w:ascii="Arial" w:cs="Arial" w:eastAsia="Arial" w:hAnsi="Arial"/>
                <w:sz w:val="18"/>
                <w:szCs w:val="18"/>
                <w:color w:val="auto"/>
              </w:rPr>
              <w:t>(0.39)</w:t>
            </w:r>
          </w:p>
        </w:tc>
        <w:tc>
          <w:tcPr>
            <w:tcW w:w="20" w:type="dxa"/>
            <w:vAlign w:val="bottom"/>
          </w:tcPr>
          <w:p>
            <w:pPr>
              <w:spacing w:after="0"/>
              <w:rPr>
                <w:sz w:val="21"/>
                <w:szCs w:val="21"/>
                <w:color w:val="auto"/>
              </w:rPr>
            </w:pPr>
          </w:p>
        </w:tc>
      </w:tr>
      <w:tr>
        <w:trPr>
          <w:trHeight w:val="243"/>
        </w:trPr>
        <w:tc>
          <w:tcPr>
            <w:tcW w:w="66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78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78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78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840" w:type="dxa"/>
            <w:vAlign w:val="bottom"/>
          </w:tcPr>
          <w:p>
            <w:pPr>
              <w:spacing w:after="0"/>
              <w:rPr>
                <w:sz w:val="21"/>
                <w:szCs w:val="21"/>
                <w:color w:val="auto"/>
              </w:rPr>
            </w:pPr>
          </w:p>
        </w:tc>
        <w:tc>
          <w:tcPr>
            <w:tcW w:w="20" w:type="dxa"/>
            <w:vAlign w:val="bottom"/>
          </w:tcPr>
          <w:p>
            <w:pPr>
              <w:spacing w:after="0"/>
              <w:rPr>
                <w:sz w:val="21"/>
                <w:szCs w:val="21"/>
                <w:color w:val="auto"/>
              </w:rPr>
            </w:pPr>
          </w:p>
        </w:tc>
      </w:tr>
      <w:tr>
        <w:trPr>
          <w:trHeight w:val="243"/>
        </w:trPr>
        <w:tc>
          <w:tcPr>
            <w:tcW w:w="6600" w:type="dxa"/>
            <w:vAlign w:val="bottom"/>
            <w:shd w:val="clear" w:color="auto" w:fill="C0C0C0"/>
          </w:tcPr>
          <w:p>
            <w:pPr>
              <w:spacing w:after="0"/>
              <w:rPr>
                <w:sz w:val="20"/>
                <w:szCs w:val="20"/>
                <w:color w:val="auto"/>
              </w:rPr>
            </w:pPr>
            <w:r>
              <w:rPr>
                <w:rFonts w:ascii="Arial" w:cs="Arial" w:eastAsia="Arial" w:hAnsi="Arial"/>
                <w:sz w:val="18"/>
                <w:szCs w:val="18"/>
                <w:color w:val="auto"/>
              </w:rPr>
              <w:t>Weighted average shares outstanding, basic and diluted</w:t>
            </w:r>
          </w:p>
        </w:tc>
        <w:tc>
          <w:tcPr>
            <w:tcW w:w="200" w:type="dxa"/>
            <w:vAlign w:val="bottom"/>
            <w:shd w:val="clear" w:color="auto" w:fill="C0C0C0"/>
          </w:tcPr>
          <w:p>
            <w:pPr>
              <w:spacing w:after="0"/>
              <w:rPr>
                <w:sz w:val="21"/>
                <w:szCs w:val="21"/>
                <w:color w:val="auto"/>
              </w:rPr>
            </w:pPr>
          </w:p>
        </w:tc>
        <w:tc>
          <w:tcPr>
            <w:tcW w:w="780" w:type="dxa"/>
            <w:vAlign w:val="bottom"/>
            <w:shd w:val="clear" w:color="auto" w:fill="C0C0C0"/>
          </w:tcPr>
          <w:p>
            <w:pPr>
              <w:jc w:val="right"/>
              <w:spacing w:after="0"/>
              <w:rPr>
                <w:sz w:val="20"/>
                <w:szCs w:val="20"/>
                <w:color w:val="auto"/>
              </w:rPr>
            </w:pPr>
            <w:r>
              <w:rPr>
                <w:rFonts w:ascii="Arial" w:cs="Arial" w:eastAsia="Arial" w:hAnsi="Arial"/>
                <w:sz w:val="18"/>
                <w:szCs w:val="18"/>
                <w:color w:val="auto"/>
              </w:rPr>
              <w:t>81,638</w:t>
            </w:r>
          </w:p>
        </w:tc>
        <w:tc>
          <w:tcPr>
            <w:tcW w:w="280" w:type="dxa"/>
            <w:vAlign w:val="bottom"/>
            <w:shd w:val="clear" w:color="auto" w:fill="C0C0C0"/>
          </w:tcPr>
          <w:p>
            <w:pPr>
              <w:spacing w:after="0"/>
              <w:rPr>
                <w:sz w:val="21"/>
                <w:szCs w:val="21"/>
                <w:color w:val="auto"/>
              </w:rPr>
            </w:pPr>
          </w:p>
        </w:tc>
        <w:tc>
          <w:tcPr>
            <w:tcW w:w="200" w:type="dxa"/>
            <w:vAlign w:val="bottom"/>
            <w:shd w:val="clear" w:color="auto" w:fill="C0C0C0"/>
          </w:tcPr>
          <w:p>
            <w:pPr>
              <w:spacing w:after="0"/>
              <w:rPr>
                <w:sz w:val="21"/>
                <w:szCs w:val="21"/>
                <w:color w:val="auto"/>
              </w:rPr>
            </w:pPr>
          </w:p>
        </w:tc>
        <w:tc>
          <w:tcPr>
            <w:tcW w:w="780" w:type="dxa"/>
            <w:vAlign w:val="bottom"/>
            <w:shd w:val="clear" w:color="auto" w:fill="C0C0C0"/>
          </w:tcPr>
          <w:p>
            <w:pPr>
              <w:jc w:val="right"/>
              <w:ind w:right="12"/>
              <w:spacing w:after="0"/>
              <w:rPr>
                <w:sz w:val="20"/>
                <w:szCs w:val="20"/>
                <w:color w:val="auto"/>
              </w:rPr>
            </w:pPr>
            <w:r>
              <w:rPr>
                <w:rFonts w:ascii="Arial" w:cs="Arial" w:eastAsia="Arial" w:hAnsi="Arial"/>
                <w:sz w:val="18"/>
                <w:szCs w:val="18"/>
                <w:color w:val="auto"/>
              </w:rPr>
              <w:t>79,866</w:t>
            </w:r>
          </w:p>
        </w:tc>
        <w:tc>
          <w:tcPr>
            <w:tcW w:w="280" w:type="dxa"/>
            <w:vAlign w:val="bottom"/>
            <w:shd w:val="clear" w:color="auto" w:fill="C0C0C0"/>
          </w:tcPr>
          <w:p>
            <w:pPr>
              <w:spacing w:after="0"/>
              <w:rPr>
                <w:sz w:val="21"/>
                <w:szCs w:val="21"/>
                <w:color w:val="auto"/>
              </w:rPr>
            </w:pPr>
          </w:p>
        </w:tc>
        <w:tc>
          <w:tcPr>
            <w:tcW w:w="200" w:type="dxa"/>
            <w:vAlign w:val="bottom"/>
            <w:shd w:val="clear" w:color="auto" w:fill="C0C0C0"/>
          </w:tcPr>
          <w:p>
            <w:pPr>
              <w:spacing w:after="0"/>
              <w:rPr>
                <w:sz w:val="21"/>
                <w:szCs w:val="21"/>
                <w:color w:val="auto"/>
              </w:rPr>
            </w:pPr>
          </w:p>
        </w:tc>
        <w:tc>
          <w:tcPr>
            <w:tcW w:w="780" w:type="dxa"/>
            <w:vAlign w:val="bottom"/>
            <w:shd w:val="clear" w:color="auto" w:fill="C0C0C0"/>
          </w:tcPr>
          <w:p>
            <w:pPr>
              <w:jc w:val="right"/>
              <w:ind w:right="12"/>
              <w:spacing w:after="0"/>
              <w:rPr>
                <w:sz w:val="20"/>
                <w:szCs w:val="20"/>
                <w:color w:val="auto"/>
              </w:rPr>
            </w:pPr>
            <w:r>
              <w:rPr>
                <w:rFonts w:ascii="Arial" w:cs="Arial" w:eastAsia="Arial" w:hAnsi="Arial"/>
                <w:sz w:val="18"/>
                <w:szCs w:val="18"/>
                <w:color w:val="auto"/>
              </w:rPr>
              <w:t>81,433</w:t>
            </w:r>
          </w:p>
        </w:tc>
        <w:tc>
          <w:tcPr>
            <w:tcW w:w="260" w:type="dxa"/>
            <w:vAlign w:val="bottom"/>
            <w:shd w:val="clear" w:color="auto" w:fill="C0C0C0"/>
          </w:tcPr>
          <w:p>
            <w:pPr>
              <w:spacing w:after="0"/>
              <w:rPr>
                <w:sz w:val="21"/>
                <w:szCs w:val="21"/>
                <w:color w:val="auto"/>
              </w:rPr>
            </w:pPr>
          </w:p>
        </w:tc>
        <w:tc>
          <w:tcPr>
            <w:tcW w:w="220" w:type="dxa"/>
            <w:vAlign w:val="bottom"/>
            <w:shd w:val="clear" w:color="auto" w:fill="C0C0C0"/>
          </w:tcPr>
          <w:p>
            <w:pPr>
              <w:spacing w:after="0"/>
              <w:rPr>
                <w:sz w:val="21"/>
                <w:szCs w:val="21"/>
                <w:color w:val="auto"/>
              </w:rPr>
            </w:pPr>
          </w:p>
        </w:tc>
        <w:tc>
          <w:tcPr>
            <w:tcW w:w="840" w:type="dxa"/>
            <w:vAlign w:val="bottom"/>
            <w:shd w:val="clear" w:color="auto" w:fill="C0C0C0"/>
          </w:tcPr>
          <w:p>
            <w:pPr>
              <w:jc w:val="right"/>
              <w:ind w:right="72"/>
              <w:spacing w:after="0"/>
              <w:rPr>
                <w:sz w:val="20"/>
                <w:szCs w:val="20"/>
                <w:color w:val="auto"/>
              </w:rPr>
            </w:pPr>
            <w:r>
              <w:rPr>
                <w:rFonts w:ascii="Arial" w:cs="Arial" w:eastAsia="Arial" w:hAnsi="Arial"/>
                <w:sz w:val="18"/>
                <w:szCs w:val="18"/>
                <w:color w:val="auto"/>
              </w:rPr>
              <w:t>79,663</w:t>
            </w:r>
          </w:p>
        </w:tc>
        <w:tc>
          <w:tcPr>
            <w:tcW w:w="20" w:type="dxa"/>
            <w:vAlign w:val="bottom"/>
          </w:tcPr>
          <w:p>
            <w:pPr>
              <w:spacing w:after="0"/>
              <w:rPr>
                <w:sz w:val="21"/>
                <w:szCs w:val="21"/>
                <w:color w:val="auto"/>
              </w:rPr>
            </w:pPr>
          </w:p>
        </w:tc>
      </w:tr>
      <w:tr>
        <w:trPr>
          <w:trHeight w:val="361"/>
        </w:trPr>
        <w:tc>
          <w:tcPr>
            <w:tcW w:w="6600" w:type="dxa"/>
            <w:vAlign w:val="bottom"/>
            <w:tcBorders>
              <w:bottom w:val="single" w:sz="8" w:color="808080"/>
            </w:tcBorders>
          </w:tcPr>
          <w:p>
            <w:pPr>
              <w:spacing w:after="0"/>
              <w:rPr>
                <w:sz w:val="24"/>
                <w:szCs w:val="24"/>
                <w:color w:val="auto"/>
              </w:rPr>
            </w:pPr>
          </w:p>
        </w:tc>
        <w:tc>
          <w:tcPr>
            <w:tcW w:w="200" w:type="dxa"/>
            <w:vAlign w:val="bottom"/>
            <w:tcBorders>
              <w:bottom w:val="single" w:sz="8" w:color="808080"/>
            </w:tcBorders>
          </w:tcPr>
          <w:p>
            <w:pPr>
              <w:spacing w:after="0"/>
              <w:rPr>
                <w:sz w:val="24"/>
                <w:szCs w:val="24"/>
                <w:color w:val="auto"/>
              </w:rPr>
            </w:pPr>
          </w:p>
        </w:tc>
        <w:tc>
          <w:tcPr>
            <w:tcW w:w="780" w:type="dxa"/>
            <w:vAlign w:val="bottom"/>
            <w:tcBorders>
              <w:bottom w:val="single" w:sz="8" w:color="808080"/>
            </w:tcBorders>
          </w:tcPr>
          <w:p>
            <w:pPr>
              <w:spacing w:after="0"/>
              <w:rPr>
                <w:sz w:val="24"/>
                <w:szCs w:val="24"/>
                <w:color w:val="auto"/>
              </w:rPr>
            </w:pPr>
          </w:p>
        </w:tc>
        <w:tc>
          <w:tcPr>
            <w:tcW w:w="280" w:type="dxa"/>
            <w:vAlign w:val="bottom"/>
            <w:tcBorders>
              <w:bottom w:val="single" w:sz="8" w:color="808080"/>
            </w:tcBorders>
          </w:tcPr>
          <w:p>
            <w:pPr>
              <w:spacing w:after="0"/>
              <w:rPr>
                <w:sz w:val="24"/>
                <w:szCs w:val="24"/>
                <w:color w:val="auto"/>
              </w:rPr>
            </w:pPr>
          </w:p>
        </w:tc>
        <w:tc>
          <w:tcPr>
            <w:tcW w:w="200" w:type="dxa"/>
            <w:vAlign w:val="bottom"/>
            <w:tcBorders>
              <w:bottom w:val="single" w:sz="8" w:color="808080"/>
            </w:tcBorders>
          </w:tcPr>
          <w:p>
            <w:pPr>
              <w:spacing w:after="0"/>
              <w:rPr>
                <w:sz w:val="24"/>
                <w:szCs w:val="24"/>
                <w:color w:val="auto"/>
              </w:rPr>
            </w:pPr>
          </w:p>
        </w:tc>
        <w:tc>
          <w:tcPr>
            <w:tcW w:w="780" w:type="dxa"/>
            <w:vAlign w:val="bottom"/>
            <w:tcBorders>
              <w:bottom w:val="single" w:sz="8" w:color="808080"/>
            </w:tcBorders>
          </w:tcPr>
          <w:p>
            <w:pPr>
              <w:spacing w:after="0"/>
              <w:rPr>
                <w:sz w:val="24"/>
                <w:szCs w:val="24"/>
                <w:color w:val="auto"/>
              </w:rPr>
            </w:pPr>
          </w:p>
        </w:tc>
        <w:tc>
          <w:tcPr>
            <w:tcW w:w="280" w:type="dxa"/>
            <w:vAlign w:val="bottom"/>
            <w:tcBorders>
              <w:bottom w:val="single" w:sz="8" w:color="808080"/>
            </w:tcBorders>
          </w:tcPr>
          <w:p>
            <w:pPr>
              <w:spacing w:after="0"/>
              <w:rPr>
                <w:sz w:val="24"/>
                <w:szCs w:val="24"/>
                <w:color w:val="auto"/>
              </w:rPr>
            </w:pPr>
          </w:p>
        </w:tc>
        <w:tc>
          <w:tcPr>
            <w:tcW w:w="200" w:type="dxa"/>
            <w:vAlign w:val="bottom"/>
            <w:tcBorders>
              <w:bottom w:val="single" w:sz="8" w:color="808080"/>
            </w:tcBorders>
          </w:tcPr>
          <w:p>
            <w:pPr>
              <w:spacing w:after="0"/>
              <w:rPr>
                <w:sz w:val="24"/>
                <w:szCs w:val="24"/>
                <w:color w:val="auto"/>
              </w:rPr>
            </w:pPr>
          </w:p>
        </w:tc>
        <w:tc>
          <w:tcPr>
            <w:tcW w:w="780" w:type="dxa"/>
            <w:vAlign w:val="bottom"/>
            <w:tcBorders>
              <w:bottom w:val="single" w:sz="8" w:color="808080"/>
            </w:tcBorders>
          </w:tcPr>
          <w:p>
            <w:pPr>
              <w:spacing w:after="0"/>
              <w:rPr>
                <w:sz w:val="24"/>
                <w:szCs w:val="24"/>
                <w:color w:val="auto"/>
              </w:rPr>
            </w:pPr>
          </w:p>
        </w:tc>
        <w:tc>
          <w:tcPr>
            <w:tcW w:w="260" w:type="dxa"/>
            <w:vAlign w:val="bottom"/>
            <w:tcBorders>
              <w:bottom w:val="single" w:sz="8" w:color="808080"/>
            </w:tcBorders>
          </w:tcPr>
          <w:p>
            <w:pPr>
              <w:spacing w:after="0"/>
              <w:rPr>
                <w:sz w:val="24"/>
                <w:szCs w:val="24"/>
                <w:color w:val="auto"/>
              </w:rPr>
            </w:pPr>
          </w:p>
        </w:tc>
        <w:tc>
          <w:tcPr>
            <w:tcW w:w="220" w:type="dxa"/>
            <w:vAlign w:val="bottom"/>
            <w:tcBorders>
              <w:bottom w:val="single" w:sz="8" w:color="808080"/>
            </w:tcBorders>
          </w:tcPr>
          <w:p>
            <w:pPr>
              <w:spacing w:after="0"/>
              <w:rPr>
                <w:sz w:val="24"/>
                <w:szCs w:val="24"/>
                <w:color w:val="auto"/>
              </w:rPr>
            </w:pPr>
          </w:p>
        </w:tc>
        <w:tc>
          <w:tcPr>
            <w:tcW w:w="840" w:type="dxa"/>
            <w:vAlign w:val="bottom"/>
            <w:tcBorders>
              <w:bottom w:val="single" w:sz="8" w:color="808080"/>
            </w:tcBorders>
          </w:tcPr>
          <w:p>
            <w:pPr>
              <w:spacing w:after="0"/>
              <w:rPr>
                <w:sz w:val="24"/>
                <w:szCs w:val="24"/>
                <w:color w:val="auto"/>
              </w:rPr>
            </w:pPr>
          </w:p>
        </w:tc>
        <w:tc>
          <w:tcPr>
            <w:tcW w:w="20" w:type="dxa"/>
            <w:vAlign w:val="bottom"/>
            <w:tcBorders>
              <w:bottom w:val="single" w:sz="8" w:color="808080"/>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7258050</wp:posOffset>
            </wp:positionH>
            <wp:positionV relativeFrom="paragraph">
              <wp:posOffset>-14605</wp:posOffset>
            </wp:positionV>
            <wp:extent cx="12700" cy="889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-14605</wp:posOffset>
            </wp:positionV>
            <wp:extent cx="12700" cy="889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sectPr>
      <w:pgSz w:w="11900" w:h="16838" w:orient="portrait"/>
      <w:cols w:equalWidth="0" w:num="1">
        <w:col w:w="11440"/>
      </w:cols>
      <w:pgMar w:left="240" w:top="611" w:right="21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327B23C6"/>
    <w:multiLevelType w:val="hybridMultilevel"/>
    <w:lvl w:ilvl="0">
      <w:lvlJc w:val="left"/>
      <w:lvlText w:val="c"/>
      <w:numFmt w:val="bullet"/>
      <w:start w:val="1"/>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jpe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2019-12-10T09:12:11Z</dcterms:created>
  <dcterms:modified xsi:type="dcterms:W3CDTF">2019-12-10T09:12:11Z</dcterms:modified>
</cp:coreProperties>
</file>