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17"/>
          <w:szCs w:val="17"/>
          <w:color w:val="auto"/>
        </w:rPr>
        <w:t>SCHEDULE 14A</w:t>
      </w:r>
    </w:p>
    <w:p>
      <w:pPr>
        <w:spacing w:after="0" w:line="238"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(Rule 14a-101)</w:t>
      </w:r>
    </w:p>
    <w:p>
      <w:pPr>
        <w:spacing w:after="0" w:line="238"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auto"/>
        </w:rPr>
        <w:t>INFORMATION REQUIRED IN PROXY STATEMENT</w:t>
      </w:r>
    </w:p>
    <w:p>
      <w:pPr>
        <w:spacing w:after="0" w:line="250"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SCHEDULE 14A INFORMATION</w:t>
      </w:r>
    </w:p>
    <w:p>
      <w:pPr>
        <w:spacing w:after="0" w:line="238"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Proxy Statement Pursuant to Section 14(a) of the</w:t>
      </w:r>
    </w:p>
    <w:p>
      <w:pPr>
        <w:spacing w:after="0" w:line="16"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auto"/>
        </w:rPr>
        <w:t>Securities Exchange Act of 1934 (Amendment No. )</w:t>
      </w: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  ]</w:t>
      </w:r>
    </w:p>
    <w:p>
      <w:pPr>
        <w:sectPr>
          <w:pgSz w:w="11900" w:h="16838" w:orient="portrait"/>
          <w:cols w:equalWidth="0" w:num="1">
            <w:col w:w="10960"/>
          </w:cols>
          <w:pgMar w:left="240" w:top="462" w:right="699" w:bottom="1440" w:gutter="0" w:footer="0" w:header="0"/>
        </w:sectPr>
      </w:pP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34"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Preliminary Proxy Statement</w:t>
      </w:r>
    </w:p>
    <w:p>
      <w:pPr>
        <w:spacing w:after="0" w:line="21"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Confidential, For Use of the</w:t>
      </w:r>
    </w:p>
    <w:p>
      <w:pPr>
        <w:spacing w:after="0" w:line="1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Commission Only (as permitted</w:t>
      </w:r>
    </w:p>
    <w:p>
      <w:pPr>
        <w:spacing w:after="0" w:line="32" w:lineRule="exact"/>
        <w:rPr>
          <w:sz w:val="24"/>
          <w:szCs w:val="24"/>
          <w:color w:val="auto"/>
        </w:rPr>
      </w:pPr>
    </w:p>
    <w:p>
      <w:pPr>
        <w:ind w:left="520"/>
        <w:spacing w:after="0"/>
        <w:rPr>
          <w:sz w:val="20"/>
          <w:szCs w:val="20"/>
          <w:color w:val="auto"/>
        </w:rPr>
      </w:pPr>
      <w:r>
        <w:rPr>
          <w:rFonts w:ascii="Arial" w:cs="Arial" w:eastAsia="Arial" w:hAnsi="Arial"/>
          <w:sz w:val="17"/>
          <w:szCs w:val="17"/>
          <w:color w:val="auto"/>
        </w:rPr>
        <w:t>by Rule 14a-6(e)(2))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color w:val="auto"/>
        </w:rPr>
        <w:t>[  ] Soliciting Material Under Rule 14a-12</w:t>
      </w:r>
    </w:p>
    <w:p>
      <w:pPr>
        <w:spacing w:after="0" w:line="669" w:lineRule="exact"/>
        <w:rPr>
          <w:sz w:val="24"/>
          <w:szCs w:val="24"/>
          <w:color w:val="auto"/>
        </w:rPr>
      </w:pPr>
    </w:p>
    <w:p>
      <w:pPr>
        <w:sectPr>
          <w:pgSz w:w="11900" w:h="16838" w:orient="portrait"/>
          <w:cols w:equalWidth="0" w:num="2">
            <w:col w:w="2640" w:space="420"/>
            <w:col w:w="7900"/>
          </w:cols>
          <w:pgMar w:left="240" w:top="462" w:right="699" w:bottom="1440" w:gutter="0" w:footer="0" w:header="0"/>
          <w:type w:val="continuous"/>
        </w:sectPr>
      </w:pPr>
    </w:p>
    <w:p>
      <w:pPr>
        <w:ind w:left="520" w:hanging="518"/>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34"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Definitive Additional Materials</w:t>
      </w:r>
    </w:p>
    <w:p>
      <w:pPr>
        <w:spacing w:after="0" w:line="264"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19050</wp:posOffset>
            </wp:positionV>
            <wp:extent cx="6824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4980" cy="8255"/>
                    </a:xfrm>
                    <a:prstGeom prst="rect">
                      <a:avLst/>
                    </a:prstGeom>
                    <a:noFill/>
                  </pic:spPr>
                </pic:pic>
              </a:graphicData>
            </a:graphic>
          </wp:anchor>
        </w:drawing>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310515</wp:posOffset>
            </wp:positionV>
            <wp:extent cx="6824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498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32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34" w:lineRule="exact"/>
        <w:rPr>
          <w:sz w:val="24"/>
          <w:szCs w:val="24"/>
          <w:color w:val="auto"/>
        </w:rPr>
      </w:pPr>
    </w:p>
    <w:p>
      <w:pPr>
        <w:ind w:left="500" w:hanging="486"/>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34" w:lineRule="exact"/>
        <w:rPr>
          <w:sz w:val="24"/>
          <w:szCs w:val="24"/>
          <w:color w:val="auto"/>
        </w:rPr>
      </w:pPr>
    </w:p>
    <w:p>
      <w:pPr>
        <w:ind w:left="180" w:hanging="170"/>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Fee computed on table below per Exchange Act Rules 14a-6(i)(4) and 0-11.</w:t>
      </w:r>
    </w:p>
    <w:p>
      <w:pPr>
        <w:spacing w:after="0" w:line="34" w:lineRule="exact"/>
        <w:rPr>
          <w:rFonts w:ascii="Arial" w:cs="Arial" w:eastAsia="Arial" w:hAnsi="Arial"/>
          <w:sz w:val="17"/>
          <w:szCs w:val="17"/>
          <w:color w:val="auto"/>
        </w:rPr>
      </w:pPr>
    </w:p>
    <w:p>
      <w:pPr>
        <w:ind w:left="940" w:hanging="439"/>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01" w:lineRule="exact"/>
        <w:rPr>
          <w:rFonts w:ascii="Arial" w:cs="Arial" w:eastAsia="Arial" w:hAnsi="Arial"/>
          <w:sz w:val="17"/>
          <w:szCs w:val="17"/>
          <w:color w:val="auto"/>
        </w:rPr>
      </w:pPr>
    </w:p>
    <w:p>
      <w:pPr>
        <w:ind w:left="940" w:hanging="439"/>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76" w:lineRule="exact"/>
        <w:rPr>
          <w:rFonts w:ascii="Arial" w:cs="Arial" w:eastAsia="Arial" w:hAnsi="Arial"/>
          <w:sz w:val="17"/>
          <w:szCs w:val="17"/>
          <w:color w:val="auto"/>
        </w:rPr>
      </w:pPr>
    </w:p>
    <w:p>
      <w:pPr>
        <w:ind w:left="940" w:right="180" w:hanging="439"/>
        <w:spacing w:after="0" w:line="301" w:lineRule="auto"/>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7"/>
          <w:szCs w:val="17"/>
          <w:color w:val="auto"/>
        </w:rPr>
      </w:pPr>
    </w:p>
    <w:p>
      <w:pPr>
        <w:ind w:left="940" w:hanging="439"/>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76" w:lineRule="exact"/>
        <w:rPr>
          <w:rFonts w:ascii="Arial" w:cs="Arial" w:eastAsia="Arial" w:hAnsi="Arial"/>
          <w:sz w:val="17"/>
          <w:szCs w:val="17"/>
          <w:color w:val="auto"/>
        </w:rPr>
      </w:pPr>
    </w:p>
    <w:p>
      <w:pPr>
        <w:ind w:left="940" w:hanging="439"/>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600075</wp:posOffset>
            </wp:positionH>
            <wp:positionV relativeFrom="paragraph">
              <wp:posOffset>164465</wp:posOffset>
            </wp:positionV>
            <wp:extent cx="6654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-133985</wp:posOffset>
            </wp:positionV>
            <wp:extent cx="6654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-433705</wp:posOffset>
            </wp:positionV>
            <wp:extent cx="6654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-878840</wp:posOffset>
            </wp:positionV>
            <wp:extent cx="6654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-1178560</wp:posOffset>
            </wp:positionV>
            <wp:extent cx="6654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4800" cy="8255"/>
                    </a:xfrm>
                    <a:prstGeom prst="rect">
                      <a:avLst/>
                    </a:prstGeom>
                    <a:noFill/>
                  </pic:spPr>
                </pic:pic>
              </a:graphicData>
            </a:graphic>
          </wp:anchor>
        </w:drawing>
      </w:r>
    </w:p>
    <w:p>
      <w:pPr>
        <w:spacing w:after="0" w:line="244" w:lineRule="exact"/>
        <w:rPr>
          <w:sz w:val="24"/>
          <w:szCs w:val="24"/>
          <w:color w:val="auto"/>
        </w:rPr>
      </w:pPr>
    </w:p>
    <w:p>
      <w:pPr>
        <w:spacing w:after="0"/>
        <w:tabs>
          <w:tab w:leader="none" w:pos="48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Fee paid previously with preliminary materials:</w:t>
      </w:r>
    </w:p>
    <w:p>
      <w:pPr>
        <w:spacing w:after="0" w:line="21" w:lineRule="exact"/>
        <w:rPr>
          <w:sz w:val="24"/>
          <w:szCs w:val="24"/>
          <w:color w:val="auto"/>
        </w:rPr>
      </w:pPr>
    </w:p>
    <w:p>
      <w:pPr>
        <w:ind w:left="500" w:hanging="490"/>
        <w:spacing w:after="0" w:line="258" w:lineRule="auto"/>
        <w:tabs>
          <w:tab w:leader="none" w:pos="190" w:val="left"/>
        </w:tabs>
        <w:numPr>
          <w:ilvl w:val="0"/>
          <w:numId w:val="4"/>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40" w:hanging="441"/>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52" w:lineRule="exact"/>
        <w:rPr>
          <w:rFonts w:ascii="Arial" w:cs="Arial" w:eastAsia="Arial" w:hAnsi="Arial"/>
          <w:sz w:val="17"/>
          <w:szCs w:val="17"/>
          <w:color w:val="auto"/>
        </w:rPr>
      </w:pPr>
    </w:p>
    <w:p>
      <w:pPr>
        <w:ind w:left="940" w:hanging="441"/>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89" w:lineRule="exact"/>
        <w:rPr>
          <w:rFonts w:ascii="Arial" w:cs="Arial" w:eastAsia="Arial" w:hAnsi="Arial"/>
          <w:sz w:val="17"/>
          <w:szCs w:val="17"/>
          <w:color w:val="auto"/>
        </w:rPr>
      </w:pPr>
    </w:p>
    <w:p>
      <w:pPr>
        <w:ind w:left="940" w:hanging="441"/>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89" w:lineRule="exact"/>
        <w:rPr>
          <w:rFonts w:ascii="Arial" w:cs="Arial" w:eastAsia="Arial" w:hAnsi="Arial"/>
          <w:sz w:val="17"/>
          <w:szCs w:val="17"/>
          <w:color w:val="auto"/>
        </w:rPr>
      </w:pPr>
    </w:p>
    <w:p>
      <w:pPr>
        <w:ind w:left="940" w:hanging="441"/>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600075</wp:posOffset>
            </wp:positionH>
            <wp:positionV relativeFrom="paragraph">
              <wp:posOffset>164465</wp:posOffset>
            </wp:positionV>
            <wp:extent cx="6654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-133985</wp:posOffset>
            </wp:positionV>
            <wp:extent cx="6654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-441960</wp:posOffset>
            </wp:positionV>
            <wp:extent cx="6654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-749300</wp:posOffset>
            </wp:positionV>
            <wp:extent cx="6654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381000</wp:posOffset>
            </wp:positionV>
            <wp:extent cx="727519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960"/>
          </w:cols>
          <w:pgMar w:left="240" w:top="462" w:right="69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2695575</wp:posOffset>
            </wp:positionH>
            <wp:positionV relativeFrom="page">
              <wp:posOffset>364490</wp:posOffset>
            </wp:positionV>
            <wp:extent cx="2169795" cy="274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69795" cy="274955"/>
                    </a:xfrm>
                    <a:prstGeom prst="rect">
                      <a:avLst/>
                    </a:prstGeom>
                    <a:noFill/>
                  </pic:spPr>
                </pic:pic>
              </a:graphicData>
            </a:graphic>
          </wp:anchor>
        </w:drawing>
        <w:t>777 Old Saw Mill River Road</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Tarrytown, New York 10591-6707</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April 26, 2012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It is my pleasure to invite you to attend the 2012 Annual Meeting of Shareholders of Regeneron Pharmaceuticals, Inc. to be held on Friday, June 8, 2012 at 10:30 a.m.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at the Westchester Marriott Hotel, 670 White Plains Road, Tarrytown, New York 10591.</w:t>
      </w:r>
    </w:p>
    <w:p>
      <w:pPr>
        <w:spacing w:after="0" w:line="230" w:lineRule="exact"/>
        <w:rPr>
          <w:sz w:val="20"/>
          <w:szCs w:val="20"/>
          <w:color w:val="auto"/>
        </w:rPr>
      </w:pPr>
    </w:p>
    <w:p>
      <w:pPr>
        <w:ind w:right="140" w:firstLine="255"/>
        <w:spacing w:after="0" w:line="255" w:lineRule="auto"/>
        <w:rPr>
          <w:sz w:val="20"/>
          <w:szCs w:val="20"/>
          <w:color w:val="auto"/>
        </w:rPr>
      </w:pPr>
      <w:r>
        <w:rPr>
          <w:rFonts w:ascii="Arial" w:cs="Arial" w:eastAsia="Arial" w:hAnsi="Arial"/>
          <w:sz w:val="17"/>
          <w:szCs w:val="17"/>
          <w:color w:val="auto"/>
        </w:rPr>
        <w:t>This year we are again using the “Notice and Access” method of providing proxy materials to you via the Internet. We believe that this process provides you with a convenient and quick way to access your proxy materials and vote your shares, while allowing us to reduce the costs of printing and distributing the proxy materials and conserve resources. On or about April 26, 2012, we will mail to our shareholders a Notice of Internet Availability of Proxy Materials containing instructions on how to access our proxy statement and our 2011 annual report and vote via the Internet. The Notice also contains instructions on how to receive a paper copy of the proxy materials and our 2011 annual report.</w:t>
      </w:r>
    </w:p>
    <w:p>
      <w:pPr>
        <w:spacing w:after="0" w:line="211"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Each of the Notice of Internet Availability of Proxy Materials that will be mailed and the Notice of Annual Meeting of Shareholders and proxy statement contained herein identifies the items we plan to address at the Annual Meeting. At the Annual Meeting, we will also present a brief report on the Company and our business and give you the opportunity to ask questions of interest to Regeneron’s shareholders.</w:t>
      </w:r>
    </w:p>
    <w:p>
      <w:pPr>
        <w:spacing w:after="0" w:line="206" w:lineRule="exact"/>
        <w:rPr>
          <w:sz w:val="20"/>
          <w:szCs w:val="20"/>
          <w:color w:val="auto"/>
        </w:rPr>
      </w:pPr>
    </w:p>
    <w:p>
      <w:pPr>
        <w:jc w:val="both"/>
        <w:ind w:right="20" w:firstLine="255"/>
        <w:spacing w:after="0" w:line="260" w:lineRule="auto"/>
        <w:rPr>
          <w:sz w:val="20"/>
          <w:szCs w:val="20"/>
          <w:color w:val="auto"/>
        </w:rPr>
      </w:pPr>
      <w:r>
        <w:rPr>
          <w:rFonts w:ascii="Arial" w:cs="Arial" w:eastAsia="Arial" w:hAnsi="Arial"/>
          <w:sz w:val="17"/>
          <w:szCs w:val="17"/>
          <w:color w:val="auto"/>
        </w:rPr>
        <w:t>Your vote is important. Whether or not you plan to attend the Annual Meeting, you can cast your vote via the Internet or by telephone, or, if you previously requested paper copies of the proxy materials, by completing the accompanying proxy and returning it in the prepaid envelope provided. If you attend the Annual Meeting, you may vote in person if you wish, even if you previously submitted a proxy.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 look forward to seeing you on June 8</w:t>
      </w:r>
      <w:r>
        <w:rPr>
          <w:rFonts w:ascii="Arial" w:cs="Arial" w:eastAsia="Arial" w:hAnsi="Arial"/>
          <w:sz w:val="27"/>
          <w:szCs w:val="27"/>
          <w:color w:val="auto"/>
          <w:vertAlign w:val="superscript"/>
        </w:rPr>
        <w:t>th</w:t>
      </w:r>
      <w:r>
        <w:rPr>
          <w:rFonts w:ascii="Arial" w:cs="Arial" w:eastAsia="Arial" w:hAnsi="Arial"/>
          <w:sz w:val="17"/>
          <w:szCs w:val="17"/>
          <w:color w:val="auto"/>
        </w:rPr>
        <w:t>.</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19050</wp:posOffset>
            </wp:positionV>
            <wp:extent cx="1125220" cy="509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5220" cy="50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 Roy Vagelos, M.D.</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292100</wp:posOffset>
            </wp:positionV>
            <wp:extent cx="727519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20"/>
          </w:cols>
          <w:pgMar w:left="240" w:top="119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777 Old Saw Mill River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Tarrytown, New York 10591</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____________________</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 OF SHAREHOLDERS</w:t>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____________________</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2012 Annual Meeting of Shareholders of Regeneron Pharmaceuticals, Inc. (the “Company”) will be held on Friday, June 8, 2012, commencing at 10:30 a.m., at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Westchester Marriott Hotel, 670 White Plains Road, Tarrytown, New York, for the following purposes:</w:t>
      </w:r>
    </w:p>
    <w:p>
      <w:pPr>
        <w:spacing w:after="0" w:line="205" w:lineRule="exact"/>
        <w:rPr>
          <w:sz w:val="20"/>
          <w:szCs w:val="20"/>
          <w:color w:val="auto"/>
        </w:rPr>
      </w:pPr>
    </w:p>
    <w:p>
      <w:pPr>
        <w:ind w:left="720" w:hanging="463"/>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five directors for a term of three years;</w:t>
      </w:r>
    </w:p>
    <w:p>
      <w:pPr>
        <w:spacing w:after="0" w:line="263" w:lineRule="exact"/>
        <w:rPr>
          <w:rFonts w:ascii="Arial" w:cs="Arial" w:eastAsia="Arial" w:hAnsi="Arial"/>
          <w:sz w:val="17"/>
          <w:szCs w:val="17"/>
          <w:color w:val="auto"/>
        </w:rPr>
      </w:pPr>
    </w:p>
    <w:p>
      <w:pPr>
        <w:ind w:left="720" w:right="120" w:hanging="463"/>
        <w:spacing w:after="0" w:line="270"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the Company’s independent registered public accounting firm for the fiscal year ending December 31, 2012; and</w:t>
      </w:r>
    </w:p>
    <w:p>
      <w:pPr>
        <w:spacing w:after="0" w:line="197" w:lineRule="exact"/>
        <w:rPr>
          <w:rFonts w:ascii="Arial" w:cs="Arial" w:eastAsia="Arial" w:hAnsi="Arial"/>
          <w:sz w:val="17"/>
          <w:szCs w:val="17"/>
          <w:color w:val="auto"/>
        </w:rPr>
      </w:pPr>
    </w:p>
    <w:p>
      <w:pPr>
        <w:ind w:left="720" w:hanging="463"/>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act upon such other matters as may properly come before the meeting and any adjournment(s) or postponement(s) thereof.</w:t>
      </w:r>
    </w:p>
    <w:p>
      <w:pPr>
        <w:spacing w:after="0" w:line="238" w:lineRule="exact"/>
        <w:rPr>
          <w:sz w:val="20"/>
          <w:szCs w:val="20"/>
          <w:color w:val="auto"/>
        </w:rPr>
      </w:pPr>
    </w:p>
    <w:p>
      <w:pPr>
        <w:ind w:right="120" w:firstLine="255"/>
        <w:spacing w:after="0" w:line="270" w:lineRule="auto"/>
        <w:rPr>
          <w:sz w:val="20"/>
          <w:szCs w:val="20"/>
          <w:color w:val="auto"/>
        </w:rPr>
      </w:pPr>
      <w:r>
        <w:rPr>
          <w:rFonts w:ascii="Arial" w:cs="Arial" w:eastAsia="Arial" w:hAnsi="Arial"/>
          <w:sz w:val="17"/>
          <w:szCs w:val="17"/>
          <w:color w:val="auto"/>
        </w:rPr>
        <w:t>The board of directors has fixed the close of business on April 11, 2012 as the record date for determining shareholders entitled to notice of, and to vote at, the Annual Meeting and at any adjournment(s) or postponement(s) thereof.</w:t>
      </w:r>
    </w:p>
    <w:p>
      <w:pPr>
        <w:spacing w:after="0" w:line="198" w:lineRule="exact"/>
        <w:rPr>
          <w:sz w:val="20"/>
          <w:szCs w:val="20"/>
          <w:color w:val="auto"/>
        </w:rPr>
      </w:pPr>
    </w:p>
    <w:p>
      <w:pPr>
        <w:ind w:firstLine="255"/>
        <w:spacing w:after="0" w:line="257" w:lineRule="auto"/>
        <w:rPr>
          <w:sz w:val="20"/>
          <w:szCs w:val="20"/>
          <w:color w:val="auto"/>
        </w:rPr>
      </w:pPr>
      <w:r>
        <w:rPr>
          <w:rFonts w:ascii="Arial" w:cs="Arial" w:eastAsia="Arial" w:hAnsi="Arial"/>
          <w:sz w:val="17"/>
          <w:szCs w:val="17"/>
          <w:color w:val="auto"/>
        </w:rPr>
        <w:t>Pursuant to the rules of the Securities and Exchange Commission, we have elected to provide access to our proxy materials over the Internet. Accordingly, we will mail, beginning on or about April 26, 2012, a Notice of Internet Availability of Proxy Materials to our shareholders of record and beneficial owners as of the record date.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208" w:lineRule="exact"/>
        <w:rPr>
          <w:sz w:val="20"/>
          <w:szCs w:val="20"/>
          <w:color w:val="auto"/>
        </w:rPr>
      </w:pPr>
    </w:p>
    <w:p>
      <w:pPr>
        <w:jc w:val="both"/>
        <w:ind w:right="300" w:firstLine="255"/>
        <w:spacing w:after="0" w:line="260" w:lineRule="auto"/>
        <w:rPr>
          <w:sz w:val="20"/>
          <w:szCs w:val="20"/>
          <w:color w:val="auto"/>
        </w:rPr>
      </w:pPr>
      <w:r>
        <w:rPr>
          <w:rFonts w:ascii="Arial" w:cs="Arial" w:eastAsia="Arial" w:hAnsi="Arial"/>
          <w:sz w:val="17"/>
          <w:szCs w:val="17"/>
          <w:color w:val="auto"/>
        </w:rPr>
        <w:t>The Notice of Internet Availability of Proxy Materials also contains a toll-free telephone number, an e-mail address, and a website where shareholders can request a paper or e-mail copy of any of the proxy statement, our 2011 annual report, and/or a form of proxy relating to the Annual Meeting. These materials are available free of charge. The Notice also contains information on how to access and vote the form of proxy.</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19050</wp:posOffset>
            </wp:positionV>
            <wp:extent cx="1238885" cy="339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8885" cy="33972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J. LaRosa</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Senior Vice President, General Counsel and Secretary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April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7519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Tarrytown, New York 10591</w:t>
      </w:r>
    </w:p>
    <w:p>
      <w:pPr>
        <w:spacing w:after="0" w:line="188" w:lineRule="exact"/>
        <w:rPr>
          <w:sz w:val="20"/>
          <w:szCs w:val="20"/>
          <w:color w:val="auto"/>
        </w:rPr>
      </w:pPr>
    </w:p>
    <w:tbl>
      <w:tblPr>
        <w:tblLayout w:type="fixed"/>
        <w:tblInd w:w="4900" w:type="dxa"/>
        <w:tblCellMar>
          <w:top w:w="0" w:type="dxa"/>
          <w:left w:w="0" w:type="dxa"/>
          <w:bottom w:w="0" w:type="dxa"/>
          <w:right w:w="0" w:type="dxa"/>
        </w:tblCellMar>
      </w:tblPr>
      <w:tr>
        <w:trPr>
          <w:trHeight w:val="228"/>
        </w:trPr>
        <w:tc>
          <w:tcPr>
            <w:tcW w:w="3600" w:type="dxa"/>
            <w:vAlign w:val="bottom"/>
          </w:tcPr>
          <w:p>
            <w:pPr>
              <w:jc w:val="center"/>
              <w:ind w:right="1877"/>
              <w:spacing w:after="0"/>
              <w:rPr>
                <w:sz w:val="20"/>
                <w:szCs w:val="20"/>
                <w:color w:val="auto"/>
              </w:rPr>
            </w:pPr>
            <w:r>
              <w:rPr>
                <w:rFonts w:ascii="Arial" w:cs="Arial" w:eastAsia="Arial" w:hAnsi="Arial"/>
                <w:sz w:val="17"/>
                <w:szCs w:val="17"/>
                <w:b w:val="1"/>
                <w:bCs w:val="1"/>
                <w:color w:val="auto"/>
                <w:w w:val="87"/>
              </w:rPr>
              <w:t>______________</w:t>
            </w:r>
          </w:p>
        </w:tc>
        <w:tc>
          <w:tcPr>
            <w:tcW w:w="2920" w:type="dxa"/>
            <w:vAlign w:val="bottom"/>
          </w:tcPr>
          <w:p>
            <w:pPr>
              <w:ind w:left="1960"/>
              <w:spacing w:after="0"/>
              <w:rPr>
                <w:sz w:val="20"/>
                <w:szCs w:val="20"/>
                <w:color w:val="auto"/>
              </w:rPr>
            </w:pPr>
            <w:r>
              <w:rPr>
                <w:rFonts w:ascii="Arial" w:cs="Arial" w:eastAsia="Arial" w:hAnsi="Arial"/>
                <w:sz w:val="17"/>
                <w:szCs w:val="17"/>
                <w:color w:val="auto"/>
                <w:w w:val="89"/>
              </w:rPr>
              <w:t>April 26, 2012</w:t>
            </w:r>
          </w:p>
        </w:tc>
      </w:tr>
      <w:tr>
        <w:trPr>
          <w:trHeight w:val="384"/>
        </w:trPr>
        <w:tc>
          <w:tcPr>
            <w:tcW w:w="3600" w:type="dxa"/>
            <w:vAlign w:val="bottom"/>
          </w:tcPr>
          <w:p>
            <w:pPr>
              <w:jc w:val="center"/>
              <w:ind w:right="1877"/>
              <w:spacing w:after="0"/>
              <w:rPr>
                <w:sz w:val="20"/>
                <w:szCs w:val="20"/>
                <w:color w:val="auto"/>
              </w:rPr>
            </w:pPr>
            <w:r>
              <w:rPr>
                <w:rFonts w:ascii="Arial" w:cs="Arial" w:eastAsia="Arial" w:hAnsi="Arial"/>
                <w:sz w:val="17"/>
                <w:szCs w:val="17"/>
                <w:b w:val="1"/>
                <w:bCs w:val="1"/>
                <w:color w:val="auto"/>
                <w:w w:val="97"/>
              </w:rPr>
              <w:t>PROXY STATEMENT</w:t>
            </w:r>
          </w:p>
        </w:tc>
        <w:tc>
          <w:tcPr>
            <w:tcW w:w="2920" w:type="dxa"/>
            <w:vAlign w:val="bottom"/>
          </w:tcPr>
          <w:p>
            <w:pPr>
              <w:spacing w:after="0"/>
              <w:rPr>
                <w:sz w:val="24"/>
                <w:szCs w:val="24"/>
                <w:color w:val="auto"/>
              </w:rPr>
            </w:pPr>
          </w:p>
        </w:tc>
      </w:tr>
      <w:tr>
        <w:trPr>
          <w:trHeight w:val="216"/>
        </w:trPr>
        <w:tc>
          <w:tcPr>
            <w:tcW w:w="3600" w:type="dxa"/>
            <w:vAlign w:val="bottom"/>
          </w:tcPr>
          <w:p>
            <w:pPr>
              <w:jc w:val="center"/>
              <w:ind w:right="1877"/>
              <w:spacing w:after="0"/>
              <w:rPr>
                <w:sz w:val="20"/>
                <w:szCs w:val="20"/>
                <w:color w:val="auto"/>
              </w:rPr>
            </w:pPr>
            <w:r>
              <w:rPr>
                <w:rFonts w:ascii="Arial" w:cs="Arial" w:eastAsia="Arial" w:hAnsi="Arial"/>
                <w:sz w:val="17"/>
                <w:szCs w:val="17"/>
                <w:b w:val="1"/>
                <w:bCs w:val="1"/>
                <w:color w:val="auto"/>
                <w:w w:val="87"/>
              </w:rPr>
              <w:t>______________</w:t>
            </w:r>
          </w:p>
        </w:tc>
        <w:tc>
          <w:tcPr>
            <w:tcW w:w="2920" w:type="dxa"/>
            <w:vAlign w:val="bottom"/>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 ABOUT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and when will the 2012 Annual Meeting be held?</w:t>
      </w:r>
    </w:p>
    <w:p>
      <w:pPr>
        <w:spacing w:after="0" w:line="242" w:lineRule="exact"/>
        <w:rPr>
          <w:sz w:val="20"/>
          <w:szCs w:val="20"/>
          <w:color w:val="auto"/>
        </w:rPr>
      </w:pPr>
    </w:p>
    <w:p>
      <w:pPr>
        <w:ind w:right="160" w:firstLine="255"/>
        <w:spacing w:after="0" w:line="270" w:lineRule="auto"/>
        <w:rPr>
          <w:sz w:val="20"/>
          <w:szCs w:val="20"/>
          <w:color w:val="auto"/>
        </w:rPr>
      </w:pPr>
      <w:r>
        <w:rPr>
          <w:rFonts w:ascii="Arial" w:cs="Arial" w:eastAsia="Arial" w:hAnsi="Arial"/>
          <w:sz w:val="17"/>
          <w:szCs w:val="17"/>
          <w:color w:val="auto"/>
        </w:rPr>
        <w:t xml:space="preserve">The 2012 Annual Meeting is scheduled for June 8, 2012, commencing at 10:30 a.m., at the Westchester Marriott Hotel, 670 White Plains Road, Tarrytown, New York 10591. If you are planning to attend the meeting, directions to this location are available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you receive a notice in the mail regarding the Internet availability of proxy materials instead of a paper copy of the proxy materials?</w:t>
      </w:r>
    </w:p>
    <w:p>
      <w:pPr>
        <w:spacing w:after="0" w:line="242" w:lineRule="exact"/>
        <w:rPr>
          <w:sz w:val="20"/>
          <w:szCs w:val="20"/>
          <w:color w:val="auto"/>
        </w:rPr>
      </w:pPr>
    </w:p>
    <w:p>
      <w:pPr>
        <w:ind w:right="80" w:firstLine="255"/>
        <w:spacing w:after="0" w:line="294" w:lineRule="auto"/>
        <w:rPr>
          <w:sz w:val="20"/>
          <w:szCs w:val="20"/>
          <w:color w:val="auto"/>
        </w:rPr>
      </w:pPr>
      <w:r>
        <w:rPr>
          <w:rFonts w:ascii="Arial" w:cs="Arial" w:eastAsia="Arial" w:hAnsi="Arial"/>
          <w:sz w:val="15"/>
          <w:szCs w:val="15"/>
          <w:color w:val="auto"/>
        </w:rPr>
        <w:t>The “Notice and Access” rules of the United States Securities and Exchange Commission (the “SEC”) permit us to furnish proxy materials, including this proxy statement and our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The Notice will be mailed beginning on or about April 26, 2012. The Notice includes instructions on how you may access and review all of our proxy materials via the Internet. The Notice also includes instructions on how you may vote your shares. If you would like to receive a paper or e-mail copy of our proxy materials, you should follow the instructions in the Notice for requesting such materials. Any request to receive proxy materials by mail or e-mail will remain in effect until you revoke it.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didn’t you receive a notice in the mail about the Internet availability of the proxy materials?</w:t>
      </w:r>
    </w:p>
    <w:p>
      <w:pPr>
        <w:spacing w:after="0" w:line="242" w:lineRule="exact"/>
        <w:rPr>
          <w:sz w:val="20"/>
          <w:szCs w:val="20"/>
          <w:color w:val="auto"/>
        </w:rPr>
      </w:pPr>
    </w:p>
    <w:p>
      <w:pPr>
        <w:ind w:right="400" w:firstLine="255"/>
        <w:spacing w:after="0" w:line="270" w:lineRule="auto"/>
        <w:rPr>
          <w:sz w:val="20"/>
          <w:szCs w:val="20"/>
          <w:color w:val="auto"/>
        </w:rPr>
      </w:pPr>
      <w:r>
        <w:rPr>
          <w:rFonts w:ascii="Arial" w:cs="Arial" w:eastAsia="Arial" w:hAnsi="Arial"/>
          <w:sz w:val="17"/>
          <w:szCs w:val="17"/>
          <w:color w:val="auto"/>
        </w:rPr>
        <w:t>Shareholders who previously elected to access the proxy materials over the Internet will not receive a notice in the mail about the Internet availability of the proxy materials. Instead, you should have received an e-mail with links to the proxy materials and the proxy voting website.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you vote your shares by filling out and returning the Notice?</w:t>
      </w:r>
    </w:p>
    <w:p>
      <w:pPr>
        <w:spacing w:after="0" w:line="242" w:lineRule="exact"/>
        <w:rPr>
          <w:sz w:val="20"/>
          <w:szCs w:val="20"/>
          <w:color w:val="auto"/>
        </w:rPr>
      </w:pPr>
    </w:p>
    <w:p>
      <w:pPr>
        <w:ind w:right="80" w:firstLine="255"/>
        <w:spacing w:after="0" w:line="270" w:lineRule="auto"/>
        <w:rPr>
          <w:sz w:val="20"/>
          <w:szCs w:val="20"/>
          <w:color w:val="auto"/>
        </w:rPr>
      </w:pPr>
      <w:r>
        <w:rPr>
          <w:rFonts w:ascii="Arial" w:cs="Arial" w:eastAsia="Arial" w:hAnsi="Arial"/>
          <w:sz w:val="17"/>
          <w:szCs w:val="17"/>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we send you the Notice?</w:t>
      </w:r>
    </w:p>
    <w:p>
      <w:pPr>
        <w:spacing w:after="0" w:line="242" w:lineRule="exact"/>
        <w:rPr>
          <w:sz w:val="20"/>
          <w:szCs w:val="20"/>
          <w:color w:val="auto"/>
        </w:rPr>
      </w:pPr>
    </w:p>
    <w:p>
      <w:pPr>
        <w:ind w:right="260" w:firstLine="255"/>
        <w:spacing w:after="0" w:line="260" w:lineRule="auto"/>
        <w:rPr>
          <w:sz w:val="20"/>
          <w:szCs w:val="20"/>
          <w:color w:val="auto"/>
        </w:rPr>
      </w:pPr>
      <w:r>
        <w:rPr>
          <w:rFonts w:ascii="Arial" w:cs="Arial" w:eastAsia="Arial" w:hAnsi="Arial"/>
          <w:sz w:val="17"/>
          <w:szCs w:val="17"/>
          <w:color w:val="auto"/>
        </w:rPr>
        <w:t>We sent you the Notice regarding this proxy statement because Regeneron’s board of directors is asking (technically called soliciting) holders of the Company’s common stock, par value $.001 per share, and Class A stock, par value $.001 per share, to provide proxies to be voted at our 2012 Annual Meeting of Shareholders or at any adjournment(s) or postponement(s) of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242" w:lineRule="exact"/>
        <w:rPr>
          <w:sz w:val="20"/>
          <w:szCs w:val="20"/>
          <w:color w:val="auto"/>
        </w:rPr>
      </w:pPr>
    </w:p>
    <w:p>
      <w:pPr>
        <w:ind w:right="100" w:firstLine="255"/>
        <w:spacing w:after="0" w:line="257" w:lineRule="auto"/>
        <w:rPr>
          <w:sz w:val="20"/>
          <w:szCs w:val="20"/>
          <w:color w:val="auto"/>
        </w:rPr>
      </w:pPr>
      <w:r>
        <w:rPr>
          <w:rFonts w:ascii="Arial" w:cs="Arial" w:eastAsia="Arial" w:hAnsi="Arial"/>
          <w:sz w:val="17"/>
          <w:szCs w:val="17"/>
          <w:color w:val="auto"/>
        </w:rPr>
        <w:t>Only shareholders of record at the close of business on the record date, April 11, 2012, are entitled to vote at the Annual Meeting shares of common stock and/or Class A stock held of record on that date. As of April 11, 2012, 93,032,889 shares of common stock and 2,089,512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What are you being asked to vote on?</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are asking you to vote on:</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election of five directors for a term of three years (Proposal No. 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right="660"/>
        <w:spacing w:after="0" w:line="270" w:lineRule="auto"/>
        <w:rPr>
          <w:sz w:val="20"/>
          <w:szCs w:val="20"/>
          <w:color w:val="auto"/>
        </w:rPr>
      </w:pPr>
      <w:r>
        <w:rPr>
          <w:rFonts w:ascii="Arial" w:cs="Arial" w:eastAsia="Arial" w:hAnsi="Arial"/>
          <w:sz w:val="17"/>
          <w:szCs w:val="17"/>
          <w:color w:val="auto"/>
        </w:rPr>
        <w:t>ratification of the appointment of PricewaterhouseCoopers LLP as the Company’s independent registered public accounting firm for the fiscal year ending December 31, 2012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-237490</wp:posOffset>
            </wp:positionV>
            <wp:extent cx="57785" cy="57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Board’s recommendations?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board of directors recommends that you vote:</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election of the five nominated directors (Proposal No. 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-79375</wp:posOffset>
            </wp:positionV>
            <wp:extent cx="57785" cy="57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ratification of the appointment of PricewaterhouseCoopers LLP as the Company’s independent registered public accounting firm for 2012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-64770</wp:posOffset>
            </wp:positionV>
            <wp:extent cx="57785" cy="57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you vote?</w:t>
      </w:r>
    </w:p>
    <w:p>
      <w:pPr>
        <w:spacing w:after="0" w:line="242" w:lineRule="exact"/>
        <w:rPr>
          <w:sz w:val="20"/>
          <w:szCs w:val="20"/>
          <w:color w:val="auto"/>
        </w:rPr>
      </w:pPr>
    </w:p>
    <w:p>
      <w:pPr>
        <w:ind w:right="40" w:firstLine="255"/>
        <w:spacing w:after="0" w:line="278" w:lineRule="auto"/>
        <w:rPr>
          <w:sz w:val="20"/>
          <w:szCs w:val="20"/>
          <w:color w:val="auto"/>
        </w:rPr>
      </w:pPr>
      <w:r>
        <w:rPr>
          <w:rFonts w:ascii="Arial" w:cs="Arial" w:eastAsia="Arial" w:hAnsi="Arial"/>
          <w:sz w:val="16"/>
          <w:szCs w:val="16"/>
          <w:i w:val="1"/>
          <w:iCs w:val="1"/>
          <w:color w:val="auto"/>
        </w:rPr>
        <w:t xml:space="preserve">In person. </w:t>
      </w:r>
      <w:r>
        <w:rPr>
          <w:rFonts w:ascii="Arial" w:cs="Arial" w:eastAsia="Arial" w:hAnsi="Arial"/>
          <w:sz w:val="16"/>
          <w:szCs w:val="16"/>
          <w:color w:val="auto"/>
        </w:rPr>
        <w:t>If you are a shareholder of record, you may vote in person at the Annual Meeting. The Company will give you a ballot when you arrive. If you are a</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You can always change your vote at the meeting. Instructions on voting by proxy are included below.</w:t>
      </w:r>
    </w:p>
    <w:p>
      <w:pPr>
        <w:spacing w:after="0" w:line="206" w:lineRule="exact"/>
        <w:rPr>
          <w:sz w:val="20"/>
          <w:szCs w:val="20"/>
          <w:color w:val="auto"/>
        </w:rPr>
      </w:pPr>
    </w:p>
    <w:p>
      <w:pPr>
        <w:ind w:right="220" w:firstLine="207"/>
        <w:spacing w:after="0" w:line="285" w:lineRule="auto"/>
        <w:rPr>
          <w:sz w:val="20"/>
          <w:szCs w:val="20"/>
          <w:color w:val="auto"/>
        </w:rPr>
      </w:pPr>
      <w:r>
        <w:rPr>
          <w:rFonts w:ascii="Arial" w:cs="Arial" w:eastAsia="Arial" w:hAnsi="Arial"/>
          <w:sz w:val="13"/>
          <w:szCs w:val="13"/>
          <w:i w:val="1"/>
          <w:iCs w:val="1"/>
          <w:color w:val="auto"/>
        </w:rPr>
        <w:t xml:space="preserve">Via the Internet. </w:t>
      </w:r>
      <w:r>
        <w:rPr>
          <w:rFonts w:ascii="Arial" w:cs="Arial" w:eastAsia="Arial" w:hAnsi="Arial"/>
          <w:sz w:val="13"/>
          <w:szCs w:val="13"/>
          <w:color w:val="auto"/>
        </w:rPr>
        <w:t>You may vote by proxy via the Internet by visiting</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www.proxyvote.com</w:t>
      </w:r>
      <w:r>
        <w:rPr>
          <w:rFonts w:ascii="Arial" w:cs="Arial" w:eastAsia="Arial" w:hAnsi="Arial"/>
          <w:sz w:val="13"/>
          <w:szCs w:val="13"/>
          <w:color w:val="auto"/>
        </w:rPr>
        <w:t>. You will need the 12 digit control number included on the Notice or, if you requested a paper copy of the proxy materials, the</w:t>
      </w:r>
      <w:r>
        <w:rPr>
          <w:rFonts w:ascii="Arial" w:cs="Arial" w:eastAsia="Arial" w:hAnsi="Arial"/>
          <w:sz w:val="13"/>
          <w:szCs w:val="13"/>
          <w:i w:val="1"/>
          <w:iCs w:val="1"/>
          <w:color w:val="auto"/>
        </w:rPr>
        <w:t xml:space="preserve"> </w:t>
      </w:r>
      <w:r>
        <w:rPr>
          <w:rFonts w:ascii="Arial" w:cs="Arial" w:eastAsia="Arial" w:hAnsi="Arial"/>
          <w:sz w:val="13"/>
          <w:szCs w:val="13"/>
          <w:color w:val="auto"/>
        </w:rPr>
        <w:t>proxy card or voting instruction form you received. You may vote via the Internet through 11:59 p.m., Eastern Time, on June 7, 2012.</w:t>
      </w:r>
    </w:p>
    <w:p>
      <w:pPr>
        <w:spacing w:after="0" w:line="181"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i w:val="1"/>
          <w:iCs w:val="1"/>
          <w:color w:val="auto"/>
        </w:rPr>
        <w:t xml:space="preserve">Via telephone. </w:t>
      </w:r>
      <w:r>
        <w:rPr>
          <w:rFonts w:ascii="Arial" w:cs="Arial" w:eastAsia="Arial" w:hAnsi="Arial"/>
          <w:sz w:val="17"/>
          <w:szCs w:val="17"/>
          <w:color w:val="auto"/>
        </w:rPr>
        <w:t>You may vote by proxy via telephone by calling the toll free number found on the proxy card or the voting instruction form you received if you requested</w:t>
      </w:r>
      <w:r>
        <w:rPr>
          <w:rFonts w:ascii="Arial" w:cs="Arial" w:eastAsia="Arial" w:hAnsi="Arial"/>
          <w:sz w:val="17"/>
          <w:szCs w:val="17"/>
          <w:i w:val="1"/>
          <w:iCs w:val="1"/>
          <w:color w:val="auto"/>
        </w:rPr>
        <w:t xml:space="preserve"> </w:t>
      </w:r>
      <w:r>
        <w:rPr>
          <w:rFonts w:ascii="Arial" w:cs="Arial" w:eastAsia="Arial" w:hAnsi="Arial"/>
          <w:sz w:val="17"/>
          <w:szCs w:val="17"/>
          <w:color w:val="auto"/>
        </w:rPr>
        <w:t>a paper copy of the proxy materials. You will need the 12 digit control number included on the proxy card or voting instruction form. You may vote via telephone through 11:59 p.m., Eastern Time, on June 7, 2012.</w:t>
      </w:r>
    </w:p>
    <w:p>
      <w:pPr>
        <w:spacing w:after="0" w:line="206" w:lineRule="exact"/>
        <w:rPr>
          <w:sz w:val="20"/>
          <w:szCs w:val="20"/>
          <w:color w:val="auto"/>
        </w:rPr>
      </w:pPr>
    </w:p>
    <w:p>
      <w:pPr>
        <w:ind w:right="160" w:firstLine="255"/>
        <w:spacing w:after="0" w:line="270" w:lineRule="auto"/>
        <w:rPr>
          <w:sz w:val="20"/>
          <w:szCs w:val="20"/>
          <w:color w:val="auto"/>
        </w:rPr>
      </w:pPr>
      <w:r>
        <w:rPr>
          <w:rFonts w:ascii="Arial" w:cs="Arial" w:eastAsia="Arial" w:hAnsi="Arial"/>
          <w:sz w:val="17"/>
          <w:szCs w:val="17"/>
          <w:i w:val="1"/>
          <w:iCs w:val="1"/>
          <w:color w:val="auto"/>
        </w:rPr>
        <w:t xml:space="preserve">By mail. </w:t>
      </w:r>
      <w:r>
        <w:rPr>
          <w:rFonts w:ascii="Arial" w:cs="Arial" w:eastAsia="Arial" w:hAnsi="Arial"/>
          <w:sz w:val="17"/>
          <w:szCs w:val="17"/>
          <w:color w:val="auto"/>
        </w:rPr>
        <w:t>If you requested printed copies of the proxy materials, you may vote by proxy by completing the proxy card or voting instruction form and returning 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envelope provided.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proxies voted?</w:t>
      </w:r>
    </w:p>
    <w:p>
      <w:pPr>
        <w:spacing w:after="0" w:line="242" w:lineRule="exact"/>
        <w:rPr>
          <w:sz w:val="20"/>
          <w:szCs w:val="20"/>
          <w:color w:val="auto"/>
        </w:rPr>
      </w:pPr>
    </w:p>
    <w:p>
      <w:pPr>
        <w:ind w:right="200" w:firstLine="255"/>
        <w:spacing w:after="0" w:line="302" w:lineRule="auto"/>
        <w:rPr>
          <w:sz w:val="20"/>
          <w:szCs w:val="20"/>
          <w:color w:val="auto"/>
        </w:rPr>
      </w:pPr>
      <w:r>
        <w:rPr>
          <w:rFonts w:ascii="Arial" w:cs="Arial" w:eastAsia="Arial" w:hAnsi="Arial"/>
          <w:sz w:val="15"/>
          <w:szCs w:val="15"/>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are you being asked to vote on?”, to be presented at the Annual Meeting. If any other matter properly comes before the Annual Meeting, the persons named and designated as proxies will vote your shares in their discretion.</w:t>
      </w:r>
    </w:p>
    <w:p>
      <w:pPr>
        <w:spacing w:after="0" w:line="177" w:lineRule="exact"/>
        <w:rPr>
          <w:sz w:val="20"/>
          <w:szCs w:val="20"/>
          <w:color w:val="auto"/>
        </w:rPr>
      </w:pPr>
    </w:p>
    <w:p>
      <w:pPr>
        <w:jc w:val="both"/>
        <w:ind w:right="40" w:firstLine="255"/>
        <w:spacing w:after="0" w:line="260" w:lineRule="auto"/>
        <w:rPr>
          <w:sz w:val="20"/>
          <w:szCs w:val="20"/>
          <w:color w:val="auto"/>
        </w:rPr>
      </w:pPr>
      <w:r>
        <w:rPr>
          <w:rFonts w:ascii="Arial" w:cs="Arial" w:eastAsia="Arial" w:hAnsi="Arial"/>
          <w:sz w:val="17"/>
          <w:szCs w:val="17"/>
          <w:color w:val="auto"/>
        </w:rPr>
        <w:t xml:space="preserve">If you are the beneficial owner of shares held in street name, your broker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have discretionary voting authority to vote those shares with respect to the election of directors (Proposal No. 1). Therefore, if you do not furnish your broker with voting instructions, a broker non-vote will result and your shares will not be voted on Proposal No. 1.</w:t>
      </w:r>
    </w:p>
    <w:p>
      <w:pPr>
        <w:spacing w:after="0" w:line="206" w:lineRule="exact"/>
        <w:rPr>
          <w:sz w:val="20"/>
          <w:szCs w:val="20"/>
          <w:color w:val="auto"/>
        </w:rPr>
      </w:pPr>
    </w:p>
    <w:p>
      <w:pPr>
        <w:ind w:right="200" w:firstLine="255"/>
        <w:spacing w:after="0" w:line="260" w:lineRule="auto"/>
        <w:rPr>
          <w:sz w:val="20"/>
          <w:szCs w:val="20"/>
          <w:color w:val="auto"/>
        </w:rPr>
      </w:pPr>
      <w:r>
        <w:rPr>
          <w:rFonts w:ascii="Arial" w:cs="Arial" w:eastAsia="Arial" w:hAnsi="Arial"/>
          <w:sz w:val="17"/>
          <w:szCs w:val="17"/>
          <w:color w:val="auto"/>
        </w:rPr>
        <w:t>Brokers holding your shares in their name will have discretionary voting authority to vote those shares with respect to the ratification of the appointment of PricewaterhouseCoopers LLP as the Company’s independent registered public accounting firm for 2012 (Proposal No. 2) without instruction from you, and, accordingly, broker non-votes will not occur with respect to Proposal No. 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If you are a Regeneron employee or former employee, how do you vote shares in the Company Stock Fund in your 401(k) account?</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1"/>
          <w:szCs w:val="11"/>
          <w:color w:val="auto"/>
        </w:rPr>
        <w:t xml:space="preserve">If you participate in the Regeneron Pharmaceuticals, Inc. 401(k) Savings Plan, you may provide voting instructions to Capital Bank and Trust Company, the plan’s trustee, (1) through the Internet at </w:t>
      </w:r>
      <w:r>
        <w:rPr>
          <w:rFonts w:ascii="Arial" w:cs="Arial" w:eastAsia="Arial" w:hAnsi="Arial"/>
          <w:sz w:val="11"/>
          <w:szCs w:val="11"/>
          <w:u w:val="single" w:color="auto"/>
          <w:color w:val="auto"/>
        </w:rPr>
        <w:t>www.proxyvote.com</w:t>
      </w:r>
    </w:p>
    <w:p>
      <w:pPr>
        <w:spacing w:after="0" w:line="39" w:lineRule="exact"/>
        <w:rPr>
          <w:sz w:val="20"/>
          <w:szCs w:val="20"/>
          <w:color w:val="auto"/>
        </w:rPr>
      </w:pPr>
    </w:p>
    <w:p>
      <w:pPr>
        <w:ind w:right="180"/>
        <w:spacing w:after="0" w:line="233" w:lineRule="auto"/>
        <w:rPr>
          <w:sz w:val="20"/>
          <w:szCs w:val="20"/>
          <w:color w:val="auto"/>
        </w:rPr>
      </w:pPr>
      <w:r>
        <w:rPr>
          <w:rFonts w:ascii="Arial" w:cs="Arial" w:eastAsia="Arial" w:hAnsi="Arial"/>
          <w:sz w:val="13"/>
          <w:szCs w:val="13"/>
          <w:color w:val="auto"/>
        </w:rPr>
        <w:t>by 11:59 p.m., Eastern Time, on June 7, 2012, (2) by calling 1-800-690-6903 by 11:59 p.m., Eastern Time, on June 7, 2012, or (3) by returning your completed proxy card by mail. The trustee will vote your shares in accordance with your instructions. If you fail to sign or timely return the proxy voting instructions, whether by mail, by telephone, or over the Internet, the trustee will vote your shares as “WITHHELD” with regard to the election of directors (Proposal No. 1) and “ABSTAIN” with respect to the proposal to ratify the appointment of PricewaterhouseCoopers LLP as the Company’s independent registered public accounting firm for 2012 (Proposal No. 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you change your vote or revoke your proxy?</w:t>
      </w:r>
    </w:p>
    <w:p>
      <w:pPr>
        <w:spacing w:after="0" w:line="242" w:lineRule="exact"/>
        <w:rPr>
          <w:sz w:val="20"/>
          <w:szCs w:val="20"/>
          <w:color w:val="auto"/>
        </w:rPr>
      </w:pPr>
    </w:p>
    <w:p>
      <w:pPr>
        <w:ind w:right="20" w:firstLine="255"/>
        <w:spacing w:after="0" w:line="291" w:lineRule="auto"/>
        <w:rPr>
          <w:sz w:val="20"/>
          <w:szCs w:val="20"/>
          <w:color w:val="auto"/>
        </w:rPr>
      </w:pPr>
      <w:r>
        <w:rPr>
          <w:rFonts w:ascii="Arial" w:cs="Arial" w:eastAsia="Arial" w:hAnsi="Arial"/>
          <w:sz w:val="15"/>
          <w:szCs w:val="15"/>
          <w:color w:val="auto"/>
        </w:rPr>
        <w:t>Yes. You may change your vote or revoke your proxy at any time before the proxy is exercised. If you voted by proxy electronically through the Internet or by telephone as described above, you may simply vote again at a later date using the same procedures, in which case the later submitted proxy will be recorded and the earlier vote revoked. If you submitted your proxy by mail, you must (i) file with the Secretary or Assistant Secretary of the Company, at or before the taking of the vote at the Annual Meeting, a written notice of revocation bearing a later date than the proxy you previously submitted or (ii) duly execute a later dated proxy relating to the same shares and deliver it to the Secretary or Assistant Secretary of the Company or other designee before the taking of the vote at the Annual Meeting. Attendance at the Annual Meeting will not have the effect of revoking a proxy unless you give written notice of revocation to the Secretary or Assistant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constitutes a quorum?</w:t>
      </w:r>
    </w:p>
    <w:p>
      <w:pPr>
        <w:spacing w:after="0" w:line="242" w:lineRule="exact"/>
        <w:rPr>
          <w:sz w:val="20"/>
          <w:szCs w:val="20"/>
          <w:color w:val="auto"/>
        </w:rPr>
      </w:pPr>
    </w:p>
    <w:p>
      <w:pPr>
        <w:ind w:right="20" w:firstLine="255"/>
        <w:spacing w:after="0" w:line="302" w:lineRule="auto"/>
        <w:rPr>
          <w:sz w:val="20"/>
          <w:szCs w:val="20"/>
          <w:color w:val="auto"/>
        </w:rPr>
      </w:pPr>
      <w:r>
        <w:rPr>
          <w:rFonts w:ascii="Arial" w:cs="Arial" w:eastAsia="Arial" w:hAnsi="Arial"/>
          <w:sz w:val="15"/>
          <w:szCs w:val="15"/>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to approve each item?</w:t>
      </w:r>
    </w:p>
    <w:p>
      <w:pPr>
        <w:spacing w:after="0" w:line="242" w:lineRule="exact"/>
        <w:rPr>
          <w:sz w:val="20"/>
          <w:szCs w:val="20"/>
          <w:color w:val="auto"/>
        </w:rPr>
      </w:pPr>
    </w:p>
    <w:p>
      <w:pPr>
        <w:ind w:firstLine="255"/>
        <w:spacing w:after="0" w:line="278" w:lineRule="auto"/>
        <w:rPr>
          <w:sz w:val="20"/>
          <w:szCs w:val="20"/>
          <w:color w:val="auto"/>
        </w:rPr>
      </w:pPr>
      <w:r>
        <w:rPr>
          <w:rFonts w:ascii="Arial" w:cs="Arial" w:eastAsia="Arial" w:hAnsi="Arial"/>
          <w:sz w:val="16"/>
          <w:szCs w:val="16"/>
          <w:color w:val="auto"/>
        </w:rPr>
        <w:t>The election of directors (Proposal No. 1) will be determined by a plurality of the votes cast in person or by proxy at the Annual Meeting. Approval of the ratification of the appointment of PricewaterhouseCoopers LLP as the Company’s independent registered public accounting firm for 2012 (Proposal No. 2) requires the affirmative vote of a majority of the votes cast on the matter in person or by proxy at the Annual Meeting. If any other matter is properly brought before the Annual Meeting, such matter also will be determined by the affirmative vote of a majority of the votes cast in person or by proxy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effect of abstentions and broker non-votes?</w:t>
      </w:r>
    </w:p>
    <w:p>
      <w:pPr>
        <w:spacing w:after="0" w:line="242" w:lineRule="exact"/>
        <w:rPr>
          <w:sz w:val="20"/>
          <w:szCs w:val="20"/>
          <w:color w:val="auto"/>
        </w:rPr>
      </w:pPr>
    </w:p>
    <w:p>
      <w:pPr>
        <w:ind w:right="60" w:firstLine="255"/>
        <w:spacing w:after="0" w:line="275" w:lineRule="auto"/>
        <w:rPr>
          <w:sz w:val="20"/>
          <w:szCs w:val="20"/>
          <w:color w:val="auto"/>
        </w:rPr>
      </w:pPr>
      <w:r>
        <w:rPr>
          <w:rFonts w:ascii="Arial" w:cs="Arial" w:eastAsia="Arial" w:hAnsi="Arial"/>
          <w:sz w:val="16"/>
          <w:szCs w:val="16"/>
          <w:color w:val="auto"/>
        </w:rPr>
        <w:t>Shares represented by proxies which are marked “WITHHELD” with regard to the election of directors (Proposal No. 1) will be excluded entirely from the vote on this proposal and thus will have no effect on the outcome of the vote. Shares represented by proxies which are marked “ABSTAIN” with regard to the ratification of the appointment of PricewaterhouseCoopers LLP as the Company’s independent registered public accounting firm for 2012 (Proposal No. 2) will have no effect on the outcome of the vote on that proposal because abstentions do not constitute votes cast. Similarly, broker non-votes that may occur with respect to the election of directors (Proposal No. 1) are not considered votes cast and, therefore, will have no effect on the outcome of the vote on that proposal.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PROPOSAL NO. 1: ELECTION OF DIRECTORS</w:t>
      </w:r>
    </w:p>
    <w:p>
      <w:pPr>
        <w:spacing w:after="0" w:line="242" w:lineRule="exact"/>
        <w:rPr>
          <w:sz w:val="20"/>
          <w:szCs w:val="20"/>
          <w:color w:val="auto"/>
        </w:rPr>
      </w:pPr>
    </w:p>
    <w:p>
      <w:pPr>
        <w:jc w:val="both"/>
        <w:ind w:right="60" w:firstLine="255"/>
        <w:spacing w:after="0" w:line="275" w:lineRule="auto"/>
        <w:rPr>
          <w:sz w:val="20"/>
          <w:szCs w:val="20"/>
          <w:color w:val="auto"/>
        </w:rPr>
      </w:pPr>
      <w:r>
        <w:rPr>
          <w:rFonts w:ascii="Arial" w:cs="Arial" w:eastAsia="Arial" w:hAnsi="Arial"/>
          <w:sz w:val="16"/>
          <w:szCs w:val="16"/>
          <w:color w:val="auto"/>
        </w:rPr>
        <w:t>Pursuant to the Company’s Certificate of Incorporation, the board of directors is divided into three classes, denominated Class I, Class II, and Class III, with members of each class holding office for staggered three-year terms. There are currently four Class III Directors, three Class I Directors, and four Class II Directors. The respective terms of the Class III Directors and Marc Tessier-Lavigne, Ph.D., who was elected a director by the board of directors on November 18, 2011, of the Class I Directors, and of the Class II Directors expire at the 2012 Annual Meeting, the 2013 Annual Meeting, and the 2014 Annual Meeting, respectively (in all cases, subject to the election and qualification of their successors and to their earlier death, resignation, or removal).</w:t>
      </w:r>
    </w:p>
    <w:p>
      <w:pPr>
        <w:spacing w:after="0" w:line="195" w:lineRule="exact"/>
        <w:rPr>
          <w:sz w:val="20"/>
          <w:szCs w:val="20"/>
          <w:color w:val="auto"/>
        </w:rPr>
      </w:pPr>
    </w:p>
    <w:p>
      <w:pPr>
        <w:ind w:firstLine="255"/>
        <w:spacing w:after="0" w:line="347" w:lineRule="auto"/>
        <w:rPr>
          <w:sz w:val="20"/>
          <w:szCs w:val="20"/>
          <w:color w:val="auto"/>
        </w:rPr>
      </w:pPr>
      <w:r>
        <w:rPr>
          <w:rFonts w:ascii="Arial" w:cs="Arial" w:eastAsia="Arial" w:hAnsi="Arial"/>
          <w:sz w:val="13"/>
          <w:szCs w:val="13"/>
          <w:color w:val="auto"/>
        </w:rPr>
        <w:t>Biographical information is given below, as of April 11, 2012, for each nominee for Class III Director whose current term of office expires at the 2012 Annual Meeting, and for each Class I and Class II Director whose term of office will continue after the 2012 Annual Meeting. None of the corporations or other organizations referred to below with which a director has been or is currently employed or otherwise associated is a parent, subsidiary, or affiliate of the Company. The board of directors, upon the recommendation of the Corporate Governance and Compliance Committee, has nominated for election at the 2012 Annual Meeting Charles A. Baker, Michael S. Brown, M.D., Arthur F. Ryan, George L. Sing, and Marc Tessier-Lavigne, Ph.D. as Class III Directors for a three-year term expiring at the 2015 Annual Meeting. Messrs. Baker, Ryan and Sing and Dr. Brown are presently directors and were previously elected by the shareholders. As described above, Dr. Tessier-Lavigne is also presently a director.</w:t>
      </w:r>
    </w:p>
    <w:p>
      <w:pPr>
        <w:spacing w:after="0" w:line="153" w:lineRule="exact"/>
        <w:rPr>
          <w:sz w:val="20"/>
          <w:szCs w:val="20"/>
          <w:color w:val="auto"/>
        </w:rPr>
      </w:pPr>
    </w:p>
    <w:p>
      <w:pPr>
        <w:ind w:right="320" w:firstLine="255"/>
        <w:spacing w:after="0" w:line="275" w:lineRule="auto"/>
        <w:rPr>
          <w:sz w:val="20"/>
          <w:szCs w:val="20"/>
          <w:color w:val="auto"/>
        </w:rPr>
      </w:pPr>
      <w:r>
        <w:rPr>
          <w:rFonts w:ascii="Arial" w:cs="Arial" w:eastAsia="Arial" w:hAnsi="Arial"/>
          <w:sz w:val="17"/>
          <w:szCs w:val="17"/>
          <w:b w:val="1"/>
          <w:bCs w:val="1"/>
          <w:color w:val="auto"/>
        </w:rPr>
        <w:t>The Board Unanimously Recommends a Vote FOR the Election of Charles A. Baker, Michael S. Brown, M.D., Arthur F. Ryan, George L. Sing, and Marc Tessier-Lavigne, Ph.D. as Class III Directors for a Term Expiring at the 2015 Annual Meeting.</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Nominees for Class III Directors for Election at the 2012 Annual Meeting</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a Term Expiring at the 2015 Annual Meeting</w:t>
      </w:r>
    </w:p>
    <w:p>
      <w:pPr>
        <w:spacing w:after="0" w:line="205" w:lineRule="exact"/>
        <w:rPr>
          <w:sz w:val="20"/>
          <w:szCs w:val="20"/>
          <w:color w:val="auto"/>
        </w:rPr>
      </w:pPr>
    </w:p>
    <w:p>
      <w:pPr>
        <w:ind w:left="3400" w:right="1140"/>
        <w:spacing w:after="0" w:line="329" w:lineRule="auto"/>
        <w:rPr>
          <w:sz w:val="20"/>
          <w:szCs w:val="20"/>
          <w:color w:val="auto"/>
        </w:rPr>
      </w:pPr>
      <w:r>
        <w:rPr>
          <w:rFonts w:ascii="Arial" w:cs="Arial" w:eastAsia="Arial" w:hAnsi="Arial"/>
          <w:sz w:val="13"/>
          <w:szCs w:val="13"/>
          <w:color w:val="auto"/>
        </w:rPr>
        <w:t>CHARLES A. BAKER, 79,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Company) and President, Squibb International, and various senior executive positions at Abbott Laboratories and Pfizer Inc. Mr. Baker is a member of the board of directors of Progenics Pharmaceuticals,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-904875</wp:posOffset>
            </wp:positionV>
            <wp:extent cx="785495" cy="890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5495" cy="890905"/>
                    </a:xfrm>
                    <a:prstGeom prst="rect">
                      <a:avLst/>
                    </a:prstGeom>
                    <a:noFill/>
                  </pic:spPr>
                </pic:pic>
              </a:graphicData>
            </a:graphic>
          </wp:anchor>
        </w:drawing>
      </w:r>
    </w:p>
    <w:p>
      <w:pPr>
        <w:ind w:left="3400" w:right="1220" w:hanging="1971"/>
        <w:spacing w:after="0" w:line="252" w:lineRule="auto"/>
        <w:tabs>
          <w:tab w:leader="none" w:pos="3380" w:val="left"/>
        </w:tabs>
        <w:rPr>
          <w:sz w:val="20"/>
          <w:szCs w:val="20"/>
          <w:color w:val="auto"/>
        </w:rPr>
      </w:pPr>
      <w:r>
        <w:rPr>
          <w:rFonts w:ascii="Arial" w:cs="Arial" w:eastAsia="Arial" w:hAnsi="Arial"/>
          <w:sz w:val="17"/>
          <w:szCs w:val="17"/>
          <w:b w:val="1"/>
          <w:bCs w:val="1"/>
          <w:color w:val="auto"/>
        </w:rPr>
        <w:t>Charles A. Baker</w:t>
      </w:r>
      <w:r>
        <w:rPr>
          <w:sz w:val="20"/>
          <w:szCs w:val="20"/>
          <w:color w:val="auto"/>
        </w:rPr>
        <w:tab/>
      </w:r>
      <w:r>
        <w:rPr>
          <w:rFonts w:ascii="Arial" w:cs="Arial" w:eastAsia="Arial" w:hAnsi="Arial"/>
          <w:sz w:val="17"/>
          <w:szCs w:val="17"/>
          <w:color w:val="auto"/>
        </w:rPr>
        <w:t>biopharmaceutical company. Mr. Baker’s substantial commercial experience gained from leadership roles at biopharmaceutical and pharmaceutical companies, his extensive industry knowledge, his having overseen the approval, manufacture, and marketing of pharmaceutical products throughout the world and having led a biotechnology company to sustained profitability, and his significant understanding of the Company led to the board’s decision to nominate Mr. Baker for reelection to the board.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60" w:right="2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1076325</wp:posOffset>
            </wp:positionH>
            <wp:positionV relativeFrom="page">
              <wp:posOffset>363855</wp:posOffset>
            </wp:positionV>
            <wp:extent cx="801370" cy="882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8013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683895</wp:posOffset>
            </wp:positionV>
            <wp:extent cx="785495" cy="890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5495" cy="89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Arthur F. Ryan</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5"/>
          <w:szCs w:val="15"/>
          <w:color w:val="auto"/>
        </w:rPr>
        <w:t>MICHAEL S. BROWN, M.D., 70, has been a Director of the Company since June 1991. Dr. Brown holds the Distinguished Chair in Biomedical Sciences, a position he has held since 1989,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Dr. Brown is a member of the National Academy of Sciences, the Institute of Medicine, and Foreign Member of the Royal Society (London). Dr. Brown is retiring as a member of the board of directors of Pfizer Inc. at its annual meeting of shareholders on April 26, 2012. 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to the board’s decision to nominate Dr. Brown for reelection to the board.</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ARTHUR F. RYAN, 69, has been a Director of the Company since January 2003. In 2008, Mr. Ryan retired as the Chairman of the Board of Prudential Financial, Inc., one of the largest diversified financial institutions in the world. He served as Chief Executive Officer of Prudential until December 2007. Prior to joining Prudential in December 1994, Mr. Ryan served as President and Chief Operating Officer of Chase Manhattan Bank since 1990. Mr. Ryan managed Chase’s worldwide retail bank between 1984 and 1990. Mr. Ryan is a non-executive director of the Royal Bank of Scotland Group plc. Mr. Ryan’s substantial leadership experience as a chief executive officer of leading companies in the banking and insurance industries, and his extensive business experience and financial expertise, led to the board’s decision to nominate Mr. Ryan for reelection to the board.</w:t>
      </w:r>
    </w:p>
    <w:p>
      <w:pPr>
        <w:spacing w:after="0" w:line="164"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138430</wp:posOffset>
            </wp:positionV>
            <wp:extent cx="727519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2">
            <w:col w:w="1700" w:space="520"/>
            <w:col w:w="6840"/>
          </w:cols>
          <w:pgMar w:left="1440" w:top="564" w:right="13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1254760</wp:posOffset>
            </wp:positionH>
            <wp:positionV relativeFrom="page">
              <wp:posOffset>234315</wp:posOffset>
            </wp:positionV>
            <wp:extent cx="793115" cy="866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9311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167005</wp:posOffset>
            </wp:positionV>
            <wp:extent cx="777240" cy="882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724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Marc Tessier-Lavigne,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984250</wp:posOffset>
            </wp:positionV>
            <wp:extent cx="777240" cy="890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7240" cy="89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Leonard S. Schleifer, M.D., Ph.D.</w:t>
      </w:r>
    </w:p>
    <w:p>
      <w:pPr>
        <w:spacing w:after="0" w:line="20" w:lineRule="exact"/>
        <w:rPr>
          <w:sz w:val="20"/>
          <w:szCs w:val="20"/>
          <w:color w:val="auto"/>
        </w:rPr>
      </w:pPr>
      <w:r>
        <w:rPr>
          <w:sz w:val="20"/>
          <w:szCs w:val="20"/>
          <w:color w:val="auto"/>
        </w:rPr>
        <w:br w:type="column"/>
      </w:r>
    </w:p>
    <w:p>
      <w:pPr>
        <w:ind w:right="80"/>
        <w:spacing w:after="0" w:line="271" w:lineRule="auto"/>
        <w:rPr>
          <w:sz w:val="20"/>
          <w:szCs w:val="20"/>
          <w:color w:val="auto"/>
        </w:rPr>
      </w:pPr>
      <w:r>
        <w:rPr>
          <w:rFonts w:ascii="Arial" w:cs="Arial" w:eastAsia="Arial" w:hAnsi="Arial"/>
          <w:sz w:val="16"/>
          <w:szCs w:val="16"/>
          <w:color w:val="auto"/>
        </w:rPr>
        <w:t>GEORGE L. SING, 62, has been a Director of the Company since January 1988. Since 1998, he has been a Managing Director of Lancet Capital, a venture capital investment firm in the healthcare field. Since January 2004, Mr. Sing has served as Chief Executive Officer of Stemnion, Inc., a bio-medical company in the regenerative medicine field. Mr. Sing’s extensive healthcare and financial expertise as a healthcare venture capital investor and biomedical company chief executive officer, his executive leadership experience, and his substantial knowledge of the Company, led to the board’s decision to nominate Mr. Sing for reelection to the board.</w:t>
      </w:r>
    </w:p>
    <w:p>
      <w:pPr>
        <w:spacing w:after="0" w:line="19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MARC TESSIER-LAVIGNE, Ph.D., 52, has been a Director of the Company since November 2011. Dr. Tessier-Lavigne has been the President of The Rockefeller University since March</w:t>
      </w:r>
    </w:p>
    <w:p>
      <w:pPr>
        <w:spacing w:after="0" w:line="289" w:lineRule="auto"/>
        <w:rPr>
          <w:sz w:val="20"/>
          <w:szCs w:val="20"/>
          <w:color w:val="auto"/>
        </w:rPr>
      </w:pPr>
      <w:r>
        <w:rPr>
          <w:rFonts w:ascii="Arial" w:cs="Arial" w:eastAsia="Arial" w:hAnsi="Arial"/>
          <w:sz w:val="15"/>
          <w:szCs w:val="15"/>
          <w:color w:val="auto"/>
        </w:rPr>
        <w:t>2011.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Institute of Medicine, and a fellow of the Royal Societies of the United Kingdom and Canada. Dr. Tessier-Lavigne is a member of the Board of Directors of Pfizer Inc. Dr. Tessier-Lavigne’s distinguished scientific and academic background, and his significant industry experience, including experience in senior scientific leadership roles at a leading biopharmaceutical company, led to the board’s decision to nominate Dr. Tessier-Lavigne for reelection to the board.</w:t>
      </w:r>
    </w:p>
    <w:p>
      <w:pPr>
        <w:spacing w:after="0" w:line="185" w:lineRule="exact"/>
        <w:rPr>
          <w:sz w:val="20"/>
          <w:szCs w:val="20"/>
          <w:color w:val="auto"/>
        </w:rPr>
      </w:pPr>
    </w:p>
    <w:p>
      <w:pPr>
        <w:jc w:val="center"/>
        <w:ind w:right="2780"/>
        <w:spacing w:after="0"/>
        <w:rPr>
          <w:sz w:val="20"/>
          <w:szCs w:val="20"/>
          <w:color w:val="auto"/>
        </w:rPr>
      </w:pPr>
      <w:r>
        <w:rPr>
          <w:rFonts w:ascii="Arial" w:cs="Arial" w:eastAsia="Arial" w:hAnsi="Arial"/>
          <w:sz w:val="17"/>
          <w:szCs w:val="17"/>
          <w:b w:val="1"/>
          <w:bCs w:val="1"/>
          <w:color w:val="auto"/>
        </w:rPr>
        <w:t>Class I Directors Continuing in Office</w:t>
      </w:r>
    </w:p>
    <w:p>
      <w:pPr>
        <w:spacing w:after="0" w:line="20" w:lineRule="exact"/>
        <w:rPr>
          <w:sz w:val="20"/>
          <w:szCs w:val="20"/>
          <w:color w:val="auto"/>
        </w:rPr>
      </w:pPr>
    </w:p>
    <w:p>
      <w:pPr>
        <w:jc w:val="center"/>
        <w:ind w:right="2780"/>
        <w:spacing w:after="0"/>
        <w:rPr>
          <w:sz w:val="20"/>
          <w:szCs w:val="20"/>
          <w:color w:val="auto"/>
        </w:rPr>
      </w:pPr>
      <w:r>
        <w:rPr>
          <w:rFonts w:ascii="Arial" w:cs="Arial" w:eastAsia="Arial" w:hAnsi="Arial"/>
          <w:sz w:val="17"/>
          <w:szCs w:val="17"/>
          <w:b w:val="1"/>
          <w:bCs w:val="1"/>
          <w:color w:val="auto"/>
        </w:rPr>
        <w:t>Term Expires at the 2013 Annual Meeting</w:t>
      </w: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LEONARD S. SCHLEIFER, M.D., Ph.D., 59, founded the Company in 1988, has been a Director and its President and Chief Executive Officer since its inception, and served as Chairman of the Board from 1990 through 1994. Dr. Schleifer is a licensed physician and is certified in Neurology by the American Board of Psychiatry and Neurology. With more than 22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 Dr. Schleifer’s significant industry and leadership experience, as well as his extensive knowledge of the Company, led the board to conclude that Dr. Schleifer should serve as a director.</w:t>
      </w:r>
    </w:p>
    <w:p>
      <w:pPr>
        <w:spacing w:after="0" w:line="17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138430</wp:posOffset>
            </wp:positionV>
            <wp:extent cx="727519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2">
            <w:col w:w="2340" w:space="460"/>
            <w:col w:w="6280"/>
          </w:cols>
          <w:pgMar w:left="1400" w:top="360" w:right="14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1092835</wp:posOffset>
            </wp:positionH>
            <wp:positionV relativeFrom="page">
              <wp:posOffset>363855</wp:posOffset>
            </wp:positionV>
            <wp:extent cx="777240" cy="874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772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Eric M. Shooter,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295910</wp:posOffset>
            </wp:positionV>
            <wp:extent cx="753110" cy="8420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53110"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George 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Yancopoulos, M.D., Ph.D.</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5"/>
          <w:szCs w:val="15"/>
          <w:color w:val="auto"/>
        </w:rPr>
        <w:t>ERIC M. SHOOTER, Ph.D., 87, a co-founder of the Company, has been a non-employee Director since 1988. Dr. Shooter has been a Professor at Stanford University School of Medicine since 1968 and is now a Professor Emeritus. He was the founding Chairman of the Department of Neurobiology at Stanford University School of Medicine in 1975 and served as its Chairman until 1987. Dr. Shooter is a Fellow of the Royal Society of London and a member of the National Academy of Sciences. Dr. Shooter is a respected pioneer and thought leader in the area of neurobiology research who is perhaps best known for discovering the protein known as nerve growth factor, or NGF. Dr. Shooter’s extensive research experience and his distinguished scientific and academic background led the board to conclude that Dr. Shooter should serve as a director.</w:t>
      </w:r>
    </w:p>
    <w:p>
      <w:pPr>
        <w:spacing w:after="0" w:line="190"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GEORGE D. YANCOPOULOS, M.D., Ph.D., 52,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Dr. Yancopoulos is a member of the National Academy of Sciences. As one of the few members of the National Academy of Sciences from industry and as an author of a substantial number of scientific publications, Dr. Yancopoulos has a distinguished record of scientific expertise. Dr. Yancopoulos also brings to the board his experience in leading and managing a complex research and development organization and his in-depth knowledge of the Company’s technologies and research and development programs. Dr. Yancopoulos’ significant industry and scientific experience, as well as his extensive knowledge of the Company, led the board to conclude that Dr. Yancopoulos should serve as a director.</w:t>
      </w:r>
    </w:p>
    <w:p>
      <w:pPr>
        <w:spacing w:after="0" w:line="19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-2185035</wp:posOffset>
            </wp:positionH>
            <wp:positionV relativeFrom="paragraph">
              <wp:posOffset>138430</wp:posOffset>
            </wp:positionV>
            <wp:extent cx="727519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2">
            <w:col w:w="1800" w:space="480"/>
            <w:col w:w="6840"/>
          </w:cols>
          <w:pgMar w:left="1400" w:top="564" w:right="13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1198245</wp:posOffset>
            </wp:positionH>
            <wp:positionV relativeFrom="page">
              <wp:posOffset>753110</wp:posOffset>
            </wp:positionV>
            <wp:extent cx="777240" cy="874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772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Alfred G. Gilman,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1080770</wp:posOffset>
            </wp:positionV>
            <wp:extent cx="777240" cy="882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724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Joseph L. Goldstein, M.D.</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7"/>
          <w:szCs w:val="17"/>
          <w:b w:val="1"/>
          <w:bCs w:val="1"/>
          <w:color w:val="auto"/>
        </w:rPr>
        <w:t>Class II Directors Continuing in Office</w:t>
      </w:r>
    </w:p>
    <w:p>
      <w:pPr>
        <w:spacing w:after="0" w:line="20" w:lineRule="exact"/>
        <w:rPr>
          <w:sz w:val="20"/>
          <w:szCs w:val="20"/>
          <w:color w:val="auto"/>
        </w:rPr>
      </w:pPr>
    </w:p>
    <w:p>
      <w:pPr>
        <w:jc w:val="center"/>
        <w:ind w:right="2600"/>
        <w:spacing w:after="0"/>
        <w:rPr>
          <w:sz w:val="20"/>
          <w:szCs w:val="20"/>
          <w:color w:val="auto"/>
        </w:rPr>
      </w:pPr>
      <w:r>
        <w:rPr>
          <w:rFonts w:ascii="Arial" w:cs="Arial" w:eastAsia="Arial" w:hAnsi="Arial"/>
          <w:sz w:val="17"/>
          <w:szCs w:val="17"/>
          <w:b w:val="1"/>
          <w:bCs w:val="1"/>
          <w:color w:val="auto"/>
        </w:rPr>
        <w:t>Term Expires at the 2014 Annual Meeting</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ALFRED G. GILMAN, M.D., Ph.D., 70, a co-founder of the Company, has been a non-employee Director of the Company since July 1990. Dr. Gilman is the chief scientific officer of the Cancer Prevention and Research Institute of Texas and Regental Professor of Pharmacology Emeritus at The University of Texas Southwestern Medical Center at Dallas. He previously served as executive vice president for academic affairs and provost of The University of Texas Southwestern Medical Center at Dallas, dean of The University of Texas Southwestern Medical School, and professor of pharmacology at The University of Texas Southwestern Medical Center. Dr. Gilman is a member of the National Academy of Sciences, and he received the Nobel Prize for Physiology or Medicine in 1994. Dr. Gilman is a member of the Board of Directors of Eli Lilly &amp; Company. Dr. Gilman’s distinguished scientific and academic background, including his receipt of the Nobel Prize for Physiology or Medicine in 1994, and his leadership positions at the Cancer Prevention and Research Institute of Texas, The University of Texas Southwestern Medical Center at Dallas, and The University of Texas Southwestern Medical School, together with his extensive experience as a director of the Company and of a leading pharmaceutical company, led the board to conclude that Dr. Gilman should serve as a director.</w:t>
      </w:r>
    </w:p>
    <w:p>
      <w:pPr>
        <w:spacing w:after="0" w:line="196"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JOSEPH L. GOLDSTEIN, M.D., 71, has been a Director of the Company since June 1991. Dr. Goldstein has been a Professor of Molecular Genetics and Internal Medicine and the Chairman of the Department of Molecular Genetics at The University of Texas Southwestern Medical Center at Dallas since 1977. Dr. Goldstein is a member of the National Academy of Sciences, the Institute of Medicine, and the Royal Society (London). He also serves on the Boards of Trustees of The Rockefeller University and the Howard Hughes Medical Institute. Drs. Goldstein and Brown jointly received the Nobel Prize for Physiology or Medicine in 1985. 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the board to conclude that Dr. Goldstein should serve as a director.</w:t>
      </w:r>
    </w:p>
    <w:p>
      <w:pPr>
        <w:spacing w:after="0" w:line="16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138430</wp:posOffset>
            </wp:positionV>
            <wp:extent cx="727519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2">
            <w:col w:w="2160" w:space="460"/>
            <w:col w:w="6480"/>
          </w:cols>
          <w:pgMar w:left="1400" w:top="560" w:right="13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1084580</wp:posOffset>
            </wp:positionH>
            <wp:positionV relativeFrom="page">
              <wp:posOffset>364490</wp:posOffset>
            </wp:positionV>
            <wp:extent cx="777240" cy="874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772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814070</wp:posOffset>
            </wp:positionV>
            <wp:extent cx="785495" cy="890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5495" cy="89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 Roy Vagelos,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Relating to Nominees</w:t>
      </w:r>
    </w:p>
    <w:p>
      <w:pPr>
        <w:spacing w:after="0" w:line="20" w:lineRule="exact"/>
        <w:rPr>
          <w:sz w:val="20"/>
          <w:szCs w:val="20"/>
          <w:color w:val="auto"/>
        </w:rPr>
      </w:pPr>
      <w:r>
        <w:rPr>
          <w:sz w:val="20"/>
          <w:szCs w:val="20"/>
          <w:color w:val="auto"/>
        </w:rPr>
        <w:br w:type="column"/>
      </w:r>
    </w:p>
    <w:p>
      <w:pPr>
        <w:ind w:right="1000"/>
        <w:spacing w:after="0" w:line="288" w:lineRule="auto"/>
        <w:rPr>
          <w:sz w:val="20"/>
          <w:szCs w:val="20"/>
          <w:color w:val="auto"/>
        </w:rPr>
      </w:pPr>
      <w:r>
        <w:rPr>
          <w:rFonts w:ascii="Arial" w:cs="Arial" w:eastAsia="Arial" w:hAnsi="Arial"/>
          <w:sz w:val="15"/>
          <w:szCs w:val="15"/>
          <w:color w:val="auto"/>
        </w:rPr>
        <w:t>CHRISTINE A. POON, 59, has been a director of the Company since November 2010. Ms. Poon is Dean and holds the John W. Berry, Sr. Chair in Business at The Max M. Fisher College of Business at The Ohio State University, a position she has held since 2009. Prior to joining Fisher, Ms. Poon spent eight years at Johnson &amp; Johnson, most recently as vice chairman and worldwide chairman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pharmaceutical company, where she held senior leadership positions including president of international medicines and president of medical devices. Ms. Poon serves on the board of directors of Prudential Financial, Inc. and the Supervisory Board of Royal Philips Electronics. 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p>
      <w:pPr>
        <w:spacing w:after="0" w:line="191" w:lineRule="exact"/>
        <w:rPr>
          <w:sz w:val="20"/>
          <w:szCs w:val="20"/>
          <w:color w:val="auto"/>
        </w:rPr>
      </w:pPr>
    </w:p>
    <w:p>
      <w:pPr>
        <w:ind w:right="980"/>
        <w:spacing w:after="0" w:line="289" w:lineRule="auto"/>
        <w:rPr>
          <w:sz w:val="20"/>
          <w:szCs w:val="20"/>
          <w:color w:val="auto"/>
        </w:rPr>
      </w:pPr>
      <w:r>
        <w:rPr>
          <w:rFonts w:ascii="Arial" w:cs="Arial" w:eastAsia="Arial" w:hAnsi="Arial"/>
          <w:sz w:val="15"/>
          <w:szCs w:val="15"/>
          <w:color w:val="auto"/>
        </w:rPr>
        <w:t>P. ROY VAGELOS, M.D., 82, has been Chairman of the Board of the Company since January 1995. 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served on the board of directors of Theravance, Inc. through April 2010. During his tenure as Chairman of the Company and previously as Chairman and Chief Executive Officer of Merck, Dr. Vagelos developed an extensive understanding of the complex business, operational, scientific, regulatory, and commercial issues facing the pharmaceutical industry. Dr. Vagelos’s tenure and experience with the Company and Merck, his extensive knowledge of the pharmaceutical industry, his substantial leadership experience, and his significant understanding of the Company led the board to conclude that Dr. Vagelos should serve as a director.</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CORPORATE GOVERNANCE</w:t>
      </w:r>
    </w:p>
    <w:p>
      <w:pPr>
        <w:spacing w:after="0" w:line="607" w:lineRule="exact"/>
        <w:rPr>
          <w:sz w:val="20"/>
          <w:szCs w:val="20"/>
          <w:color w:val="auto"/>
        </w:rPr>
      </w:pPr>
    </w:p>
    <w:p>
      <w:pPr>
        <w:sectPr>
          <w:pgSz w:w="11900" w:h="16838" w:orient="portrait"/>
          <w:cols w:equalWidth="0" w:num="2">
            <w:col w:w="2780" w:space="680"/>
            <w:col w:w="7780"/>
          </w:cols>
          <w:pgMar w:left="240" w:top="564" w:right="419" w:bottom="1440" w:gutter="0" w:footer="0" w:header="0"/>
        </w:sectPr>
      </w:pPr>
    </w:p>
    <w:p>
      <w:pPr>
        <w:spacing w:after="0" w:line="42" w:lineRule="exact"/>
        <w:rPr>
          <w:sz w:val="20"/>
          <w:szCs w:val="20"/>
          <w:color w:val="auto"/>
        </w:rPr>
      </w:pPr>
    </w:p>
    <w:p>
      <w:pPr>
        <w:jc w:val="both"/>
        <w:ind w:right="20" w:firstLine="255"/>
        <w:spacing w:after="0" w:line="284" w:lineRule="auto"/>
        <w:rPr>
          <w:sz w:val="20"/>
          <w:szCs w:val="20"/>
          <w:color w:val="auto"/>
        </w:rPr>
      </w:pPr>
      <w:r>
        <w:rPr>
          <w:rFonts w:ascii="Arial" w:cs="Arial" w:eastAsia="Arial" w:hAnsi="Arial"/>
          <w:sz w:val="16"/>
          <w:szCs w:val="16"/>
          <w:color w:val="auto"/>
        </w:rPr>
        <w:t xml:space="preserve">The Corporate Governance and Compliance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“Company” page.</w:t>
      </w:r>
    </w:p>
    <w:p>
      <w:pPr>
        <w:spacing w:after="0" w:line="188"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40"/>
          </w:cols>
          <w:pgMar w:left="240" w:top="564" w:right="419" w:bottom="1440" w:gutter="0" w:footer="0" w:header="0"/>
          <w:type w:val="continuous"/>
        </w:sectPr>
      </w:pPr>
    </w:p>
    <w:bookmarkStart w:id="12" w:name="page13"/>
    <w:bookmarkEnd w:id="12"/>
    <w:p>
      <w:pPr>
        <w:ind w:right="440"/>
        <w:spacing w:after="0" w:line="260" w:lineRule="auto"/>
        <w:rPr>
          <w:sz w:val="20"/>
          <w:szCs w:val="20"/>
          <w:color w:val="auto"/>
        </w:rPr>
      </w:pPr>
      <w:r>
        <w:rPr>
          <w:rFonts w:ascii="Arial" w:cs="Arial" w:eastAsia="Arial" w:hAnsi="Arial"/>
          <w:sz w:val="17"/>
          <w:szCs w:val="17"/>
          <w:color w:val="auto"/>
        </w:rPr>
        <w:t>exercise sound business 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206" w:lineRule="exact"/>
        <w:rPr>
          <w:sz w:val="20"/>
          <w:szCs w:val="20"/>
          <w:color w:val="auto"/>
        </w:rPr>
      </w:pPr>
    </w:p>
    <w:p>
      <w:pPr>
        <w:ind w:right="120" w:firstLine="255"/>
        <w:spacing w:after="0" w:line="294" w:lineRule="auto"/>
        <w:rPr>
          <w:sz w:val="20"/>
          <w:szCs w:val="20"/>
          <w:color w:val="auto"/>
        </w:rPr>
      </w:pPr>
      <w:r>
        <w:rPr>
          <w:rFonts w:ascii="Arial" w:cs="Arial" w:eastAsia="Arial" w:hAnsi="Arial"/>
          <w:sz w:val="15"/>
          <w:szCs w:val="15"/>
          <w:color w:val="auto"/>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86" w:lineRule="exact"/>
        <w:rPr>
          <w:sz w:val="20"/>
          <w:szCs w:val="20"/>
          <w:color w:val="auto"/>
        </w:rPr>
      </w:pPr>
    </w:p>
    <w:p>
      <w:pPr>
        <w:ind w:right="40" w:firstLine="255"/>
        <w:spacing w:after="0" w:line="257" w:lineRule="auto"/>
        <w:rPr>
          <w:sz w:val="20"/>
          <w:szCs w:val="20"/>
          <w:color w:val="auto"/>
        </w:rPr>
      </w:pPr>
      <w:r>
        <w:rPr>
          <w:rFonts w:ascii="Arial" w:cs="Arial" w:eastAsia="Arial" w:hAnsi="Arial"/>
          <w:sz w:val="17"/>
          <w:szCs w:val="17"/>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applicable listing standards of the NASDAQ Stock Market LLC and applicable SEC and New York State rules and regulations, if necessary.</w:t>
      </w:r>
    </w:p>
    <w:p>
      <w:pPr>
        <w:spacing w:after="0" w:line="208" w:lineRule="exact"/>
        <w:rPr>
          <w:sz w:val="20"/>
          <w:szCs w:val="20"/>
          <w:color w:val="auto"/>
        </w:rPr>
      </w:pPr>
    </w:p>
    <w:p>
      <w:pPr>
        <w:ind w:right="100" w:firstLine="255"/>
        <w:spacing w:after="0" w:line="273" w:lineRule="auto"/>
        <w:rPr>
          <w:sz w:val="20"/>
          <w:szCs w:val="20"/>
          <w:color w:val="auto"/>
        </w:rPr>
      </w:pPr>
      <w:r>
        <w:rPr>
          <w:rFonts w:ascii="Arial" w:cs="Arial" w:eastAsia="Arial" w:hAnsi="Arial"/>
          <w:sz w:val="16"/>
          <w:szCs w:val="16"/>
          <w:color w:val="auto"/>
        </w:rPr>
        <w:t>The Corporate Governance and Compliance Committee may employ a variety of methods for identifying and evaluating 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Communications with Directors</w:t>
      </w:r>
    </w:p>
    <w:p>
      <w:pPr>
        <w:spacing w:after="0" w:line="242" w:lineRule="exact"/>
        <w:rPr>
          <w:sz w:val="20"/>
          <w:szCs w:val="20"/>
          <w:color w:val="auto"/>
        </w:rPr>
      </w:pPr>
    </w:p>
    <w:p>
      <w:pPr>
        <w:ind w:right="40" w:firstLine="255"/>
        <w:spacing w:after="0" w:line="272" w:lineRule="auto"/>
        <w:rPr>
          <w:sz w:val="20"/>
          <w:szCs w:val="20"/>
          <w:color w:val="auto"/>
        </w:rPr>
      </w:pPr>
      <w:r>
        <w:rPr>
          <w:rFonts w:ascii="Arial" w:cs="Arial" w:eastAsia="Arial" w:hAnsi="Arial"/>
          <w:sz w:val="16"/>
          <w:szCs w:val="16"/>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 Attention: Corporate Secretary. All such communications will be opened by our Corporate Secretary or Assistant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or Assistant Secretary will make sufficient copies of the contents to send to such director or each director who is a member of the group or committee to which the envelope is addressed.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42" w:lineRule="exact"/>
        <w:rPr>
          <w:sz w:val="20"/>
          <w:szCs w:val="20"/>
          <w:color w:val="auto"/>
        </w:rPr>
      </w:pPr>
    </w:p>
    <w:p>
      <w:pPr>
        <w:ind w:firstLine="255"/>
        <w:spacing w:after="0" w:line="294" w:lineRule="auto"/>
        <w:rPr>
          <w:sz w:val="20"/>
          <w:szCs w:val="20"/>
          <w:color w:val="auto"/>
        </w:rPr>
      </w:pPr>
      <w:r>
        <w:rPr>
          <w:rFonts w:ascii="Arial" w:cs="Arial" w:eastAsia="Arial" w:hAnsi="Arial"/>
          <w:sz w:val="15"/>
          <w:szCs w:val="15"/>
          <w:color w:val="auto"/>
        </w:rPr>
        <w:t xml:space="preserve">The board has a standing Audit Committee established in accordance with Section 3(a)(58)(A) of the Securities Exchange Act of 1934, as amended, a Compensation Committee, and a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5"/>
          <w:szCs w:val="15"/>
          <w:u w:val="single" w:color="auto"/>
          <w:color w:val="auto"/>
        </w:rPr>
        <w:t>www.regeneron.com</w:t>
      </w:r>
      <w:r>
        <w:rPr>
          <w:rFonts w:ascii="Arial" w:cs="Arial" w:eastAsia="Arial" w:hAnsi="Arial"/>
          <w:sz w:val="15"/>
          <w:szCs w:val="15"/>
          <w:color w:val="auto"/>
        </w:rPr>
        <w:t xml:space="preserve"> under the “Corporate Governance” heading on the “Company” page.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3" w:name="page14"/>
    <w:bookmarkEnd w:id="13"/>
    <w:p>
      <w:pPr>
        <w:ind w:right="240" w:firstLine="255"/>
        <w:spacing w:after="0" w:line="302" w:lineRule="auto"/>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2011. In January 2012, Dr. Tessier-Lavigne joined the Compensation Committee and the Technology Committee. There were no changes in committee membership in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Meetings</w:t>
            </w:r>
          </w:p>
        </w:tc>
        <w:tc>
          <w:tcPr>
            <w:tcW w:w="0" w:type="dxa"/>
            <w:vAlign w:val="bottom"/>
          </w:tcPr>
          <w:p>
            <w:pPr>
              <w:spacing w:after="0"/>
              <w:rPr>
                <w:sz w:val="1"/>
                <w:szCs w:val="1"/>
                <w:color w:val="auto"/>
              </w:rPr>
            </w:pPr>
          </w:p>
        </w:tc>
      </w:tr>
      <w:tr>
        <w:trPr>
          <w:trHeight w:val="229"/>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Name of Committee and Members</w:t>
            </w:r>
          </w:p>
        </w:tc>
        <w:tc>
          <w:tcPr>
            <w:tcW w:w="7160" w:type="dxa"/>
            <w:vAlign w:val="bottom"/>
            <w:gridSpan w:val="2"/>
          </w:tcPr>
          <w:p>
            <w:pPr>
              <w:ind w:left="2560"/>
              <w:spacing w:after="0"/>
              <w:rPr>
                <w:sz w:val="20"/>
                <w:szCs w:val="20"/>
                <w:color w:val="auto"/>
              </w:rPr>
            </w:pPr>
            <w:r>
              <w:rPr>
                <w:rFonts w:ascii="Arial" w:cs="Arial" w:eastAsia="Arial" w:hAnsi="Arial"/>
                <w:sz w:val="13"/>
                <w:szCs w:val="13"/>
                <w:b w:val="1"/>
                <w:bCs w:val="1"/>
                <w:color w:val="auto"/>
              </w:rPr>
              <w:t>Key Functions of the Committee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Held in 2011</w:t>
            </w:r>
          </w:p>
        </w:tc>
        <w:tc>
          <w:tcPr>
            <w:tcW w:w="0" w:type="dxa"/>
            <w:vAlign w:val="bottom"/>
          </w:tcPr>
          <w:p>
            <w:pPr>
              <w:spacing w:after="0"/>
              <w:rPr>
                <w:sz w:val="1"/>
                <w:szCs w:val="1"/>
                <w:color w:val="auto"/>
              </w:rPr>
            </w:pPr>
          </w:p>
        </w:tc>
      </w:tr>
      <w:tr>
        <w:trPr>
          <w:trHeight w:val="38"/>
        </w:trPr>
        <w:tc>
          <w:tcPr>
            <w:tcW w:w="31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AUDIT</w:t>
            </w:r>
          </w:p>
        </w:tc>
        <w:tc>
          <w:tcPr>
            <w:tcW w:w="260" w:type="dxa"/>
            <w:vAlign w:val="bottom"/>
            <w:tcBorders>
              <w:bottom w:val="single" w:sz="8" w:color="CCEEFF"/>
            </w:tcBorders>
            <w:shd w:val="clear" w:color="auto" w:fill="CCEEFF"/>
          </w:tcPr>
          <w:p>
            <w:pPr>
              <w:spacing w:after="0"/>
              <w:rPr>
                <w:sz w:val="16"/>
                <w:szCs w:val="16"/>
                <w:color w:val="auto"/>
              </w:rPr>
            </w:pPr>
          </w:p>
        </w:tc>
        <w:tc>
          <w:tcPr>
            <w:tcW w:w="6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3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 xml:space="preserve">George L. Sing, </w:t>
            </w:r>
            <w:r>
              <w:rPr>
                <w:rFonts w:ascii="Arial" w:cs="Arial" w:eastAsia="Arial" w:hAnsi="Arial"/>
                <w:sz w:val="13"/>
                <w:szCs w:val="13"/>
                <w:i w:val="1"/>
                <w:iCs w:val="1"/>
                <w:color w:val="auto"/>
              </w:rPr>
              <w:t>Chairman</w:t>
            </w:r>
          </w:p>
        </w:tc>
        <w:tc>
          <w:tcPr>
            <w:tcW w:w="7160" w:type="dxa"/>
            <w:vAlign w:val="bottom"/>
            <w:gridSpan w:val="2"/>
            <w:shd w:val="clear" w:color="auto" w:fill="CCEEFF"/>
          </w:tcPr>
          <w:p>
            <w:pPr>
              <w:ind w:left="720"/>
              <w:spacing w:after="0" w:line="131" w:lineRule="exact"/>
              <w:rPr>
                <w:sz w:val="20"/>
                <w:szCs w:val="20"/>
                <w:color w:val="auto"/>
              </w:rPr>
            </w:pPr>
            <w:r>
              <w:rPr>
                <w:rFonts w:ascii="Arial" w:cs="Arial" w:eastAsia="Arial" w:hAnsi="Arial"/>
                <w:sz w:val="13"/>
                <w:szCs w:val="13"/>
                <w:color w:val="auto"/>
                <w:w w:val="96"/>
              </w:rPr>
              <w:t>Select the independent registered public accounting firm, review and approve its engagement letter, and monitor its</w:t>
            </w:r>
          </w:p>
        </w:tc>
        <w:tc>
          <w:tcPr>
            <w:tcW w:w="880" w:type="dxa"/>
            <w:vAlign w:val="bottom"/>
            <w:shd w:val="clear" w:color="auto" w:fill="CCEEFF"/>
          </w:tcPr>
          <w:p>
            <w:pPr>
              <w:jc w:val="right"/>
              <w:ind w:right="336"/>
              <w:spacing w:after="0" w:line="131"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0"/>
        </w:trPr>
        <w:tc>
          <w:tcPr>
            <w:tcW w:w="33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Charles A. Baker</w:t>
            </w:r>
          </w:p>
        </w:tc>
        <w:tc>
          <w:tcPr>
            <w:tcW w:w="7160" w:type="dxa"/>
            <w:vAlign w:val="bottom"/>
            <w:gridSpan w:val="2"/>
            <w:shd w:val="clear" w:color="auto" w:fill="CCEEFF"/>
          </w:tcPr>
          <w:p>
            <w:pPr>
              <w:ind w:left="720"/>
              <w:spacing w:after="0" w:line="141" w:lineRule="exact"/>
              <w:rPr>
                <w:sz w:val="20"/>
                <w:szCs w:val="20"/>
                <w:color w:val="auto"/>
              </w:rPr>
            </w:pPr>
            <w:r>
              <w:rPr>
                <w:rFonts w:ascii="Arial" w:cs="Arial" w:eastAsia="Arial" w:hAnsi="Arial"/>
                <w:sz w:val="13"/>
                <w:szCs w:val="13"/>
                <w:color w:val="auto"/>
              </w:rPr>
              <w:t>independence and performance.</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Arthur F. Ryan</w:t>
            </w:r>
          </w:p>
        </w:tc>
        <w:tc>
          <w:tcPr>
            <w:tcW w:w="7160" w:type="dxa"/>
            <w:vAlign w:val="bottom"/>
            <w:gridSpan w:val="2"/>
            <w:vMerge w:val="restart"/>
            <w:shd w:val="clear" w:color="auto" w:fill="CCEEFF"/>
          </w:tcPr>
          <w:p>
            <w:pPr>
              <w:ind w:left="720"/>
              <w:spacing w:after="0"/>
              <w:rPr>
                <w:sz w:val="20"/>
                <w:szCs w:val="20"/>
                <w:color w:val="auto"/>
              </w:rPr>
            </w:pPr>
            <w:r>
              <w:rPr>
                <w:rFonts w:ascii="Arial" w:cs="Arial" w:eastAsia="Arial" w:hAnsi="Arial"/>
                <w:sz w:val="13"/>
                <w:szCs w:val="13"/>
                <w:color w:val="auto"/>
              </w:rPr>
              <w:t>Review the overall scope and plans for the annual audit by the independent registered public accounting firm.</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160" w:type="dxa"/>
            <w:vAlign w:val="bottom"/>
            <w:gridSpan w:val="2"/>
            <w:vMerge w:val="continue"/>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3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w w:val="98"/>
              </w:rPr>
              <w:t>Approve performance of non-audit services by the independent registered public accounting firm and evaluate the</w:t>
            </w: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performance and independence of the independent registered public accounting firm.</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Review and approve the Company’s periodic financial statements and the results of the year-end audit.</w:t>
            </w: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w w:val="97"/>
              </w:rPr>
              <w:t>Review and discuss the adequacy and effectiveness of the Company’s accounting and internal control policies and</w:t>
            </w: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procedures.</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w w:val="97"/>
              </w:rPr>
              <w:t>Evaluate the internal audit process for establishing the annual audit plan; review and approve the appointment and</w:t>
            </w: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160" w:type="dxa"/>
            <w:vAlign w:val="bottom"/>
            <w:gridSpan w:val="2"/>
            <w:shd w:val="clear" w:color="auto" w:fill="CCEEFF"/>
          </w:tcPr>
          <w:p>
            <w:pPr>
              <w:ind w:left="720"/>
              <w:spacing w:after="0" w:line="141" w:lineRule="exact"/>
              <w:rPr>
                <w:sz w:val="20"/>
                <w:szCs w:val="20"/>
                <w:color w:val="auto"/>
              </w:rPr>
            </w:pPr>
            <w:r>
              <w:rPr>
                <w:rFonts w:ascii="Arial" w:cs="Arial" w:eastAsia="Arial" w:hAnsi="Arial"/>
                <w:sz w:val="13"/>
                <w:szCs w:val="13"/>
                <w:color w:val="auto"/>
                <w:w w:val="97"/>
              </w:rPr>
              <w:t>replacement of the Company’s Chief Audit Executive, if applicable, and any outside entities providing internal audit</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services and evaluate their performance on an annual basis.</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w w:val="97"/>
              </w:rPr>
              <w:t>Review the independent registered public accounting firm’s recommendations concerning the Company’s financial</w:t>
            </w: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practices and procedures.</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Establish procedures for the receipt, retention, and treatment of complaints received by the Company regarding</w:t>
            </w: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160" w:type="dxa"/>
            <w:vAlign w:val="bottom"/>
            <w:gridSpan w:val="2"/>
            <w:shd w:val="clear" w:color="auto" w:fill="CCEEFF"/>
          </w:tcPr>
          <w:p>
            <w:pPr>
              <w:ind w:left="720"/>
              <w:spacing w:after="0" w:line="141" w:lineRule="exact"/>
              <w:rPr>
                <w:sz w:val="20"/>
                <w:szCs w:val="20"/>
                <w:color w:val="auto"/>
              </w:rPr>
            </w:pPr>
            <w:r>
              <w:rPr>
                <w:rFonts w:ascii="Arial" w:cs="Arial" w:eastAsia="Arial" w:hAnsi="Arial"/>
                <w:sz w:val="13"/>
                <w:szCs w:val="13"/>
                <w:color w:val="auto"/>
              </w:rPr>
              <w:t>accounting, internal accounting controls, or auditing matters and for the confidential, anonymous submission by</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employees of concerns regarding questionable accounting or auditing matters.</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Review and approve any related person transaction.</w:t>
            </w: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w w:val="95"/>
              </w:rPr>
              <w:t>Prepare an annual report of the Audit Committee for inclusion in the proxy statement and annually evaluate the Audit</w:t>
            </w: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Committee Charter.</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Oversee the Company’s risk management program.</w:t>
            </w: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w w:val="91"/>
              </w:rPr>
              <w:t>Discuss with management the Company’s major financial risk exposures and the steps management has taken to monitor</w:t>
            </w: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and control such exposures.</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COMPENSATION</w:t>
            </w:r>
          </w:p>
        </w:tc>
        <w:tc>
          <w:tcPr>
            <w:tcW w:w="6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3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 xml:space="preserve">Arthur F. Ryan, </w:t>
            </w:r>
            <w:r>
              <w:rPr>
                <w:rFonts w:ascii="Arial" w:cs="Arial" w:eastAsia="Arial" w:hAnsi="Arial"/>
                <w:sz w:val="13"/>
                <w:szCs w:val="13"/>
                <w:i w:val="1"/>
                <w:iCs w:val="1"/>
                <w:color w:val="auto"/>
              </w:rPr>
              <w:t>Chairman</w:t>
            </w:r>
          </w:p>
        </w:tc>
        <w:tc>
          <w:tcPr>
            <w:tcW w:w="7160" w:type="dxa"/>
            <w:vAlign w:val="bottom"/>
            <w:gridSpan w:val="2"/>
            <w:shd w:val="clear" w:color="auto" w:fill="CCEEFF"/>
          </w:tcPr>
          <w:p>
            <w:pPr>
              <w:ind w:left="720"/>
              <w:spacing w:after="0" w:line="131" w:lineRule="exact"/>
              <w:rPr>
                <w:sz w:val="20"/>
                <w:szCs w:val="20"/>
                <w:color w:val="auto"/>
              </w:rPr>
            </w:pPr>
            <w:r>
              <w:rPr>
                <w:rFonts w:ascii="Arial" w:cs="Arial" w:eastAsia="Arial" w:hAnsi="Arial"/>
                <w:sz w:val="13"/>
                <w:szCs w:val="13"/>
                <w:color w:val="auto"/>
                <w:w w:val="96"/>
              </w:rPr>
              <w:t>Evaluate the performance of the Chief Executive Officer and other executive officers of the Company and, subject to</w:t>
            </w:r>
          </w:p>
        </w:tc>
        <w:tc>
          <w:tcPr>
            <w:tcW w:w="880" w:type="dxa"/>
            <w:vAlign w:val="bottom"/>
            <w:shd w:val="clear" w:color="auto" w:fill="CCEEFF"/>
          </w:tcPr>
          <w:p>
            <w:pPr>
              <w:jc w:val="right"/>
              <w:ind w:right="316"/>
              <w:spacing w:after="0" w:line="131"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0"/>
        </w:trPr>
        <w:tc>
          <w:tcPr>
            <w:tcW w:w="33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Charles A. Baker</w:t>
            </w:r>
          </w:p>
        </w:tc>
        <w:tc>
          <w:tcPr>
            <w:tcW w:w="7160" w:type="dxa"/>
            <w:vAlign w:val="bottom"/>
            <w:gridSpan w:val="2"/>
            <w:shd w:val="clear" w:color="auto" w:fill="CCEEFF"/>
          </w:tcPr>
          <w:p>
            <w:pPr>
              <w:ind w:left="720"/>
              <w:spacing w:after="0" w:line="141" w:lineRule="exact"/>
              <w:rPr>
                <w:sz w:val="20"/>
                <w:szCs w:val="20"/>
                <w:color w:val="auto"/>
              </w:rPr>
            </w:pPr>
            <w:r>
              <w:rPr>
                <w:rFonts w:ascii="Arial" w:cs="Arial" w:eastAsia="Arial" w:hAnsi="Arial"/>
                <w:sz w:val="13"/>
                <w:szCs w:val="13"/>
                <w:color w:val="auto"/>
                <w:w w:val="95"/>
              </w:rPr>
              <w:t>obtaining prior approval of the Chief Executive Officer’s compensation by the non- employee members of the board of</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Joseph L. Goldstein, M.D.</w:t>
            </w:r>
          </w:p>
        </w:tc>
        <w:tc>
          <w:tcPr>
            <w:tcW w:w="7160" w:type="dxa"/>
            <w:vAlign w:val="bottom"/>
            <w:gridSpan w:val="2"/>
            <w:shd w:val="clear" w:color="auto" w:fill="CCEEFF"/>
          </w:tcPr>
          <w:p>
            <w:pPr>
              <w:ind w:left="720"/>
              <w:spacing w:after="0" w:line="141" w:lineRule="exact"/>
              <w:rPr>
                <w:sz w:val="20"/>
                <w:szCs w:val="20"/>
                <w:color w:val="auto"/>
              </w:rPr>
            </w:pPr>
            <w:r>
              <w:rPr>
                <w:rFonts w:ascii="Arial" w:cs="Arial" w:eastAsia="Arial" w:hAnsi="Arial"/>
                <w:sz w:val="13"/>
                <w:szCs w:val="13"/>
                <w:color w:val="auto"/>
              </w:rPr>
              <w:t>directors, approve compensation for such employees.</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Christine A. Poon</w:t>
            </w:r>
          </w:p>
        </w:tc>
        <w:tc>
          <w:tcPr>
            <w:tcW w:w="6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George L. Sing</w:t>
            </w:r>
          </w:p>
        </w:tc>
        <w:tc>
          <w:tcPr>
            <w:tcW w:w="7160" w:type="dxa"/>
            <w:vAlign w:val="bottom"/>
            <w:gridSpan w:val="2"/>
            <w:shd w:val="clear" w:color="auto" w:fill="CCEEFF"/>
          </w:tcPr>
          <w:p>
            <w:pPr>
              <w:ind w:left="720"/>
              <w:spacing w:after="0" w:line="141" w:lineRule="exact"/>
              <w:rPr>
                <w:sz w:val="20"/>
                <w:szCs w:val="20"/>
                <w:color w:val="auto"/>
              </w:rPr>
            </w:pPr>
            <w:r>
              <w:rPr>
                <w:rFonts w:ascii="Arial" w:cs="Arial" w:eastAsia="Arial" w:hAnsi="Arial"/>
                <w:sz w:val="13"/>
                <w:szCs w:val="13"/>
                <w:color w:val="auto"/>
              </w:rPr>
              <w:t>Approve the total compensation budget for all Company employees.</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Marc Tessier-Lavigne, Ph.D.</w:t>
            </w:r>
          </w:p>
        </w:tc>
        <w:tc>
          <w:tcPr>
            <w:tcW w:w="7160" w:type="dxa"/>
            <w:vAlign w:val="bottom"/>
            <w:gridSpan w:val="2"/>
            <w:vMerge w:val="restart"/>
            <w:shd w:val="clear" w:color="auto" w:fill="CCEEFF"/>
          </w:tcPr>
          <w:p>
            <w:pPr>
              <w:ind w:left="720"/>
              <w:spacing w:after="0"/>
              <w:rPr>
                <w:sz w:val="20"/>
                <w:szCs w:val="20"/>
                <w:color w:val="auto"/>
              </w:rPr>
            </w:pPr>
            <w:r>
              <w:rPr>
                <w:rFonts w:ascii="Arial" w:cs="Arial" w:eastAsia="Arial" w:hAnsi="Arial"/>
                <w:sz w:val="13"/>
                <w:szCs w:val="13"/>
                <w:color w:val="auto"/>
              </w:rPr>
              <w:t>Oversee the Company’s compensation and benefit philosophy and programs generally.</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160" w:type="dxa"/>
            <w:vAlign w:val="bottom"/>
            <w:gridSpan w:val="2"/>
            <w:vMerge w:val="continue"/>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3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Prepare an annual report of the Compensation Committee for inclusion in the proxy statement.</w:t>
            </w: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1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w w:val="97"/>
              </w:rPr>
              <w:t>Review and approve the Compensation Discussion and Analysis to be included in the Company’s proxy statement.</w:t>
            </w: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-4327525</wp:posOffset>
            </wp:positionV>
            <wp:extent cx="49530"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-4060190</wp:posOffset>
            </wp:positionV>
            <wp:extent cx="49530"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-3881755</wp:posOffset>
            </wp:positionV>
            <wp:extent cx="49530" cy="49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-3615055</wp:posOffset>
            </wp:positionV>
            <wp:extent cx="49530"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-3436620</wp:posOffset>
            </wp:positionV>
            <wp:extent cx="49530"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-3169285</wp:posOffset>
            </wp:positionV>
            <wp:extent cx="49530"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-2813050</wp:posOffset>
            </wp:positionV>
            <wp:extent cx="49530"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-2546350</wp:posOffset>
            </wp:positionV>
            <wp:extent cx="49530"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-2190115</wp:posOffset>
            </wp:positionV>
            <wp:extent cx="49530"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-2011680</wp:posOffset>
            </wp:positionV>
            <wp:extent cx="49530"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-1744345</wp:posOffset>
            </wp:positionV>
            <wp:extent cx="49530"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-1566545</wp:posOffset>
            </wp:positionV>
            <wp:extent cx="49530"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-951230</wp:posOffset>
            </wp:positionV>
            <wp:extent cx="49530"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-594995</wp:posOffset>
            </wp:positionV>
            <wp:extent cx="49530"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-417195</wp:posOffset>
            </wp:positionV>
            <wp:extent cx="49530"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-238760</wp:posOffset>
            </wp:positionV>
            <wp:extent cx="49530"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-60960</wp:posOffset>
            </wp:positionV>
            <wp:extent cx="49530"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530" cy="495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6"/>
        </w:trPr>
        <w:tc>
          <w:tcPr>
            <w:tcW w:w="1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r>
      <w:tr>
        <w:trPr>
          <w:trHeight w:val="229"/>
        </w:trPr>
        <w:tc>
          <w:tcPr>
            <w:tcW w:w="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Meetings</w:t>
            </w:r>
          </w:p>
        </w:tc>
      </w:tr>
      <w:tr>
        <w:trPr>
          <w:trHeight w:val="229"/>
        </w:trPr>
        <w:tc>
          <w:tcPr>
            <w:tcW w:w="3460" w:type="dxa"/>
            <w:vAlign w:val="bottom"/>
            <w:gridSpan w:val="3"/>
          </w:tcPr>
          <w:p>
            <w:pPr>
              <w:spacing w:after="0"/>
              <w:rPr>
                <w:sz w:val="20"/>
                <w:szCs w:val="20"/>
                <w:color w:val="auto"/>
              </w:rPr>
            </w:pPr>
            <w:r>
              <w:rPr>
                <w:rFonts w:ascii="Arial" w:cs="Arial" w:eastAsia="Arial" w:hAnsi="Arial"/>
                <w:sz w:val="13"/>
                <w:szCs w:val="13"/>
                <w:b w:val="1"/>
                <w:bCs w:val="1"/>
                <w:color w:val="auto"/>
              </w:rPr>
              <w:t>Name of Committee and Members</w:t>
            </w:r>
          </w:p>
        </w:tc>
        <w:tc>
          <w:tcPr>
            <w:tcW w:w="7080" w:type="dxa"/>
            <w:vAlign w:val="bottom"/>
            <w:gridSpan w:val="2"/>
          </w:tcPr>
          <w:p>
            <w:pPr>
              <w:ind w:left="2520"/>
              <w:spacing w:after="0"/>
              <w:rPr>
                <w:sz w:val="20"/>
                <w:szCs w:val="20"/>
                <w:color w:val="auto"/>
              </w:rPr>
            </w:pPr>
            <w:r>
              <w:rPr>
                <w:rFonts w:ascii="Arial" w:cs="Arial" w:eastAsia="Arial" w:hAnsi="Arial"/>
                <w:sz w:val="13"/>
                <w:szCs w:val="13"/>
                <w:b w:val="1"/>
                <w:bCs w:val="1"/>
                <w:color w:val="auto"/>
              </w:rPr>
              <w:t>Key Functions of the Committee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Held in 2011</w:t>
            </w:r>
          </w:p>
        </w:tc>
      </w:tr>
      <w:tr>
        <w:trPr>
          <w:trHeight w:val="38"/>
        </w:trPr>
        <w:tc>
          <w:tcPr>
            <w:tcW w:w="3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8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20"/>
        </w:trPr>
        <w:tc>
          <w:tcPr>
            <w:tcW w:w="3200" w:type="dxa"/>
            <w:vAlign w:val="bottom"/>
            <w:gridSpan w:val="2"/>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CORPORATE GOVERNANCE</w:t>
            </w:r>
          </w:p>
        </w:tc>
        <w:tc>
          <w:tcPr>
            <w:tcW w:w="260" w:type="dxa"/>
            <w:vAlign w:val="bottom"/>
            <w:shd w:val="clear" w:color="auto" w:fill="CCEEFF"/>
          </w:tcPr>
          <w:p>
            <w:pPr>
              <w:spacing w:after="0"/>
              <w:rPr>
                <w:sz w:val="10"/>
                <w:szCs w:val="10"/>
                <w:color w:val="auto"/>
              </w:rPr>
            </w:pPr>
          </w:p>
        </w:tc>
        <w:tc>
          <w:tcPr>
            <w:tcW w:w="6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53"/>
        </w:trPr>
        <w:tc>
          <w:tcPr>
            <w:tcW w:w="34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AND COMPLIANCE</w:t>
            </w:r>
          </w:p>
        </w:tc>
        <w:tc>
          <w:tcPr>
            <w:tcW w:w="6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29"/>
        </w:trPr>
        <w:tc>
          <w:tcPr>
            <w:tcW w:w="320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31"/>
        </w:trPr>
        <w:tc>
          <w:tcPr>
            <w:tcW w:w="3460" w:type="dxa"/>
            <w:vAlign w:val="bottom"/>
            <w:gridSpan w:val="3"/>
            <w:shd w:val="clear" w:color="auto" w:fill="CCEEFF"/>
          </w:tcPr>
          <w:p>
            <w:pPr>
              <w:spacing w:after="0" w:line="131" w:lineRule="exact"/>
              <w:rPr>
                <w:sz w:val="20"/>
                <w:szCs w:val="20"/>
                <w:color w:val="auto"/>
              </w:rPr>
            </w:pPr>
            <w:r>
              <w:rPr>
                <w:rFonts w:ascii="Arial" w:cs="Arial" w:eastAsia="Arial" w:hAnsi="Arial"/>
                <w:sz w:val="13"/>
                <w:szCs w:val="13"/>
                <w:color w:val="auto"/>
              </w:rPr>
              <w:t xml:space="preserve">Alfred G. Gilman, M.D., Ph.D., </w:t>
            </w:r>
            <w:r>
              <w:rPr>
                <w:rFonts w:ascii="Arial" w:cs="Arial" w:eastAsia="Arial" w:hAnsi="Arial"/>
                <w:sz w:val="13"/>
                <w:szCs w:val="13"/>
                <w:i w:val="1"/>
                <w:iCs w:val="1"/>
                <w:color w:val="auto"/>
              </w:rPr>
              <w:t>Chairman</w:t>
            </w:r>
          </w:p>
        </w:tc>
        <w:tc>
          <w:tcPr>
            <w:tcW w:w="7080" w:type="dxa"/>
            <w:vAlign w:val="bottom"/>
            <w:gridSpan w:val="2"/>
            <w:shd w:val="clear" w:color="auto" w:fill="CCEEFF"/>
          </w:tcPr>
          <w:p>
            <w:pPr>
              <w:ind w:left="720"/>
              <w:spacing w:after="0" w:line="131" w:lineRule="exact"/>
              <w:rPr>
                <w:sz w:val="20"/>
                <w:szCs w:val="20"/>
                <w:color w:val="auto"/>
              </w:rPr>
            </w:pPr>
            <w:r>
              <w:rPr>
                <w:rFonts w:ascii="Arial" w:cs="Arial" w:eastAsia="Arial" w:hAnsi="Arial"/>
                <w:sz w:val="13"/>
                <w:szCs w:val="13"/>
                <w:color w:val="auto"/>
              </w:rPr>
              <w:t>Identify qualified individuals to become members of the board and recommend such candidates to the board.</w:t>
            </w:r>
          </w:p>
        </w:tc>
        <w:tc>
          <w:tcPr>
            <w:tcW w:w="88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rPr>
              <w:t>5</w:t>
            </w:r>
          </w:p>
        </w:tc>
      </w:tr>
      <w:tr>
        <w:trPr>
          <w:trHeight w:val="140"/>
        </w:trPr>
        <w:tc>
          <w:tcPr>
            <w:tcW w:w="34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Michael S. Brown, M.D.</w:t>
            </w: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0"/>
        </w:trPr>
        <w:tc>
          <w:tcPr>
            <w:tcW w:w="34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Christine A. Poon</w:t>
            </w:r>
          </w:p>
        </w:tc>
        <w:tc>
          <w:tcPr>
            <w:tcW w:w="7080" w:type="dxa"/>
            <w:vAlign w:val="bottom"/>
            <w:gridSpan w:val="2"/>
            <w:shd w:val="clear" w:color="auto" w:fill="CCEEFF"/>
          </w:tcPr>
          <w:p>
            <w:pPr>
              <w:ind w:left="720"/>
              <w:spacing w:after="0" w:line="141" w:lineRule="exact"/>
              <w:rPr>
                <w:sz w:val="20"/>
                <w:szCs w:val="20"/>
                <w:color w:val="auto"/>
              </w:rPr>
            </w:pPr>
            <w:r>
              <w:rPr>
                <w:rFonts w:ascii="Arial" w:cs="Arial" w:eastAsia="Arial" w:hAnsi="Arial"/>
                <w:sz w:val="13"/>
                <w:szCs w:val="13"/>
                <w:color w:val="auto"/>
                <w:w w:val="98"/>
              </w:rPr>
              <w:t>Assess the functioning of the board and its committees and make recommendations to the board concerning the</w:t>
            </w:r>
          </w:p>
        </w:tc>
        <w:tc>
          <w:tcPr>
            <w:tcW w:w="880" w:type="dxa"/>
            <w:vAlign w:val="bottom"/>
            <w:shd w:val="clear" w:color="auto" w:fill="CCEEFF"/>
          </w:tcPr>
          <w:p>
            <w:pPr>
              <w:spacing w:after="0"/>
              <w:rPr>
                <w:sz w:val="12"/>
                <w:szCs w:val="12"/>
                <w:color w:val="auto"/>
              </w:rPr>
            </w:pPr>
          </w:p>
        </w:tc>
      </w:tr>
      <w:tr>
        <w:trPr>
          <w:trHeight w:val="162"/>
        </w:trPr>
        <w:tc>
          <w:tcPr>
            <w:tcW w:w="3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Arthur F. Ryan</w:t>
            </w:r>
          </w:p>
        </w:tc>
        <w:tc>
          <w:tcPr>
            <w:tcW w:w="708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appropriate size, function, and needs of the board.</w:t>
            </w:r>
          </w:p>
        </w:tc>
        <w:tc>
          <w:tcPr>
            <w:tcW w:w="880" w:type="dxa"/>
            <w:vAlign w:val="bottom"/>
            <w:shd w:val="clear" w:color="auto" w:fill="CCEEFF"/>
          </w:tcPr>
          <w:p>
            <w:pPr>
              <w:spacing w:after="0"/>
              <w:rPr>
                <w:sz w:val="14"/>
                <w:szCs w:val="14"/>
                <w:color w:val="auto"/>
              </w:rPr>
            </w:pPr>
          </w:p>
        </w:tc>
      </w:tr>
      <w:tr>
        <w:trPr>
          <w:trHeight w:val="280"/>
        </w:trPr>
        <w:tc>
          <w:tcPr>
            <w:tcW w:w="18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8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Make recommendations to the board regarding non-employee director compensation.</w:t>
            </w:r>
          </w:p>
        </w:tc>
        <w:tc>
          <w:tcPr>
            <w:tcW w:w="880" w:type="dxa"/>
            <w:vAlign w:val="bottom"/>
            <w:shd w:val="clear" w:color="auto" w:fill="CCEEFF"/>
          </w:tcPr>
          <w:p>
            <w:pPr>
              <w:spacing w:after="0"/>
              <w:rPr>
                <w:sz w:val="24"/>
                <w:szCs w:val="24"/>
                <w:color w:val="auto"/>
              </w:rPr>
            </w:pPr>
          </w:p>
        </w:tc>
      </w:tr>
      <w:tr>
        <w:trPr>
          <w:trHeight w:val="281"/>
        </w:trPr>
        <w:tc>
          <w:tcPr>
            <w:tcW w:w="18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8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Make recommendations to the board regarding corporate governance matters and practices.</w:t>
            </w:r>
          </w:p>
        </w:tc>
        <w:tc>
          <w:tcPr>
            <w:tcW w:w="880" w:type="dxa"/>
            <w:vAlign w:val="bottom"/>
            <w:shd w:val="clear" w:color="auto" w:fill="CCEEFF"/>
          </w:tcPr>
          <w:p>
            <w:pPr>
              <w:spacing w:after="0"/>
              <w:rPr>
                <w:sz w:val="24"/>
                <w:szCs w:val="24"/>
                <w:color w:val="auto"/>
              </w:rPr>
            </w:pPr>
          </w:p>
        </w:tc>
      </w:tr>
      <w:tr>
        <w:trPr>
          <w:trHeight w:val="268"/>
        </w:trPr>
        <w:tc>
          <w:tcPr>
            <w:tcW w:w="18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8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Oversee all aspects of the Company’s comprehensive compliance program other than financial compliance.</w:t>
            </w:r>
          </w:p>
        </w:tc>
        <w:tc>
          <w:tcPr>
            <w:tcW w:w="880" w:type="dxa"/>
            <w:vAlign w:val="bottom"/>
            <w:shd w:val="clear" w:color="auto" w:fill="CCEEFF"/>
          </w:tcPr>
          <w:p>
            <w:pPr>
              <w:spacing w:after="0"/>
              <w:rPr>
                <w:sz w:val="23"/>
                <w:szCs w:val="23"/>
                <w:color w:val="auto"/>
              </w:rPr>
            </w:pPr>
          </w:p>
        </w:tc>
      </w:tr>
      <w:tr>
        <w:trPr>
          <w:trHeight w:val="229"/>
        </w:trPr>
        <w:tc>
          <w:tcPr>
            <w:tcW w:w="320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66"/>
        </w:trPr>
        <w:tc>
          <w:tcPr>
            <w:tcW w:w="34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TECHNOLOGY</w:t>
            </w:r>
          </w:p>
        </w:tc>
        <w:tc>
          <w:tcPr>
            <w:tcW w:w="6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64"/>
        </w:trPr>
        <w:tc>
          <w:tcPr>
            <w:tcW w:w="3200" w:type="dxa"/>
            <w:vAlign w:val="bottom"/>
            <w:gridSpan w:val="2"/>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8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29"/>
        </w:trPr>
        <w:tc>
          <w:tcPr>
            <w:tcW w:w="320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31"/>
        </w:trPr>
        <w:tc>
          <w:tcPr>
            <w:tcW w:w="3460" w:type="dxa"/>
            <w:vAlign w:val="bottom"/>
            <w:gridSpan w:val="3"/>
            <w:shd w:val="clear" w:color="auto" w:fill="CCEEFF"/>
          </w:tcPr>
          <w:p>
            <w:pPr>
              <w:spacing w:after="0" w:line="131" w:lineRule="exact"/>
              <w:rPr>
                <w:sz w:val="20"/>
                <w:szCs w:val="20"/>
                <w:color w:val="auto"/>
              </w:rPr>
            </w:pPr>
            <w:r>
              <w:rPr>
                <w:rFonts w:ascii="Arial" w:cs="Arial" w:eastAsia="Arial" w:hAnsi="Arial"/>
                <w:sz w:val="13"/>
                <w:szCs w:val="13"/>
                <w:color w:val="auto"/>
              </w:rPr>
              <w:t xml:space="preserve">Michael S. Brown, M.D., </w:t>
            </w:r>
            <w:r>
              <w:rPr>
                <w:rFonts w:ascii="Arial" w:cs="Arial" w:eastAsia="Arial" w:hAnsi="Arial"/>
                <w:sz w:val="13"/>
                <w:szCs w:val="13"/>
                <w:i w:val="1"/>
                <w:iCs w:val="1"/>
                <w:color w:val="auto"/>
              </w:rPr>
              <w:t>Chairman</w:t>
            </w:r>
          </w:p>
        </w:tc>
        <w:tc>
          <w:tcPr>
            <w:tcW w:w="7080" w:type="dxa"/>
            <w:vAlign w:val="bottom"/>
            <w:gridSpan w:val="2"/>
            <w:shd w:val="clear" w:color="auto" w:fill="CCEEFF"/>
          </w:tcPr>
          <w:p>
            <w:pPr>
              <w:ind w:left="720"/>
              <w:spacing w:after="0" w:line="131" w:lineRule="exact"/>
              <w:rPr>
                <w:sz w:val="20"/>
                <w:szCs w:val="20"/>
                <w:color w:val="auto"/>
              </w:rPr>
            </w:pPr>
            <w:r>
              <w:rPr>
                <w:rFonts w:ascii="Arial" w:cs="Arial" w:eastAsia="Arial" w:hAnsi="Arial"/>
                <w:sz w:val="13"/>
                <w:szCs w:val="13"/>
                <w:color w:val="auto"/>
              </w:rPr>
              <w:t>Review and evaluate the Company’s research and clinical development programs, plans, and policies.</w:t>
            </w:r>
          </w:p>
        </w:tc>
        <w:tc>
          <w:tcPr>
            <w:tcW w:w="88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rPr>
              <w:t>1</w:t>
            </w:r>
          </w:p>
        </w:tc>
      </w:tr>
      <w:tr>
        <w:trPr>
          <w:trHeight w:val="140"/>
        </w:trPr>
        <w:tc>
          <w:tcPr>
            <w:tcW w:w="34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Alfred G. Gilman, M.D., Ph.D.</w:t>
            </w: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0"/>
        </w:trPr>
        <w:tc>
          <w:tcPr>
            <w:tcW w:w="34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Joseph L. Goldstein, M.D.</w:t>
            </w: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0"/>
        </w:trPr>
        <w:tc>
          <w:tcPr>
            <w:tcW w:w="34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Eric M. Shooter, Ph.D.</w:t>
            </w: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0"/>
        </w:trPr>
        <w:tc>
          <w:tcPr>
            <w:tcW w:w="34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Marc Tessier-Lavigne, Ph.D.</w:t>
            </w: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0"/>
        </w:trPr>
        <w:tc>
          <w:tcPr>
            <w:tcW w:w="34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P. Roy Vagelos, M.D.</w:t>
            </w: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0"/>
        </w:trPr>
        <w:tc>
          <w:tcPr>
            <w:tcW w:w="34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Leonard S. Schleifer, M.D., Ph.D.*</w:t>
            </w: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3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George D. Yancopoulos, M.D., Ph.D.*</w:t>
            </w: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60"/>
        </w:trPr>
        <w:tc>
          <w:tcPr>
            <w:tcW w:w="3200" w:type="dxa"/>
            <w:vAlign w:val="bottom"/>
            <w:gridSpan w:val="2"/>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26"/>
        </w:trPr>
        <w:tc>
          <w:tcPr>
            <w:tcW w:w="180" w:type="dxa"/>
            <w:vAlign w:val="bottom"/>
          </w:tcPr>
          <w:p>
            <w:pPr>
              <w:spacing w:after="0"/>
              <w:rPr>
                <w:sz w:val="20"/>
                <w:szCs w:val="20"/>
                <w:color w:val="auto"/>
              </w:rPr>
            </w:pPr>
            <w:r>
              <w:rPr>
                <w:rFonts w:ascii="Arial" w:cs="Arial" w:eastAsia="Arial" w:hAnsi="Arial"/>
                <w:sz w:val="13"/>
                <w:szCs w:val="13"/>
                <w:i w:val="1"/>
                <w:iCs w:val="1"/>
                <w:color w:val="auto"/>
              </w:rPr>
              <w:t>*</w:t>
            </w:r>
          </w:p>
        </w:tc>
        <w:tc>
          <w:tcPr>
            <w:tcW w:w="3280" w:type="dxa"/>
            <w:vAlign w:val="bottom"/>
            <w:gridSpan w:val="2"/>
          </w:tcPr>
          <w:p>
            <w:pPr>
              <w:ind w:left="120"/>
              <w:spacing w:after="0"/>
              <w:rPr>
                <w:sz w:val="20"/>
                <w:szCs w:val="20"/>
                <w:color w:val="auto"/>
              </w:rPr>
            </w:pPr>
            <w:r>
              <w:rPr>
                <w:rFonts w:ascii="Arial" w:cs="Arial" w:eastAsia="Arial" w:hAnsi="Arial"/>
                <w:sz w:val="13"/>
                <w:szCs w:val="13"/>
                <w:i w:val="1"/>
                <w:iCs w:val="1"/>
                <w:color w:val="auto"/>
              </w:rPr>
              <w:t>Ex Officio Member</w:t>
            </w:r>
          </w:p>
        </w:tc>
        <w:tc>
          <w:tcPr>
            <w:tcW w:w="6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-2384425</wp:posOffset>
            </wp:positionV>
            <wp:extent cx="49530"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-2205990</wp:posOffset>
            </wp:positionV>
            <wp:extent cx="49530"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-1938655</wp:posOffset>
            </wp:positionV>
            <wp:extent cx="49530"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-1760855</wp:posOffset>
            </wp:positionV>
            <wp:extent cx="49530"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-1582420</wp:posOffset>
            </wp:positionV>
            <wp:extent cx="49530"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-1056640</wp:posOffset>
            </wp:positionV>
            <wp:extent cx="49530"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530" cy="4953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42" w:lineRule="exact"/>
        <w:rPr>
          <w:sz w:val="20"/>
          <w:szCs w:val="20"/>
          <w:color w:val="auto"/>
        </w:rPr>
      </w:pPr>
    </w:p>
    <w:p>
      <w:pPr>
        <w:ind w:right="120" w:firstLine="255"/>
        <w:spacing w:after="0" w:line="255" w:lineRule="auto"/>
        <w:rPr>
          <w:sz w:val="20"/>
          <w:szCs w:val="20"/>
          <w:color w:val="auto"/>
        </w:rPr>
      </w:pPr>
      <w:r>
        <w:rPr>
          <w:rFonts w:ascii="Arial" w:cs="Arial" w:eastAsia="Arial" w:hAnsi="Arial"/>
          <w:sz w:val="17"/>
          <w:szCs w:val="17"/>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under the “Corporate Governance” heading on the “Company”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42" w:lineRule="exact"/>
        <w:rPr>
          <w:sz w:val="20"/>
          <w:szCs w:val="20"/>
          <w:color w:val="auto"/>
        </w:rPr>
      </w:pPr>
    </w:p>
    <w:p>
      <w:pPr>
        <w:ind w:right="60" w:firstLine="255"/>
        <w:spacing w:after="0" w:line="311" w:lineRule="auto"/>
        <w:rPr>
          <w:sz w:val="20"/>
          <w:szCs w:val="20"/>
          <w:color w:val="auto"/>
        </w:rPr>
      </w:pPr>
      <w:r>
        <w:rPr>
          <w:rFonts w:ascii="Arial" w:cs="Arial" w:eastAsia="Arial" w:hAnsi="Arial"/>
          <w:sz w:val="15"/>
          <w:szCs w:val="15"/>
          <w:color w:val="auto"/>
        </w:rPr>
        <w:t>The board of directors has determined that each of the following directors is independent as defined in the listing standards of The NASDAQ Stock Market LLC: Charles A. Baker, Michael S. Brown, M.D., Alfred G. Gilman, M.D., Ph.D., Joseph L. Goldstein, M.D., Christine A. Poon, Arthur F. Ryan, Eric M. Shooter, Ph.D., George L. Sing, and Marc Tessier-Lavigne, Ph.D. The board conducts executive sessions of independent directors following each regularly scheduled board meeting.</w:t>
      </w:r>
    </w:p>
    <w:p>
      <w:pPr>
        <w:spacing w:after="0" w:line="171" w:lineRule="exact"/>
        <w:rPr>
          <w:sz w:val="20"/>
          <w:szCs w:val="20"/>
          <w:color w:val="auto"/>
        </w:rPr>
      </w:pPr>
    </w:p>
    <w:p>
      <w:pPr>
        <w:ind w:right="340" w:firstLine="255"/>
        <w:spacing w:after="0" w:line="257" w:lineRule="auto"/>
        <w:rPr>
          <w:sz w:val="20"/>
          <w:szCs w:val="20"/>
          <w:color w:val="auto"/>
        </w:rPr>
      </w:pPr>
      <w:r>
        <w:rPr>
          <w:rFonts w:ascii="Arial" w:cs="Arial" w:eastAsia="Arial" w:hAnsi="Arial"/>
          <w:sz w:val="17"/>
          <w:szCs w:val="17"/>
          <w:color w:val="auto"/>
        </w:rPr>
        <w:t>The board of directors has determined that each of the current members of the Audit Committee, Messrs. Baker, Ryan, and Sing, is an “audit committee financial expert” as that term is defined in Item 407(d)(5)(ii) of Regulation S-K under the Securities Exchange Act of 1934, as amended, meets the required standards for independence set forth in Rule 10A-3(b)(1) under the Securities Exchange Act of 1934, as amended, and is independent as defined for audit committee members in the listing standards of The NASDAQ Stock Market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Board Leadership and Role in Risk Oversight</w:t>
      </w:r>
    </w:p>
    <w:p>
      <w:pPr>
        <w:spacing w:after="0" w:line="242" w:lineRule="exact"/>
        <w:rPr>
          <w:sz w:val="20"/>
          <w:szCs w:val="20"/>
          <w:color w:val="auto"/>
        </w:rPr>
      </w:pPr>
    </w:p>
    <w:p>
      <w:pPr>
        <w:ind w:firstLine="255"/>
        <w:spacing w:after="0" w:line="255" w:lineRule="auto"/>
        <w:rPr>
          <w:sz w:val="20"/>
          <w:szCs w:val="20"/>
          <w:color w:val="auto"/>
        </w:rPr>
      </w:pPr>
      <w:r>
        <w:rPr>
          <w:rFonts w:ascii="Arial" w:cs="Arial" w:eastAsia="Arial" w:hAnsi="Arial"/>
          <w:sz w:val="17"/>
          <w:szCs w:val="17"/>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board executes its oversight responsibility for risk management directly and through its Committees, as follows:</w:t>
      </w:r>
    </w:p>
    <w:p>
      <w:pPr>
        <w:spacing w:after="0" w:line="213" w:lineRule="exact"/>
        <w:rPr>
          <w:sz w:val="20"/>
          <w:szCs w:val="20"/>
          <w:color w:val="auto"/>
        </w:rPr>
      </w:pPr>
    </w:p>
    <w:p>
      <w:pPr>
        <w:jc w:val="both"/>
        <w:ind w:left="520" w:right="220"/>
        <w:spacing w:after="0" w:line="260" w:lineRule="auto"/>
        <w:rPr>
          <w:sz w:val="20"/>
          <w:szCs w:val="20"/>
          <w:color w:val="auto"/>
        </w:rPr>
      </w:pPr>
      <w:r>
        <w:rPr>
          <w:rFonts w:ascii="Arial" w:cs="Arial" w:eastAsia="Arial" w:hAnsi="Arial"/>
          <w:sz w:val="17"/>
          <w:szCs w:val="17"/>
          <w:color w:val="auto"/>
        </w:rPr>
        <w:t>The Audit Committee oversees the Company’s risk management program. The Company’s Chief Audit Executive, who reports independently to the Committee, facilitates the risk management program. Audit Committee meetings include discussions of specific risk areas throughout the year, as well as semi-annual reports from the Chief Audit Executive on the Company’s enterprise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-361315</wp:posOffset>
            </wp:positionV>
            <wp:extent cx="57785" cy="577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1" w:lineRule="exact"/>
        <w:rPr>
          <w:sz w:val="20"/>
          <w:szCs w:val="20"/>
          <w:color w:val="auto"/>
        </w:rPr>
      </w:pPr>
    </w:p>
    <w:p>
      <w:pPr>
        <w:ind w:left="520" w:right="180"/>
        <w:spacing w:after="0" w:line="255" w:lineRule="auto"/>
        <w:rPr>
          <w:sz w:val="20"/>
          <w:szCs w:val="20"/>
          <w:color w:val="auto"/>
        </w:rPr>
      </w:pPr>
      <w:r>
        <w:rPr>
          <w:rFonts w:ascii="Arial" w:cs="Arial" w:eastAsia="Arial" w:hAnsi="Arial"/>
          <w:sz w:val="17"/>
          <w:szCs w:val="17"/>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-617220</wp:posOffset>
            </wp:positionV>
            <wp:extent cx="57785" cy="57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520" w:right="200"/>
        <w:spacing w:after="0" w:line="255" w:lineRule="auto"/>
        <w:rPr>
          <w:sz w:val="20"/>
          <w:szCs w:val="20"/>
          <w:color w:val="auto"/>
        </w:rPr>
      </w:pPr>
      <w:r>
        <w:rPr>
          <w:rFonts w:ascii="Arial" w:cs="Arial" w:eastAsia="Arial" w:hAnsi="Arial"/>
          <w:sz w:val="17"/>
          <w:szCs w:val="17"/>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-617220</wp:posOffset>
            </wp:positionV>
            <wp:extent cx="57785" cy="57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 and Attendance of Directors</w:t>
      </w:r>
    </w:p>
    <w:p>
      <w:pPr>
        <w:spacing w:after="0" w:line="242" w:lineRule="exact"/>
        <w:rPr>
          <w:sz w:val="20"/>
          <w:szCs w:val="20"/>
          <w:color w:val="auto"/>
        </w:rPr>
      </w:pPr>
    </w:p>
    <w:p>
      <w:pPr>
        <w:ind w:right="160" w:firstLine="255"/>
        <w:spacing w:after="0" w:line="284" w:lineRule="auto"/>
        <w:rPr>
          <w:sz w:val="20"/>
          <w:szCs w:val="20"/>
          <w:color w:val="auto"/>
        </w:rPr>
      </w:pPr>
      <w:r>
        <w:rPr>
          <w:rFonts w:ascii="Arial" w:cs="Arial" w:eastAsia="Arial" w:hAnsi="Arial"/>
          <w:sz w:val="16"/>
          <w:szCs w:val="16"/>
          <w:color w:val="auto"/>
        </w:rPr>
        <w:t>The board held five regular meetings and two special meetings in 2011. All directors attended more than 75% of the total number of meetings of the board and committees of the board on which they served. Board members are expected to attend the Company’s Annual Meeting of Shareholders absent a pressing reason, although the Company has no formal policy on the matter. All of the directors attended our 2011 Annual Meeting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242" w:lineRule="exact"/>
        <w:rPr>
          <w:sz w:val="20"/>
          <w:szCs w:val="20"/>
          <w:color w:val="auto"/>
        </w:rPr>
      </w:pPr>
    </w:p>
    <w:p>
      <w:pPr>
        <w:ind w:right="320" w:firstLine="255"/>
        <w:spacing w:after="0" w:line="273" w:lineRule="auto"/>
        <w:rPr>
          <w:sz w:val="20"/>
          <w:szCs w:val="20"/>
          <w:color w:val="auto"/>
        </w:rPr>
      </w:pPr>
      <w:r>
        <w:rPr>
          <w:rFonts w:ascii="Arial" w:cs="Arial" w:eastAsia="Arial" w:hAnsi="Arial"/>
          <w:sz w:val="16"/>
          <w:szCs w:val="16"/>
          <w:color w:val="auto"/>
        </w:rPr>
        <w:t>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at least annually and recommends changes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the qualifications, expertise, and demands on our directors and benchmarks the Company’s practices against similar companies in the biotechnology industry.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6" w:name="page17"/>
    <w:bookmarkEnd w:id="16"/>
    <w:p>
      <w:pPr>
        <w:ind w:left="260"/>
        <w:spacing w:after="0"/>
        <w:rPr>
          <w:sz w:val="20"/>
          <w:szCs w:val="20"/>
          <w:color w:val="auto"/>
        </w:rPr>
      </w:pPr>
      <w:r>
        <w:rPr>
          <w:rFonts w:ascii="Arial" w:cs="Arial" w:eastAsia="Arial" w:hAnsi="Arial"/>
          <w:sz w:val="15"/>
          <w:szCs w:val="15"/>
          <w:color w:val="auto"/>
        </w:rPr>
        <w:t>There were no changes in compensation for non-employee directors in 2011. Non-employee directors received an annual retainer of $15,000 and a fee of $5,000 for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each regular board meeting attended in person or, once a year, by telephone or videoconference. The Chairman of the Audit Committee received an additional retainer of</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$5,000 per year. Each non-employee director also received an annual committee fee of $5,000 for his or her service on each standing committee of the board of which he or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she was a member. In addition, non-employee directors were reimbursed for their actual expenses incurred in connection with their activities as directors, which included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travel, hotel, and food and entertainment expenses.</w:t>
      </w:r>
    </w:p>
    <w:p>
      <w:pPr>
        <w:spacing w:after="0" w:line="230" w:lineRule="exact"/>
        <w:rPr>
          <w:sz w:val="20"/>
          <w:szCs w:val="20"/>
          <w:color w:val="auto"/>
        </w:rPr>
      </w:pPr>
    </w:p>
    <w:p>
      <w:pPr>
        <w:ind w:right="100" w:firstLine="255"/>
        <w:spacing w:after="0" w:line="294" w:lineRule="auto"/>
        <w:rPr>
          <w:sz w:val="20"/>
          <w:szCs w:val="20"/>
          <w:color w:val="auto"/>
        </w:rPr>
      </w:pPr>
      <w:r>
        <w:rPr>
          <w:rFonts w:ascii="Arial" w:cs="Arial" w:eastAsia="Arial" w:hAnsi="Arial"/>
          <w:sz w:val="15"/>
          <w:szCs w:val="15"/>
          <w:color w:val="auto"/>
        </w:rPr>
        <w:t>As provided for in its charter, in 2011 the Corporate Governance and Compliance Committee undertook a review of the Company’s compensation of non-employee directors. Based on factors including the greater size and complexity of the Company, the increased burden on directors, and the changes in peer company director compensation practices, the Committee recommended, and the board of directors agreed, that it would be appropriate to update the Company’s compensation practices for directors beginning in 2012 in order to attract and retain highly qualified non-employee directors. Specifically, the board of directors eliminated the $5,000 per meeting board fees for non-employee directors and increased the annual retainer for those directors to $55,000 and the annual committee retainer to $10,000 for each standing committee on which the director serves. The Chairman of the Audit Committee will continue to receive an additional retainer of $5,000 per year.</w:t>
      </w:r>
    </w:p>
    <w:p>
      <w:pPr>
        <w:spacing w:after="0" w:line="186" w:lineRule="exact"/>
        <w:rPr>
          <w:sz w:val="20"/>
          <w:szCs w:val="20"/>
          <w:color w:val="auto"/>
        </w:rPr>
      </w:pPr>
    </w:p>
    <w:p>
      <w:pPr>
        <w:ind w:right="100" w:firstLine="255"/>
        <w:spacing w:after="0" w:line="255" w:lineRule="auto"/>
        <w:rPr>
          <w:sz w:val="20"/>
          <w:szCs w:val="20"/>
          <w:color w:val="auto"/>
        </w:rPr>
      </w:pPr>
      <w:r>
        <w:rPr>
          <w:rFonts w:ascii="Arial" w:cs="Arial" w:eastAsia="Arial" w:hAnsi="Arial"/>
          <w:sz w:val="17"/>
          <w:szCs w:val="17"/>
          <w:color w:val="auto"/>
        </w:rPr>
        <w:t>Pursuant to the terms of our Second Amended and Restated 2000 Long-Term Incentive Plan, each non-employee director receives an automatic grant of a stock option to purchase 15,000 shares of common stock on the first business day of each year, with an exercise price equal to the fair market value of a share of common stock on the date of grant. These stock options become exercisable as to one-third of the shares on the anniversary of the date of grant in each of the three subsequent calendar years, subject to continued service on the board, and generally expire ten years following the date of grant. Stock options granted to directors in 2012 continue to vest following the retirement of that director.</w:t>
      </w:r>
    </w:p>
    <w:p>
      <w:pPr>
        <w:spacing w:after="0" w:line="211" w:lineRule="exact"/>
        <w:rPr>
          <w:sz w:val="20"/>
          <w:szCs w:val="20"/>
          <w:color w:val="auto"/>
        </w:rPr>
      </w:pPr>
    </w:p>
    <w:p>
      <w:pPr>
        <w:ind w:right="60" w:firstLine="255"/>
        <w:spacing w:after="0" w:line="302" w:lineRule="auto"/>
        <w:rPr>
          <w:sz w:val="20"/>
          <w:szCs w:val="20"/>
          <w:color w:val="auto"/>
        </w:rPr>
      </w:pPr>
      <w:r>
        <w:rPr>
          <w:rFonts w:ascii="Arial" w:cs="Arial" w:eastAsia="Arial" w:hAnsi="Arial"/>
          <w:sz w:val="15"/>
          <w:szCs w:val="15"/>
          <w:color w:val="auto"/>
        </w:rPr>
        <w:t>Stock options granted since 2010 to non-employee directors become fully vested automatically upon a change of control of the Company. Each non-employee director has the right to nullify this acceleration of vesting, in whole or in part, if it would cause the director to pay excise taxes under the requirements of the Internal Revenue Code. Previously, stock options granted to non-employee directors included a “double-trigger” change of control provision whereby the director’s stock options would immediately vest in full in the event that a director’s service as a member of the board is terminated without cause within two years of a change of control of the Company.</w:t>
      </w:r>
    </w:p>
    <w:p>
      <w:pPr>
        <w:spacing w:after="0" w:line="177" w:lineRule="exact"/>
        <w:rPr>
          <w:sz w:val="20"/>
          <w:szCs w:val="20"/>
          <w:color w:val="auto"/>
        </w:rPr>
      </w:pPr>
    </w:p>
    <w:p>
      <w:pPr>
        <w:ind w:firstLine="255"/>
        <w:spacing w:after="0" w:line="331" w:lineRule="auto"/>
        <w:rPr>
          <w:sz w:val="20"/>
          <w:szCs w:val="20"/>
          <w:color w:val="auto"/>
        </w:rPr>
      </w:pPr>
      <w:r>
        <w:rPr>
          <w:rFonts w:ascii="Arial" w:cs="Arial" w:eastAsia="Arial" w:hAnsi="Arial"/>
          <w:sz w:val="13"/>
          <w:szCs w:val="13"/>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stock option grants be made to Dr. Vagelos for calendar years 2000 through 2003 in the amount of the greater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 125,000 shares or (b) 125% of the highest annual option award granted to an officer of the Company.</w:t>
      </w:r>
    </w:p>
    <w:p>
      <w:pPr>
        <w:spacing w:after="0" w:line="230" w:lineRule="exact"/>
        <w:rPr>
          <w:sz w:val="20"/>
          <w:szCs w:val="20"/>
          <w:color w:val="auto"/>
        </w:rPr>
      </w:pPr>
    </w:p>
    <w:p>
      <w:pPr>
        <w:ind w:right="60" w:firstLine="255"/>
        <w:spacing w:after="0" w:line="271" w:lineRule="auto"/>
        <w:rPr>
          <w:sz w:val="20"/>
          <w:szCs w:val="20"/>
          <w:color w:val="auto"/>
        </w:rPr>
      </w:pPr>
      <w:r>
        <w:rPr>
          <w:rFonts w:ascii="Arial" w:cs="Arial" w:eastAsia="Arial" w:hAnsi="Arial"/>
          <w:sz w:val="16"/>
          <w:szCs w:val="16"/>
          <w:color w:val="auto"/>
        </w:rPr>
        <w:t>In 2011, the Compensation Committee agreed that beginning with the 2011 award, Dr. Vagelos’ target grant would be equal to ten times the annual grant for a non-employee member of the Board of Directors, setting his target award currently at 150,000 stock options. On December 16, 2011, the Compensation Committee granted Dr. Vagelos stock options to purchase 250,000 shares of common stock, at an exercise price of $52.03 per share, the fair market value per share of our common stock on the date of grant. In making this greater than target award, the Compensation Committee took into consideration the Company’s past compensation practices and Dr. Vagelos’ active involvement in and significant contributions to the Company in 2011. The stock option award granted to Dr. Vagelos vests ratably over four years subject to his continued service and contains change of control provisions identical to the ones described above for stock option grants to non-employee directors made since 2010. Pursuant to the terms of his employment agreement, if Dr. Vagelos dies or is disabled during the term of his employment, all stock options granted to him by the Company will immediately become vested and exercisable.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 w:name="page18"/>
    <w:bookmarkEnd w:id="17"/>
    <w:p>
      <w:pPr>
        <w:ind w:firstLine="255"/>
        <w:spacing w:after="0" w:line="270" w:lineRule="auto"/>
        <w:rPr>
          <w:sz w:val="20"/>
          <w:szCs w:val="20"/>
          <w:color w:val="auto"/>
        </w:rPr>
      </w:pPr>
      <w:r>
        <w:rPr>
          <w:rFonts w:ascii="Arial" w:cs="Arial" w:eastAsia="Arial" w:hAnsi="Arial"/>
          <w:sz w:val="17"/>
          <w:szCs w:val="17"/>
          <w:color w:val="auto"/>
        </w:rPr>
        <w:t>The following table and explanatory footnotes provide information with respect to compensation paid to Dr. Vagelos and each non-employee director for their service in 2011 in accordance with the policies, plans, and employment agreement described above: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Change in</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9"/>
        </w:trPr>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Fees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pension value and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earned</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Option</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Non-equity</w:t>
            </w: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non-qualified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or paid</w:t>
            </w: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awards</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incentive plan</w:t>
            </w: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deferred</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All other</w:t>
            </w:r>
          </w:p>
        </w:tc>
        <w:tc>
          <w:tcPr>
            <w:tcW w:w="660" w:type="dxa"/>
            <w:vAlign w:val="bottom"/>
          </w:tcPr>
          <w:p>
            <w:pPr>
              <w:spacing w:after="0"/>
              <w:rPr>
                <w:sz w:val="19"/>
                <w:szCs w:val="19"/>
                <w:color w:val="auto"/>
              </w:rPr>
            </w:pPr>
          </w:p>
        </w:tc>
      </w:tr>
      <w:tr>
        <w:trPr>
          <w:trHeight w:val="229"/>
        </w:trPr>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 cash</w:t>
            </w: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awards</w:t>
            </w:r>
          </w:p>
        </w:tc>
        <w:tc>
          <w:tcPr>
            <w:tcW w:w="660" w:type="dxa"/>
            <w:vAlign w:val="bottom"/>
          </w:tcPr>
          <w:p>
            <w:pPr>
              <w:jc w:val="right"/>
              <w:ind w:right="184"/>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compensation</w:t>
            </w: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compensation</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compensation</w:t>
            </w:r>
          </w:p>
        </w:tc>
        <w:tc>
          <w:tcPr>
            <w:tcW w:w="660" w:type="dxa"/>
            <w:vAlign w:val="bottom"/>
          </w:tcPr>
          <w:p>
            <w:pPr>
              <w:jc w:val="right"/>
              <w:ind w:right="102"/>
              <w:spacing w:after="0"/>
              <w:rPr>
                <w:sz w:val="20"/>
                <w:szCs w:val="20"/>
                <w:color w:val="auto"/>
              </w:rPr>
            </w:pPr>
            <w:r>
              <w:rPr>
                <w:rFonts w:ascii="Arial" w:cs="Arial" w:eastAsia="Arial" w:hAnsi="Arial"/>
                <w:sz w:val="13"/>
                <w:szCs w:val="13"/>
                <w:b w:val="1"/>
                <w:bCs w:val="1"/>
                <w:color w:val="auto"/>
              </w:rPr>
              <w:t>Total</w:t>
            </w:r>
          </w:p>
        </w:tc>
      </w:tr>
      <w:tr>
        <w:trPr>
          <w:trHeight w:val="229"/>
        </w:trPr>
        <w:tc>
          <w:tcPr>
            <w:tcW w:w="52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660" w:type="dxa"/>
            <w:vAlign w:val="bottom"/>
          </w:tcPr>
          <w:p>
            <w:pPr>
              <w:jc w:val="right"/>
              <w:ind w:right="84"/>
              <w:spacing w:after="0"/>
              <w:rPr>
                <w:sz w:val="20"/>
                <w:szCs w:val="20"/>
                <w:color w:val="auto"/>
              </w:rPr>
            </w:pPr>
            <w:r>
              <w:rPr>
                <w:rFonts w:ascii="Arial" w:cs="Arial" w:eastAsia="Arial" w:hAnsi="Arial"/>
                <w:sz w:val="13"/>
                <w:szCs w:val="13"/>
                <w:b w:val="1"/>
                <w:bCs w:val="1"/>
                <w:color w:val="auto"/>
              </w:rPr>
              <w:t>(1) (2)</w:t>
            </w:r>
          </w:p>
        </w:tc>
        <w:tc>
          <w:tcPr>
            <w:tcW w:w="2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earnings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9"/>
                <w:szCs w:val="19"/>
                <w:color w:val="auto"/>
              </w:rPr>
            </w:pPr>
          </w:p>
        </w:tc>
        <w:tc>
          <w:tcPr>
            <w:tcW w:w="660" w:type="dxa"/>
            <w:vAlign w:val="bottom"/>
          </w:tcPr>
          <w:p>
            <w:pPr>
              <w:jc w:val="right"/>
              <w:ind w:right="182"/>
              <w:spacing w:after="0"/>
              <w:rPr>
                <w:sz w:val="20"/>
                <w:szCs w:val="20"/>
                <w:color w:val="auto"/>
              </w:rPr>
            </w:pPr>
            <w:r>
              <w:rPr>
                <w:rFonts w:ascii="Arial" w:cs="Arial" w:eastAsia="Arial" w:hAnsi="Arial"/>
                <w:sz w:val="13"/>
                <w:szCs w:val="13"/>
                <w:b w:val="1"/>
                <w:bCs w:val="1"/>
                <w:color w:val="auto"/>
              </w:rPr>
              <w:t>($)</w:t>
            </w:r>
          </w:p>
        </w:tc>
      </w:tr>
      <w:tr>
        <w:trPr>
          <w:trHeight w:val="230"/>
        </w:trPr>
        <w:tc>
          <w:tcPr>
            <w:tcW w:w="5200" w:type="dxa"/>
            <w:vAlign w:val="bottom"/>
            <w:gridSpan w:val="2"/>
          </w:tcPr>
          <w:p>
            <w:pPr>
              <w:spacing w:after="0"/>
              <w:rPr>
                <w:sz w:val="20"/>
                <w:szCs w:val="20"/>
                <w:color w:val="auto"/>
              </w:rPr>
            </w:pPr>
            <w:r>
              <w:rPr>
                <w:rFonts w:ascii="Arial" w:cs="Arial" w:eastAsia="Arial" w:hAnsi="Arial"/>
                <w:sz w:val="13"/>
                <w:szCs w:val="13"/>
                <w:b w:val="1"/>
                <w:bCs w:val="1"/>
                <w:color w:val="auto"/>
              </w:rPr>
              <w:t>(a)</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w:t>
            </w: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(d)</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(e)</w:t>
            </w: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(g)</w:t>
            </w:r>
          </w:p>
        </w:tc>
        <w:tc>
          <w:tcPr>
            <w:tcW w:w="660" w:type="dxa"/>
            <w:vAlign w:val="bottom"/>
          </w:tcPr>
          <w:p>
            <w:pPr>
              <w:jc w:val="right"/>
              <w:ind w:right="162"/>
              <w:spacing w:after="0"/>
              <w:rPr>
                <w:sz w:val="20"/>
                <w:szCs w:val="20"/>
                <w:color w:val="auto"/>
              </w:rPr>
            </w:pPr>
            <w:r>
              <w:rPr>
                <w:rFonts w:ascii="Arial" w:cs="Arial" w:eastAsia="Arial" w:hAnsi="Arial"/>
                <w:sz w:val="13"/>
                <w:szCs w:val="13"/>
                <w:b w:val="1"/>
                <w:bCs w:val="1"/>
                <w:color w:val="auto"/>
              </w:rPr>
              <w:t>(h)</w:t>
            </w:r>
          </w:p>
        </w:tc>
      </w:tr>
      <w:tr>
        <w:trPr>
          <w:trHeight w:val="38"/>
        </w:trPr>
        <w:tc>
          <w:tcPr>
            <w:tcW w:w="49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22"/>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Charles A. Baker</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50,000</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313,918</w:t>
            </w: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363,918</w:t>
            </w:r>
          </w:p>
        </w:tc>
      </w:tr>
      <w:tr>
        <w:trPr>
          <w:trHeight w:val="223"/>
        </w:trPr>
        <w:tc>
          <w:tcPr>
            <w:tcW w:w="5200" w:type="dxa"/>
            <w:vAlign w:val="bottom"/>
            <w:gridSpan w:val="2"/>
          </w:tcPr>
          <w:p>
            <w:pPr>
              <w:spacing w:after="0"/>
              <w:rPr>
                <w:sz w:val="20"/>
                <w:szCs w:val="20"/>
                <w:color w:val="auto"/>
              </w:rPr>
            </w:pPr>
            <w:r>
              <w:rPr>
                <w:rFonts w:ascii="Arial" w:cs="Arial" w:eastAsia="Arial" w:hAnsi="Arial"/>
                <w:sz w:val="17"/>
                <w:szCs w:val="17"/>
                <w:color w:val="auto"/>
              </w:rPr>
              <w:t>Michael S. Brown</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50,000</w:t>
            </w:r>
          </w:p>
        </w:tc>
        <w:tc>
          <w:tcPr>
            <w:tcW w:w="260" w:type="dxa"/>
            <w:vAlign w:val="bottom"/>
          </w:tcPr>
          <w:p>
            <w:pPr>
              <w:spacing w:after="0"/>
              <w:rPr>
                <w:sz w:val="19"/>
                <w:szCs w:val="1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313,918</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363,918</w:t>
            </w:r>
          </w:p>
        </w:tc>
      </w:tr>
      <w:tr>
        <w:trPr>
          <w:trHeight w:val="236"/>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Alfred G. Gilman</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50,000</w:t>
            </w: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313,918</w:t>
            </w: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363,918</w:t>
            </w:r>
          </w:p>
        </w:tc>
      </w:tr>
      <w:tr>
        <w:trPr>
          <w:trHeight w:val="223"/>
        </w:trPr>
        <w:tc>
          <w:tcPr>
            <w:tcW w:w="5200" w:type="dxa"/>
            <w:vAlign w:val="bottom"/>
            <w:gridSpan w:val="2"/>
          </w:tcPr>
          <w:p>
            <w:pPr>
              <w:spacing w:after="0"/>
              <w:rPr>
                <w:sz w:val="20"/>
                <w:szCs w:val="20"/>
                <w:color w:val="auto"/>
              </w:rPr>
            </w:pPr>
            <w:r>
              <w:rPr>
                <w:rFonts w:ascii="Arial" w:cs="Arial" w:eastAsia="Arial" w:hAnsi="Arial"/>
                <w:sz w:val="17"/>
                <w:szCs w:val="17"/>
                <w:color w:val="auto"/>
              </w:rPr>
              <w:t>Joseph L. Goldstein</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50,000</w:t>
            </w:r>
          </w:p>
        </w:tc>
        <w:tc>
          <w:tcPr>
            <w:tcW w:w="260" w:type="dxa"/>
            <w:vAlign w:val="bottom"/>
          </w:tcPr>
          <w:p>
            <w:pPr>
              <w:spacing w:after="0"/>
              <w:rPr>
                <w:sz w:val="19"/>
                <w:szCs w:val="1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313,918</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363,918</w:t>
            </w:r>
          </w:p>
        </w:tc>
      </w:tr>
      <w:tr>
        <w:trPr>
          <w:trHeight w:val="236"/>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Christine A. Poon</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45,000</w:t>
            </w: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313,918</w:t>
            </w: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358,918</w:t>
            </w:r>
          </w:p>
        </w:tc>
      </w:tr>
      <w:tr>
        <w:trPr>
          <w:trHeight w:val="223"/>
        </w:trPr>
        <w:tc>
          <w:tcPr>
            <w:tcW w:w="5200" w:type="dxa"/>
            <w:vAlign w:val="bottom"/>
            <w:gridSpan w:val="2"/>
          </w:tcPr>
          <w:p>
            <w:pPr>
              <w:spacing w:after="0"/>
              <w:rPr>
                <w:sz w:val="20"/>
                <w:szCs w:val="20"/>
                <w:color w:val="auto"/>
              </w:rPr>
            </w:pPr>
            <w:r>
              <w:rPr>
                <w:rFonts w:ascii="Arial" w:cs="Arial" w:eastAsia="Arial" w:hAnsi="Arial"/>
                <w:sz w:val="17"/>
                <w:szCs w:val="17"/>
                <w:color w:val="auto"/>
              </w:rPr>
              <w:t>Arthur F. Ryan</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55,000</w:t>
            </w:r>
          </w:p>
        </w:tc>
        <w:tc>
          <w:tcPr>
            <w:tcW w:w="260" w:type="dxa"/>
            <w:vAlign w:val="bottom"/>
          </w:tcPr>
          <w:p>
            <w:pPr>
              <w:spacing w:after="0"/>
              <w:rPr>
                <w:sz w:val="19"/>
                <w:szCs w:val="1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313,918</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368,918</w:t>
            </w:r>
          </w:p>
        </w:tc>
      </w:tr>
      <w:tr>
        <w:trPr>
          <w:trHeight w:val="236"/>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Eric M. Shooter</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45,000</w:t>
            </w: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313,918</w:t>
            </w: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358,918</w:t>
            </w:r>
          </w:p>
        </w:tc>
      </w:tr>
      <w:tr>
        <w:trPr>
          <w:trHeight w:val="223"/>
        </w:trPr>
        <w:tc>
          <w:tcPr>
            <w:tcW w:w="5200" w:type="dxa"/>
            <w:vAlign w:val="bottom"/>
            <w:gridSpan w:val="2"/>
          </w:tcPr>
          <w:p>
            <w:pPr>
              <w:spacing w:after="0"/>
              <w:rPr>
                <w:sz w:val="20"/>
                <w:szCs w:val="20"/>
                <w:color w:val="auto"/>
              </w:rPr>
            </w:pPr>
            <w:r>
              <w:rPr>
                <w:rFonts w:ascii="Arial" w:cs="Arial" w:eastAsia="Arial" w:hAnsi="Arial"/>
                <w:sz w:val="17"/>
                <w:szCs w:val="17"/>
                <w:color w:val="auto"/>
              </w:rPr>
              <w:t>George L. Sing</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55,000</w:t>
            </w:r>
          </w:p>
        </w:tc>
        <w:tc>
          <w:tcPr>
            <w:tcW w:w="260" w:type="dxa"/>
            <w:vAlign w:val="bottom"/>
          </w:tcPr>
          <w:p>
            <w:pPr>
              <w:spacing w:after="0"/>
              <w:rPr>
                <w:sz w:val="19"/>
                <w:szCs w:val="1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313,918</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368,918</w:t>
            </w:r>
          </w:p>
        </w:tc>
      </w:tr>
      <w:tr>
        <w:trPr>
          <w:trHeight w:val="236"/>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 Tessier-Lavigne (4)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1,875</w:t>
            </w: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659,202</w:t>
            </w: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661,077</w:t>
            </w:r>
          </w:p>
        </w:tc>
      </w:tr>
      <w:tr>
        <w:trPr>
          <w:trHeight w:val="208"/>
        </w:trPr>
        <w:tc>
          <w:tcPr>
            <w:tcW w:w="5200" w:type="dxa"/>
            <w:vAlign w:val="bottom"/>
            <w:gridSpan w:val="2"/>
          </w:tcPr>
          <w:p>
            <w:pPr>
              <w:spacing w:after="0"/>
              <w:rPr>
                <w:sz w:val="20"/>
                <w:szCs w:val="20"/>
                <w:color w:val="auto"/>
              </w:rPr>
            </w:pPr>
            <w:r>
              <w:rPr>
                <w:rFonts w:ascii="Arial" w:cs="Arial" w:eastAsia="Arial" w:hAnsi="Arial"/>
                <w:sz w:val="17"/>
                <w:szCs w:val="17"/>
                <w:color w:val="auto"/>
              </w:rPr>
              <w:t>P. Roy Vagelos</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6,518,200</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87"/>
              </w:rPr>
              <w:t>100,000(3)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4"/>
              </w:rPr>
              <w:t>6,618,200</w:t>
            </w:r>
          </w:p>
        </w:tc>
      </w:tr>
      <w:tr>
        <w:trPr>
          <w:trHeight w:val="260"/>
        </w:trPr>
        <w:tc>
          <w:tcPr>
            <w:tcW w:w="4940" w:type="dxa"/>
            <w:vAlign w:val="bottom"/>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212" w:lineRule="exact"/>
        <w:rPr>
          <w:sz w:val="20"/>
          <w:szCs w:val="20"/>
          <w:color w:val="auto"/>
        </w:rPr>
      </w:pPr>
    </w:p>
    <w:p>
      <w:pPr>
        <w:ind w:left="460" w:right="60" w:hanging="458"/>
        <w:spacing w:after="0" w:line="27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amounts in column (d) reflect the aggregate grant date fair value of option awards during the year ended December 31, 2011 pursuant to the Company’s Second Amended and Restated 2000 Long-Term Incentive Plan. Assumptions used in the calculation of this amount do not take into account expected forfeitures and are otherwise described in footnote 14 to the Company’s audited financial statements for the fiscal year ended December 31, 2011 included in the Company’s Annual Report on Form 10-K filed with the Securities and Exchange Commission on February 21, 2012.</w:t>
      </w:r>
    </w:p>
    <w:p>
      <w:pPr>
        <w:spacing w:after="0" w:line="193" w:lineRule="exact"/>
        <w:rPr>
          <w:rFonts w:ascii="Arial" w:cs="Arial" w:eastAsia="Arial" w:hAnsi="Arial"/>
          <w:sz w:val="16"/>
          <w:szCs w:val="16"/>
          <w:color w:val="auto"/>
        </w:rPr>
      </w:pPr>
    </w:p>
    <w:p>
      <w:pPr>
        <w:ind w:left="460" w:hanging="458"/>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At December 31, 2011, the non-employee directors and Dr. Vagelos had the following stock option awards outstanding: Mr. Baker: 135,000, Dr. Brown: 80,000, Dr.</w:t>
      </w:r>
    </w:p>
    <w:p>
      <w:pPr>
        <w:spacing w:after="0" w:line="39" w:lineRule="exact"/>
        <w:rPr>
          <w:rFonts w:ascii="Arial" w:cs="Arial" w:eastAsia="Arial" w:hAnsi="Arial"/>
          <w:sz w:val="15"/>
          <w:szCs w:val="15"/>
          <w:color w:val="auto"/>
        </w:rPr>
      </w:pPr>
    </w:p>
    <w:p>
      <w:pPr>
        <w:ind w:left="460"/>
        <w:spacing w:after="0" w:line="260" w:lineRule="auto"/>
        <w:rPr>
          <w:rFonts w:ascii="Arial" w:cs="Arial" w:eastAsia="Arial" w:hAnsi="Arial"/>
          <w:sz w:val="15"/>
          <w:szCs w:val="15"/>
          <w:color w:val="auto"/>
        </w:rPr>
      </w:pPr>
      <w:r>
        <w:rPr>
          <w:rFonts w:ascii="Arial" w:cs="Arial" w:eastAsia="Arial" w:hAnsi="Arial"/>
          <w:sz w:val="17"/>
          <w:szCs w:val="17"/>
          <w:color w:val="auto"/>
        </w:rPr>
        <w:t>Gilman: 120,000, Dr. Goldstein: 65,000, Ms. Poon: 40,000, Mr. Ryan: 30,000, Dr. Shooter: 40,000, Mr. Sing: 135,000, Dr. Tessier-Lavigne: 25,000, and Dr. Vagelos: 3,062,500.</w:t>
      </w:r>
    </w:p>
    <w:p>
      <w:pPr>
        <w:spacing w:after="0" w:line="206" w:lineRule="exact"/>
        <w:rPr>
          <w:rFonts w:ascii="Arial" w:cs="Arial" w:eastAsia="Arial" w:hAnsi="Arial"/>
          <w:sz w:val="15"/>
          <w:szCs w:val="15"/>
          <w:color w:val="auto"/>
        </w:rPr>
      </w:pPr>
    </w:p>
    <w:p>
      <w:pPr>
        <w:ind w:left="460" w:hanging="458"/>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reflects the salary paid pursuant to the terms of our employment agreement with Dr. Vagelos.</w:t>
      </w:r>
    </w:p>
    <w:p>
      <w:pPr>
        <w:spacing w:after="0" w:line="238" w:lineRule="exact"/>
        <w:rPr>
          <w:rFonts w:ascii="Arial" w:cs="Arial" w:eastAsia="Arial" w:hAnsi="Arial"/>
          <w:sz w:val="17"/>
          <w:szCs w:val="17"/>
          <w:color w:val="auto"/>
        </w:rPr>
      </w:pPr>
    </w:p>
    <w:p>
      <w:pPr>
        <w:jc w:val="both"/>
        <w:ind w:left="460" w:right="360" w:hanging="458"/>
        <w:spacing w:after="0" w:line="28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Dr. Tessier-Lavigne was elected as a director by the board on November 18, 2011, and received a prorated annual retainer fee. On November 18, 2011, upon his election as a Director, Dr. Tessier-Lavigne received a grant of stock options to purchase 25,000 shares of common stock at an exercise price of $50.91 per share which equals the fair market value per share of our common stock on the date of grant.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 OF THE COMPANY</w:t>
      </w:r>
    </w:p>
    <w:p>
      <w:pPr>
        <w:spacing w:after="0" w:line="242" w:lineRule="exact"/>
        <w:rPr>
          <w:sz w:val="20"/>
          <w:szCs w:val="20"/>
          <w:color w:val="auto"/>
        </w:rPr>
      </w:pPr>
    </w:p>
    <w:p>
      <w:pPr>
        <w:ind w:right="200" w:firstLine="255"/>
        <w:spacing w:after="0" w:line="257" w:lineRule="auto"/>
        <w:rPr>
          <w:sz w:val="20"/>
          <w:szCs w:val="20"/>
          <w:color w:val="auto"/>
        </w:rPr>
      </w:pPr>
      <w:r>
        <w:rPr>
          <w:rFonts w:ascii="Arial" w:cs="Arial" w:eastAsia="Arial" w:hAnsi="Arial"/>
          <w:sz w:val="17"/>
          <w:szCs w:val="17"/>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4" w:lineRule="exact"/>
        <w:rPr>
          <w:sz w:val="20"/>
          <w:szCs w:val="20"/>
          <w:color w:val="auto"/>
        </w:rPr>
      </w:pPr>
    </w:p>
    <w:p>
      <w:pPr>
        <w:ind w:right="80" w:firstLine="255"/>
        <w:spacing w:after="0" w:line="262" w:lineRule="auto"/>
        <w:rPr>
          <w:sz w:val="20"/>
          <w:szCs w:val="20"/>
          <w:color w:val="auto"/>
        </w:rPr>
      </w:pPr>
      <w:r>
        <w:rPr>
          <w:rFonts w:ascii="Arial" w:cs="Arial" w:eastAsia="Arial" w:hAnsi="Arial"/>
          <w:sz w:val="17"/>
          <w:szCs w:val="17"/>
          <w:b w:val="1"/>
          <w:bCs w:val="1"/>
          <w:color w:val="auto"/>
        </w:rPr>
        <w:t xml:space="preserve">LEONARD S. SCHLEIFER, M.D., Ph.D., </w:t>
      </w:r>
      <w:r>
        <w:rPr>
          <w:rFonts w:ascii="Arial" w:cs="Arial" w:eastAsia="Arial" w:hAnsi="Arial"/>
          <w:sz w:val="17"/>
          <w:szCs w:val="17"/>
          <w:color w:val="auto"/>
        </w:rPr>
        <w:t>59, founded the Company in 1988, has been a Director and its President and Chief Executive Officer since its inception,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ind w:firstLine="255"/>
        <w:spacing w:after="0" w:line="256" w:lineRule="auto"/>
        <w:rPr>
          <w:sz w:val="20"/>
          <w:szCs w:val="20"/>
          <w:color w:val="auto"/>
        </w:rPr>
      </w:pPr>
      <w:r>
        <w:rPr>
          <w:rFonts w:ascii="Arial" w:cs="Arial" w:eastAsia="Arial" w:hAnsi="Arial"/>
          <w:sz w:val="17"/>
          <w:szCs w:val="17"/>
          <w:b w:val="1"/>
          <w:bCs w:val="1"/>
          <w:color w:val="auto"/>
        </w:rPr>
        <w:t xml:space="preserve">GEORGE D. YANCOPOULOS, M.D., Ph.D., </w:t>
      </w:r>
      <w:r>
        <w:rPr>
          <w:rFonts w:ascii="Arial" w:cs="Arial" w:eastAsia="Arial" w:hAnsi="Arial"/>
          <w:sz w:val="17"/>
          <w:szCs w:val="17"/>
          <w:color w:val="auto"/>
        </w:rPr>
        <w:t>52, has been Executive Vice President, Chief Scientific Officer, and President, Regeneron Research Laboratories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Dr. Yancopoulos is a member of the National Academy of Sciences.</w:t>
      </w:r>
    </w:p>
    <w:p>
      <w:pPr>
        <w:spacing w:after="0" w:line="207" w:lineRule="exact"/>
        <w:rPr>
          <w:sz w:val="20"/>
          <w:szCs w:val="20"/>
          <w:color w:val="auto"/>
        </w:rPr>
      </w:pPr>
    </w:p>
    <w:p>
      <w:pPr>
        <w:ind w:right="40" w:firstLine="255"/>
        <w:spacing w:after="0" w:line="276" w:lineRule="auto"/>
        <w:rPr>
          <w:sz w:val="20"/>
          <w:szCs w:val="20"/>
          <w:color w:val="auto"/>
        </w:rPr>
      </w:pPr>
      <w:r>
        <w:rPr>
          <w:rFonts w:ascii="Arial" w:cs="Arial" w:eastAsia="Arial" w:hAnsi="Arial"/>
          <w:sz w:val="16"/>
          <w:szCs w:val="16"/>
          <w:b w:val="1"/>
          <w:bCs w:val="1"/>
          <w:color w:val="auto"/>
        </w:rPr>
        <w:t xml:space="preserve">MICHAEL ABERMAN, M.D., </w:t>
      </w:r>
      <w:r>
        <w:rPr>
          <w:rFonts w:ascii="Arial" w:cs="Arial" w:eastAsia="Arial" w:hAnsi="Arial"/>
          <w:sz w:val="16"/>
          <w:szCs w:val="16"/>
          <w:color w:val="auto"/>
        </w:rPr>
        <w:t>41, has been Vice President, Strategy and Investor Relations, since March 2010. Prior to joining the Company, he spent six years as a</w:t>
      </w:r>
      <w:r>
        <w:rPr>
          <w:rFonts w:ascii="Arial" w:cs="Arial" w:eastAsia="Arial" w:hAnsi="Arial"/>
          <w:sz w:val="16"/>
          <w:szCs w:val="16"/>
          <w:b w:val="1"/>
          <w:bCs w:val="1"/>
          <w:color w:val="auto"/>
        </w:rPr>
        <w:t xml:space="preserve"> </w:t>
      </w:r>
      <w:r>
        <w:rPr>
          <w:rFonts w:ascii="Arial" w:cs="Arial" w:eastAsia="Arial" w:hAnsi="Arial"/>
          <w:sz w:val="16"/>
          <w:szCs w:val="16"/>
          <w:color w:val="auto"/>
        </w:rPr>
        <w:t>Wall Street analyst covering the biotechnology industry. From March 2006 until joining the Company, he was Director and Senior Biotechnology Analyst at Credit Suisse. Prior to that, from March 2004 until March 2006, he worked as a Biotechnology Analyst at Morgan Stanley, Inc. From February 2002 through March 2004, Dr. Aberman was Director of Business Development at Antigenics Inc., an oncology-focused biotechnology company. Dr. Aberman received his M.D. with honors from the University of Toronto and his M.B.A. from the Wharton School of the University of Pennsylvania.</w:t>
      </w:r>
    </w:p>
    <w:p>
      <w:pPr>
        <w:spacing w:after="0" w:line="192" w:lineRule="exact"/>
        <w:rPr>
          <w:sz w:val="20"/>
          <w:szCs w:val="20"/>
          <w:color w:val="auto"/>
        </w:rPr>
      </w:pPr>
    </w:p>
    <w:p>
      <w:pPr>
        <w:ind w:firstLine="255"/>
        <w:spacing w:after="0" w:line="272" w:lineRule="auto"/>
        <w:rPr>
          <w:sz w:val="20"/>
          <w:szCs w:val="20"/>
          <w:color w:val="auto"/>
        </w:rPr>
      </w:pPr>
      <w:r>
        <w:rPr>
          <w:rFonts w:ascii="Arial" w:cs="Arial" w:eastAsia="Arial" w:hAnsi="Arial"/>
          <w:sz w:val="16"/>
          <w:szCs w:val="16"/>
          <w:b w:val="1"/>
          <w:bCs w:val="1"/>
          <w:color w:val="auto"/>
        </w:rPr>
        <w:t xml:space="preserve">MURRAY A. GOLDBERG, </w:t>
      </w:r>
      <w:r>
        <w:rPr>
          <w:rFonts w:ascii="Arial" w:cs="Arial" w:eastAsia="Arial" w:hAnsi="Arial"/>
          <w:sz w:val="16"/>
          <w:szCs w:val="16"/>
          <w:color w:val="auto"/>
        </w:rPr>
        <w:t>67, has been Senior Vice President, Finance and Administration, Chief Financial Officer, Treasurer, and Assistant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a biotechnology company,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a diversified industrial company. Mr. Goldberg received his M.B.A. from the University of Chicago and a M.Sc. in Economics from the London School of Economics.</w:t>
      </w:r>
    </w:p>
    <w:p>
      <w:pPr>
        <w:spacing w:after="0" w:line="198" w:lineRule="exact"/>
        <w:rPr>
          <w:sz w:val="20"/>
          <w:szCs w:val="20"/>
          <w:color w:val="auto"/>
        </w:rPr>
      </w:pPr>
    </w:p>
    <w:p>
      <w:pPr>
        <w:ind w:right="80" w:firstLine="255"/>
        <w:spacing w:after="0" w:line="303" w:lineRule="auto"/>
        <w:rPr>
          <w:sz w:val="20"/>
          <w:szCs w:val="20"/>
          <w:color w:val="auto"/>
        </w:rPr>
      </w:pPr>
      <w:r>
        <w:rPr>
          <w:rFonts w:ascii="Arial" w:cs="Arial" w:eastAsia="Arial" w:hAnsi="Arial"/>
          <w:sz w:val="15"/>
          <w:szCs w:val="15"/>
          <w:b w:val="1"/>
          <w:bCs w:val="1"/>
          <w:color w:val="auto"/>
        </w:rPr>
        <w:t>JOSEPH J. LAROSA</w:t>
      </w:r>
      <w:r>
        <w:rPr>
          <w:rFonts w:ascii="Arial" w:cs="Arial" w:eastAsia="Arial" w:hAnsi="Arial"/>
          <w:sz w:val="15"/>
          <w:szCs w:val="15"/>
          <w:color w:val="auto"/>
        </w:rPr>
        <w:t>, 53, has been Senior Vice President, General Counsel and Secretary since September 2011. From 1993 to 2009, Mr. LaRosa held a number of</w:t>
      </w:r>
      <w:r>
        <w:rPr>
          <w:rFonts w:ascii="Arial" w:cs="Arial" w:eastAsia="Arial" w:hAnsi="Arial"/>
          <w:sz w:val="15"/>
          <w:szCs w:val="15"/>
          <w:b w:val="1"/>
          <w:bCs w:val="1"/>
          <w:color w:val="auto"/>
        </w:rPr>
        <w:t xml:space="preserve"> </w:t>
      </w:r>
      <w:r>
        <w:rPr>
          <w:rFonts w:ascii="Arial" w:cs="Arial" w:eastAsia="Arial" w:hAnsi="Arial"/>
          <w:sz w:val="15"/>
          <w:szCs w:val="15"/>
          <w:color w:val="auto"/>
        </w:rPr>
        <w:t>senior legal positions at Schering-Plough Corporation, where he was a corporate officer and served most recently as Vice President, Legal Affairs, and a member of the Operations Management Team. He also served as Vice President, Global Compliance and Legal Affairs at Avon Products, Inc. Most recently Mr. LaRosa was Senior Vice President, General Counsel and Secretary at Nycomed US Inc. Mr. LaRosa received his J.D. from New York University School of Law.</w:t>
      </w:r>
    </w:p>
    <w:p>
      <w:pPr>
        <w:spacing w:after="0" w:line="174" w:lineRule="exact"/>
        <w:rPr>
          <w:sz w:val="20"/>
          <w:szCs w:val="20"/>
          <w:color w:val="auto"/>
        </w:rPr>
      </w:pPr>
    </w:p>
    <w:p>
      <w:pPr>
        <w:ind w:right="60" w:firstLine="255"/>
        <w:spacing w:after="0" w:line="303" w:lineRule="auto"/>
        <w:rPr>
          <w:sz w:val="20"/>
          <w:szCs w:val="20"/>
          <w:color w:val="auto"/>
        </w:rPr>
      </w:pPr>
      <w:r>
        <w:rPr>
          <w:rFonts w:ascii="Arial" w:cs="Arial" w:eastAsia="Arial" w:hAnsi="Arial"/>
          <w:sz w:val="15"/>
          <w:szCs w:val="15"/>
          <w:b w:val="1"/>
          <w:bCs w:val="1"/>
          <w:color w:val="auto"/>
        </w:rPr>
        <w:t>DOUGLAS S. McCORKLE</w:t>
      </w:r>
      <w:r>
        <w:rPr>
          <w:rFonts w:ascii="Arial" w:cs="Arial" w:eastAsia="Arial" w:hAnsi="Arial"/>
          <w:sz w:val="15"/>
          <w:szCs w:val="15"/>
          <w:color w:val="auto"/>
        </w:rPr>
        <w:t>, 55, has been Vice President, Controller, and Assistant Treasurer since 2007. Prior to that date, he served as Controller and Assistant</w:t>
      </w:r>
      <w:r>
        <w:rPr>
          <w:rFonts w:ascii="Arial" w:cs="Arial" w:eastAsia="Arial" w:hAnsi="Arial"/>
          <w:sz w:val="15"/>
          <w:szCs w:val="15"/>
          <w:b w:val="1"/>
          <w:bCs w:val="1"/>
          <w:color w:val="auto"/>
        </w:rPr>
        <w:t xml:space="preserve"> </w:t>
      </w:r>
      <w:r>
        <w:rPr>
          <w:rFonts w:ascii="Arial" w:cs="Arial" w:eastAsia="Arial" w:hAnsi="Arial"/>
          <w:sz w:val="15"/>
          <w:szCs w:val="15"/>
          <w:color w:val="auto"/>
        </w:rPr>
        <w:t>Treasurer since 1998. Prior to joining the Company, Mr. McCorkle was Controller of Intergen Company, a manufacturer of biopharmaceutical products, a position he held since 1997. From 1990 to 1996, Mr. McCorkle was employed with Coopers &amp; Lybrand L.L.P., where he specialized in biotechnology clients and served in various positions including Audit Manager from 1995 to 1996. Mr. McCorkle is a Certified Public Accountant in the State of New York.</w:t>
      </w:r>
    </w:p>
    <w:p>
      <w:pPr>
        <w:spacing w:after="0" w:line="174" w:lineRule="exact"/>
        <w:rPr>
          <w:sz w:val="20"/>
          <w:szCs w:val="20"/>
          <w:color w:val="auto"/>
        </w:rPr>
      </w:pPr>
    </w:p>
    <w:p>
      <w:pPr>
        <w:ind w:firstLine="255"/>
        <w:spacing w:after="0" w:line="276" w:lineRule="auto"/>
        <w:rPr>
          <w:sz w:val="20"/>
          <w:szCs w:val="20"/>
          <w:color w:val="auto"/>
        </w:rPr>
      </w:pPr>
      <w:r>
        <w:rPr>
          <w:rFonts w:ascii="Arial" w:cs="Arial" w:eastAsia="Arial" w:hAnsi="Arial"/>
          <w:sz w:val="16"/>
          <w:szCs w:val="16"/>
          <w:b w:val="1"/>
          <w:bCs w:val="1"/>
          <w:color w:val="auto"/>
        </w:rPr>
        <w:t xml:space="preserve">PETER POWCHIK, M.D., </w:t>
      </w:r>
      <w:r>
        <w:rPr>
          <w:rFonts w:ascii="Arial" w:cs="Arial" w:eastAsia="Arial" w:hAnsi="Arial"/>
          <w:sz w:val="16"/>
          <w:szCs w:val="16"/>
          <w:color w:val="auto"/>
        </w:rPr>
        <w:t>55, has been Senior Vice President, Clinical Development since joining the Company in October 2006. Prior to joining the Company, Dr.</w:t>
      </w:r>
      <w:r>
        <w:rPr>
          <w:rFonts w:ascii="Arial" w:cs="Arial" w:eastAsia="Arial" w:hAnsi="Arial"/>
          <w:sz w:val="16"/>
          <w:szCs w:val="16"/>
          <w:b w:val="1"/>
          <w:bCs w:val="1"/>
          <w:color w:val="auto"/>
        </w:rPr>
        <w:t xml:space="preserve"> </w:t>
      </w:r>
      <w:r>
        <w:rPr>
          <w:rFonts w:ascii="Arial" w:cs="Arial" w:eastAsia="Arial" w:hAnsi="Arial"/>
          <w:sz w:val="16"/>
          <w:szCs w:val="16"/>
          <w:color w:val="auto"/>
        </w:rPr>
        <w:t>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192" w:lineRule="exact"/>
        <w:rPr>
          <w:sz w:val="20"/>
          <w:szCs w:val="20"/>
          <w:color w:val="auto"/>
        </w:rPr>
      </w:pPr>
    </w:p>
    <w:p>
      <w:pPr>
        <w:ind w:right="120" w:firstLine="255"/>
        <w:spacing w:after="0" w:line="279" w:lineRule="auto"/>
        <w:rPr>
          <w:sz w:val="20"/>
          <w:szCs w:val="20"/>
          <w:color w:val="auto"/>
        </w:rPr>
      </w:pPr>
      <w:r>
        <w:rPr>
          <w:rFonts w:ascii="Arial" w:cs="Arial" w:eastAsia="Arial" w:hAnsi="Arial"/>
          <w:sz w:val="16"/>
          <w:szCs w:val="16"/>
          <w:b w:val="1"/>
          <w:bCs w:val="1"/>
          <w:color w:val="auto"/>
        </w:rPr>
        <w:t xml:space="preserve">WILLIAM G. ROBERTS, M.D., </w:t>
      </w:r>
      <w:r>
        <w:rPr>
          <w:rFonts w:ascii="Arial" w:cs="Arial" w:eastAsia="Arial" w:hAnsi="Arial"/>
          <w:sz w:val="16"/>
          <w:szCs w:val="16"/>
          <w:color w:val="auto"/>
        </w:rPr>
        <w:t>54, has been Vice President, Regulatory Development and Medical Safety since June 2007. Prior to that date, he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Regulatory Development, a position he held since May 1999. From 1993 until joining the Company, Dr. Roberts was employed by Merck &amp; Co., Inc., a global pharmaceutical company, as an Associate Director, Gastroenterology Clinical Research and, subsequently, Director, Regulatory Affairs. He received his M.D. from the Columbia University College of Physicians &amp; Surgeons. Dr. Roberts is a son-in-law of our Chairman, Dr. Vagelos.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586" w:right="299" w:bottom="1440" w:gutter="0" w:footer="0" w:header="0"/>
        </w:sectPr>
      </w:pPr>
    </w:p>
    <w:bookmarkStart w:id="19" w:name="page20"/>
    <w:bookmarkEnd w:id="19"/>
    <w:p>
      <w:pPr>
        <w:ind w:right="40" w:firstLine="255"/>
        <w:spacing w:after="0" w:line="303" w:lineRule="auto"/>
        <w:rPr>
          <w:sz w:val="20"/>
          <w:szCs w:val="20"/>
          <w:color w:val="auto"/>
        </w:rPr>
      </w:pPr>
      <w:r>
        <w:rPr>
          <w:rFonts w:ascii="Arial" w:cs="Arial" w:eastAsia="Arial" w:hAnsi="Arial"/>
          <w:sz w:val="15"/>
          <w:szCs w:val="15"/>
          <w:b w:val="1"/>
          <w:bCs w:val="1"/>
          <w:color w:val="auto"/>
        </w:rPr>
        <w:t xml:space="preserve">NEIL STAHL, Ph.D., </w:t>
      </w:r>
      <w:r>
        <w:rPr>
          <w:rFonts w:ascii="Arial" w:cs="Arial" w:eastAsia="Arial" w:hAnsi="Arial"/>
          <w:sz w:val="15"/>
          <w:szCs w:val="15"/>
          <w:color w:val="auto"/>
        </w:rPr>
        <w:t>55, has been Senior Vice President, Research and Development Sciences since January 2007. Prior to that date, he served as Senior Vice</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Preclinical Development and Biomolecular Sciences, a position he held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74" w:lineRule="exact"/>
        <w:rPr>
          <w:sz w:val="20"/>
          <w:szCs w:val="20"/>
          <w:color w:val="auto"/>
        </w:rPr>
      </w:pPr>
    </w:p>
    <w:p>
      <w:pPr>
        <w:ind w:right="120" w:firstLine="255"/>
        <w:spacing w:after="0" w:line="289" w:lineRule="auto"/>
        <w:rPr>
          <w:sz w:val="20"/>
          <w:szCs w:val="20"/>
          <w:color w:val="auto"/>
        </w:rPr>
      </w:pPr>
      <w:r>
        <w:rPr>
          <w:rFonts w:ascii="Arial" w:cs="Arial" w:eastAsia="Arial" w:hAnsi="Arial"/>
          <w:sz w:val="15"/>
          <w:szCs w:val="15"/>
          <w:b w:val="1"/>
          <w:bCs w:val="1"/>
          <w:color w:val="auto"/>
        </w:rPr>
        <w:t xml:space="preserve">ROBERT J. TERIFAY, </w:t>
      </w:r>
      <w:r>
        <w:rPr>
          <w:rFonts w:ascii="Arial" w:cs="Arial" w:eastAsia="Arial" w:hAnsi="Arial"/>
          <w:sz w:val="15"/>
          <w:szCs w:val="15"/>
          <w:color w:val="auto"/>
        </w:rPr>
        <w:t>52, has been Senior Vice President, Commercial since joining the Company in February 2007. Prior to joining the Company, Mr. Terifay was</w:t>
      </w:r>
      <w:r>
        <w:rPr>
          <w:rFonts w:ascii="Arial" w:cs="Arial" w:eastAsia="Arial" w:hAnsi="Arial"/>
          <w:sz w:val="15"/>
          <w:szCs w:val="15"/>
          <w:b w:val="1"/>
          <w:bCs w:val="1"/>
          <w:color w:val="auto"/>
        </w:rPr>
        <w:t xml:space="preserve"> </w:t>
      </w:r>
      <w:r>
        <w:rPr>
          <w:rFonts w:ascii="Arial" w:cs="Arial" w:eastAsia="Arial" w:hAnsi="Arial"/>
          <w:sz w:val="15"/>
          <w:szCs w:val="15"/>
          <w:color w:val="auto"/>
        </w:rPr>
        <w:t>employed at several biopharmaceutical companies. From January to October 2006, Mr. Terifay served as President and Chief Operating Officer of Arginox Pharmaceuticals. Prior to his employment at Arginox, Mr. Terifay was Senior Vice President, Business Operations at Synta Pharmaceuticals from March to December</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his Master of Management degree in Marketing and Health Service Management from the J.L. Kellogg Graduate School of Management, Northwestern University.</w:t>
      </w:r>
    </w:p>
    <w:p>
      <w:pPr>
        <w:spacing w:after="0" w:line="195" w:lineRule="exact"/>
        <w:rPr>
          <w:sz w:val="20"/>
          <w:szCs w:val="20"/>
          <w:color w:val="auto"/>
        </w:rPr>
      </w:pPr>
    </w:p>
    <w:p>
      <w:pPr>
        <w:ind w:right="120" w:firstLine="255"/>
        <w:spacing w:after="0" w:line="295" w:lineRule="auto"/>
        <w:rPr>
          <w:sz w:val="20"/>
          <w:szCs w:val="20"/>
          <w:color w:val="auto"/>
        </w:rPr>
      </w:pPr>
      <w:r>
        <w:rPr>
          <w:rFonts w:ascii="Arial" w:cs="Arial" w:eastAsia="Arial" w:hAnsi="Arial"/>
          <w:sz w:val="15"/>
          <w:szCs w:val="15"/>
          <w:b w:val="1"/>
          <w:bCs w:val="1"/>
          <w:color w:val="auto"/>
        </w:rPr>
        <w:t>DANIEL P. VAN PLEW</w:t>
      </w:r>
      <w:r>
        <w:rPr>
          <w:rFonts w:ascii="Arial" w:cs="Arial" w:eastAsia="Arial" w:hAnsi="Arial"/>
          <w:sz w:val="15"/>
          <w:szCs w:val="15"/>
          <w:color w:val="auto"/>
        </w:rPr>
        <w:t>, 39, has been Senior Vice President and General Manager, Industrial Operations and Product Supply since April 2008. Prior to that date, he</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Vice President and General Manager, Industrial Operations and Product Supply since joining the Company in July 2007. From 2006 until July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OWNERSHIP OF MANAGEMENT</w:t>
      </w:r>
    </w:p>
    <w:p>
      <w:pPr>
        <w:spacing w:after="0" w:line="242" w:lineRule="exact"/>
        <w:rPr>
          <w:sz w:val="20"/>
          <w:szCs w:val="20"/>
          <w:color w:val="auto"/>
        </w:rPr>
      </w:pPr>
    </w:p>
    <w:p>
      <w:pPr>
        <w:ind w:right="460" w:firstLine="255"/>
        <w:spacing w:after="0" w:line="257" w:lineRule="auto"/>
        <w:rPr>
          <w:sz w:val="20"/>
          <w:szCs w:val="20"/>
          <w:color w:val="auto"/>
        </w:rPr>
      </w:pPr>
      <w:r>
        <w:rPr>
          <w:rFonts w:ascii="Arial" w:cs="Arial" w:eastAsia="Arial" w:hAnsi="Arial"/>
          <w:sz w:val="17"/>
          <w:szCs w:val="17"/>
          <w:color w:val="auto"/>
        </w:rPr>
        <w:t>The following table sets forth, as of April 11, 2012, the number of shares of the Company’s Class A stock and common stock beneficially owned by each of the Company’s directors, each of the Named Officers referred to below under “Executive Compensation,” and all directors and executive officers as a group, based upon information obtained from such persons, and the percentage that such shares represent of the number of shares of outstanding Class A stock and common stock, respectively.</w:t>
      </w:r>
    </w:p>
    <w:p>
      <w:pPr>
        <w:spacing w:after="0" w:line="208" w:lineRule="exact"/>
        <w:rPr>
          <w:sz w:val="20"/>
          <w:szCs w:val="20"/>
          <w:color w:val="auto"/>
        </w:rPr>
      </w:pPr>
    </w:p>
    <w:p>
      <w:pPr>
        <w:ind w:firstLine="255"/>
        <w:spacing w:after="0" w:line="290" w:lineRule="auto"/>
        <w:rPr>
          <w:sz w:val="20"/>
          <w:szCs w:val="20"/>
          <w:color w:val="auto"/>
        </w:rPr>
      </w:pPr>
      <w:r>
        <w:rPr>
          <w:rFonts w:ascii="Arial" w:cs="Arial" w:eastAsia="Arial" w:hAnsi="Arial"/>
          <w:sz w:val="15"/>
          <w:szCs w:val="15"/>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2,089,512 shares of Class A stock and 93,032,889 shares of common stock outstanding as of April 11, 2012,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11, 2012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20" w:name="page21"/>
    <w:bookmarkEnd w:id="20"/>
    <w:p>
      <w:pPr>
        <w:jc w:val="both"/>
        <w:ind w:right="80" w:firstLine="255"/>
        <w:spacing w:after="0" w:line="302" w:lineRule="auto"/>
        <w:rPr>
          <w:sz w:val="20"/>
          <w:szCs w:val="20"/>
          <w:color w:val="auto"/>
        </w:rPr>
      </w:pPr>
      <w:r>
        <w:rPr>
          <w:rFonts w:ascii="Arial" w:cs="Arial" w:eastAsia="Arial" w:hAnsi="Arial"/>
          <w:sz w:val="15"/>
          <w:szCs w:val="15"/>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sixty days after April 11, 2012 are deemed to be outstanding. Such shares are not deemed to be outstanding, however, for the purpose of computing the percentage ownership of common stock of any other person.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and Directors Security Ownership Table as of April 11, 2012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5"/>
              </w:rPr>
              <w:t>Shares of Class A Stock</w:t>
            </w:r>
          </w:p>
        </w:tc>
        <w:tc>
          <w:tcPr>
            <w:tcW w:w="176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w w:val="98"/>
              </w:rPr>
              <w:t>Shares of Common Stock</w:t>
            </w:r>
          </w:p>
        </w:tc>
      </w:tr>
      <w:tr>
        <w:trPr>
          <w:trHeight w:val="230"/>
        </w:trPr>
        <w:tc>
          <w:tcPr>
            <w:tcW w:w="28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9"/>
              </w:rPr>
              <w:t>Beneficially Owned (1)</w:t>
            </w:r>
          </w:p>
        </w:tc>
        <w:tc>
          <w:tcPr>
            <w:tcW w:w="1760" w:type="dxa"/>
            <w:vAlign w:val="bottom"/>
            <w:gridSpan w:val="3"/>
          </w:tcPr>
          <w:p>
            <w:pPr>
              <w:jc w:val="right"/>
              <w:ind w:right="179"/>
              <w:spacing w:after="0"/>
              <w:rPr>
                <w:sz w:val="20"/>
                <w:szCs w:val="20"/>
                <w:color w:val="auto"/>
              </w:rPr>
            </w:pPr>
            <w:r>
              <w:rPr>
                <w:rFonts w:ascii="Arial" w:cs="Arial" w:eastAsia="Arial" w:hAnsi="Arial"/>
                <w:sz w:val="13"/>
                <w:szCs w:val="13"/>
                <w:b w:val="1"/>
                <w:bCs w:val="1"/>
                <w:color w:val="auto"/>
              </w:rPr>
              <w:t>Beneficially Owned (1)</w:t>
            </w:r>
          </w:p>
        </w:tc>
      </w:tr>
      <w:tr>
        <w:trPr>
          <w:trHeight w:val="38"/>
        </w:trPr>
        <w:tc>
          <w:tcPr>
            <w:tcW w:w="2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184"/>
        </w:trPr>
        <w:tc>
          <w:tcPr>
            <w:tcW w:w="28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Percent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87"/>
              </w:rPr>
              <w:t>Percent</w:t>
            </w:r>
          </w:p>
        </w:tc>
      </w:tr>
      <w:tr>
        <w:trPr>
          <w:trHeight w:val="229"/>
        </w:trPr>
        <w:tc>
          <w:tcPr>
            <w:tcW w:w="7820" w:type="dxa"/>
            <w:vAlign w:val="bottom"/>
            <w:gridSpan w:val="3"/>
          </w:tcPr>
          <w:p>
            <w:pPr>
              <w:spacing w:after="0"/>
              <w:rPr>
                <w:sz w:val="20"/>
                <w:szCs w:val="20"/>
                <w:color w:val="auto"/>
              </w:rPr>
            </w:pPr>
            <w:r>
              <w:rPr>
                <w:rFonts w:ascii="Arial" w:cs="Arial" w:eastAsia="Arial" w:hAnsi="Arial"/>
                <w:sz w:val="13"/>
                <w:szCs w:val="13"/>
                <w:b w:val="1"/>
                <w:bCs w:val="1"/>
                <w:color w:val="auto"/>
              </w:rPr>
              <w:t>Name of Beneficial Owner</w:t>
            </w: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Number</w:t>
            </w: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of Class</w:t>
            </w:r>
          </w:p>
        </w:tc>
        <w:tc>
          <w:tcPr>
            <w:tcW w:w="13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9"/>
              </w:rPr>
              <w:t>Number (2)</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82"/>
              </w:rPr>
              <w:t>of Class</w:t>
            </w:r>
          </w:p>
        </w:tc>
      </w:tr>
      <w:tr>
        <w:trPr>
          <w:trHeight w:val="38"/>
        </w:trPr>
        <w:tc>
          <w:tcPr>
            <w:tcW w:w="75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2"/>
        </w:trPr>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Leonard S. Schleifer M.D., Ph.D.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7"/>
              </w:rPr>
              <w:t>1,733,065(3)</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82.9%</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3,626,148(8)</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3"/>
        </w:trPr>
        <w:tc>
          <w:tcPr>
            <w:tcW w:w="7820" w:type="dxa"/>
            <w:vAlign w:val="bottom"/>
            <w:gridSpan w:val="3"/>
          </w:tcPr>
          <w:p>
            <w:pPr>
              <w:spacing w:after="0"/>
              <w:rPr>
                <w:sz w:val="20"/>
                <w:szCs w:val="20"/>
                <w:color w:val="auto"/>
              </w:rPr>
            </w:pPr>
            <w:r>
              <w:rPr>
                <w:rFonts w:ascii="Arial" w:cs="Arial" w:eastAsia="Arial" w:hAnsi="Arial"/>
                <w:sz w:val="17"/>
                <w:szCs w:val="17"/>
                <w:color w:val="auto"/>
              </w:rPr>
              <w:t>P. Roy Vagelos, M.D.</w:t>
            </w: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3,299,439(9)</w:t>
            </w:r>
          </w:p>
        </w:tc>
        <w:tc>
          <w:tcPr>
            <w:tcW w:w="4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36"/>
        </w:trPr>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Charles A. Baker</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62,384(4)</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191,974(10)</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r>
      <w:tr>
        <w:trPr>
          <w:trHeight w:val="223"/>
        </w:trPr>
        <w:tc>
          <w:tcPr>
            <w:tcW w:w="7820" w:type="dxa"/>
            <w:vAlign w:val="bottom"/>
            <w:gridSpan w:val="3"/>
          </w:tcPr>
          <w:p>
            <w:pPr>
              <w:spacing w:after="0"/>
              <w:rPr>
                <w:sz w:val="20"/>
                <w:szCs w:val="20"/>
                <w:color w:val="auto"/>
              </w:rPr>
            </w:pPr>
            <w:r>
              <w:rPr>
                <w:rFonts w:ascii="Arial" w:cs="Arial" w:eastAsia="Arial" w:hAnsi="Arial"/>
                <w:sz w:val="17"/>
                <w:szCs w:val="17"/>
                <w:color w:val="auto"/>
              </w:rPr>
              <w:t>Michael S. Brown, M.D.</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8,387(5)</w:t>
            </w:r>
          </w:p>
        </w:tc>
        <w:tc>
          <w:tcPr>
            <w:tcW w:w="4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85,749(11)</w:t>
            </w:r>
          </w:p>
        </w:tc>
        <w:tc>
          <w:tcPr>
            <w:tcW w:w="4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36"/>
        </w:trPr>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Alfred G. Gilman, M.D., Ph.D.</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13,112</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88,112(12)</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r>
      <w:tr>
        <w:trPr>
          <w:trHeight w:val="223"/>
        </w:trPr>
        <w:tc>
          <w:tcPr>
            <w:tcW w:w="7820" w:type="dxa"/>
            <w:vAlign w:val="bottom"/>
            <w:gridSpan w:val="3"/>
          </w:tcPr>
          <w:p>
            <w:pPr>
              <w:spacing w:after="0"/>
              <w:rPr>
                <w:sz w:val="20"/>
                <w:szCs w:val="20"/>
                <w:color w:val="auto"/>
              </w:rPr>
            </w:pPr>
            <w:r>
              <w:rPr>
                <w:rFonts w:ascii="Arial" w:cs="Arial" w:eastAsia="Arial" w:hAnsi="Arial"/>
                <w:sz w:val="17"/>
                <w:szCs w:val="17"/>
                <w:color w:val="auto"/>
              </w:rPr>
              <w:t>Joseph L. Goldstein, M.D.</w:t>
            </w: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39,000</w:t>
            </w:r>
          </w:p>
        </w:tc>
        <w:tc>
          <w:tcPr>
            <w:tcW w:w="48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7"/>
                <w:szCs w:val="17"/>
                <w:color w:val="auto"/>
              </w:rPr>
              <w:t>39,000</w:t>
            </w:r>
          </w:p>
        </w:tc>
        <w:tc>
          <w:tcPr>
            <w:tcW w:w="4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36"/>
        </w:trPr>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Christine A. Poon</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13,334(13)</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r>
      <w:tr>
        <w:trPr>
          <w:trHeight w:val="223"/>
        </w:trPr>
        <w:tc>
          <w:tcPr>
            <w:tcW w:w="7820" w:type="dxa"/>
            <w:vAlign w:val="bottom"/>
            <w:gridSpan w:val="3"/>
          </w:tcPr>
          <w:p>
            <w:pPr>
              <w:spacing w:after="0"/>
              <w:rPr>
                <w:sz w:val="20"/>
                <w:szCs w:val="20"/>
                <w:color w:val="auto"/>
              </w:rPr>
            </w:pPr>
            <w:r>
              <w:rPr>
                <w:rFonts w:ascii="Arial" w:cs="Arial" w:eastAsia="Arial" w:hAnsi="Arial"/>
                <w:sz w:val="17"/>
                <w:szCs w:val="17"/>
                <w:color w:val="auto"/>
              </w:rPr>
              <w:t>Arthur F. Ryan</w:t>
            </w: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82,355(14)</w:t>
            </w:r>
          </w:p>
        </w:tc>
        <w:tc>
          <w:tcPr>
            <w:tcW w:w="4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36"/>
        </w:trPr>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Eric M. Shooter, Ph.D.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56,911(6)</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86,911(15)</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r>
      <w:tr>
        <w:trPr>
          <w:trHeight w:val="223"/>
        </w:trPr>
        <w:tc>
          <w:tcPr>
            <w:tcW w:w="7820" w:type="dxa"/>
            <w:vAlign w:val="bottom"/>
            <w:gridSpan w:val="3"/>
          </w:tcPr>
          <w:p>
            <w:pPr>
              <w:spacing w:after="0"/>
              <w:rPr>
                <w:sz w:val="20"/>
                <w:szCs w:val="20"/>
                <w:color w:val="auto"/>
              </w:rPr>
            </w:pPr>
            <w:r>
              <w:rPr>
                <w:rFonts w:ascii="Arial" w:cs="Arial" w:eastAsia="Arial" w:hAnsi="Arial"/>
                <w:sz w:val="17"/>
                <w:szCs w:val="17"/>
                <w:color w:val="auto"/>
              </w:rPr>
              <w:t>George L. Sing</w:t>
            </w: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275,772(16)</w:t>
            </w:r>
          </w:p>
        </w:tc>
        <w:tc>
          <w:tcPr>
            <w:tcW w:w="4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36"/>
        </w:trPr>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Marc Tessier-Lavigne, Ph.D.</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r>
      <w:tr>
        <w:trPr>
          <w:trHeight w:val="223"/>
        </w:trPr>
        <w:tc>
          <w:tcPr>
            <w:tcW w:w="7820" w:type="dxa"/>
            <w:vAlign w:val="bottom"/>
            <w:gridSpan w:val="3"/>
          </w:tcPr>
          <w:p>
            <w:pPr>
              <w:spacing w:after="0"/>
              <w:rPr>
                <w:sz w:val="20"/>
                <w:szCs w:val="20"/>
                <w:color w:val="auto"/>
              </w:rPr>
            </w:pPr>
            <w:r>
              <w:rPr>
                <w:rFonts w:ascii="Arial" w:cs="Arial" w:eastAsia="Arial" w:hAnsi="Arial"/>
                <w:sz w:val="17"/>
                <w:szCs w:val="17"/>
                <w:color w:val="auto"/>
              </w:rPr>
              <w:t>George D. Yancopoulos, M.D., Ph.D.</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42,750(7)</w:t>
            </w:r>
          </w:p>
        </w:tc>
        <w:tc>
          <w:tcPr>
            <w:tcW w:w="48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2,224,859(17)</w:t>
            </w:r>
          </w:p>
        </w:tc>
        <w:tc>
          <w:tcPr>
            <w:tcW w:w="4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6"/>
        </w:trPr>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Murray A. Goldberg</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297,448(18)</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r>
      <w:tr>
        <w:trPr>
          <w:trHeight w:val="223"/>
        </w:trPr>
        <w:tc>
          <w:tcPr>
            <w:tcW w:w="7820" w:type="dxa"/>
            <w:vAlign w:val="bottom"/>
            <w:gridSpan w:val="3"/>
          </w:tcPr>
          <w:p>
            <w:pPr>
              <w:spacing w:after="0"/>
              <w:rPr>
                <w:sz w:val="20"/>
                <w:szCs w:val="20"/>
                <w:color w:val="auto"/>
              </w:rPr>
            </w:pPr>
            <w:r>
              <w:rPr>
                <w:rFonts w:ascii="Arial" w:cs="Arial" w:eastAsia="Arial" w:hAnsi="Arial"/>
                <w:sz w:val="17"/>
                <w:szCs w:val="17"/>
                <w:color w:val="auto"/>
              </w:rPr>
              <w:t>Neil Stahl, Ph.D.</w:t>
            </w: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364,600(19)</w:t>
            </w:r>
          </w:p>
        </w:tc>
        <w:tc>
          <w:tcPr>
            <w:tcW w:w="4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36"/>
        </w:trPr>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Joseph J. LaRosa</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10,000(20)</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r>
      <w:tr>
        <w:trPr>
          <w:trHeight w:val="216"/>
        </w:trPr>
        <w:tc>
          <w:tcPr>
            <w:tcW w:w="7820" w:type="dxa"/>
            <w:vAlign w:val="bottom"/>
            <w:gridSpan w:val="3"/>
          </w:tcPr>
          <w:p>
            <w:pPr>
              <w:spacing w:after="0"/>
              <w:rPr>
                <w:sz w:val="20"/>
                <w:szCs w:val="20"/>
                <w:color w:val="auto"/>
              </w:rPr>
            </w:pPr>
            <w:r>
              <w:rPr>
                <w:rFonts w:ascii="Arial" w:cs="Arial" w:eastAsia="Arial" w:hAnsi="Arial"/>
                <w:sz w:val="17"/>
                <w:szCs w:val="17"/>
                <w:color w:val="auto"/>
              </w:rPr>
              <w:t>All Directors and Executive Officers as a</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2"/>
        </w:trPr>
        <w:tc>
          <w:tcPr>
            <w:tcW w:w="7820" w:type="dxa"/>
            <w:vAlign w:val="bottom"/>
            <w:gridSpan w:val="3"/>
          </w:tcPr>
          <w:p>
            <w:pPr>
              <w:spacing w:after="0"/>
              <w:rPr>
                <w:sz w:val="20"/>
                <w:szCs w:val="20"/>
                <w:color w:val="auto"/>
              </w:rPr>
            </w:pPr>
            <w:r>
              <w:rPr>
                <w:rFonts w:ascii="Arial" w:cs="Arial" w:eastAsia="Arial" w:hAnsi="Arial"/>
                <w:sz w:val="17"/>
                <w:szCs w:val="17"/>
                <w:color w:val="auto"/>
              </w:rPr>
              <w:t>Group (21 persons)</w:t>
            </w: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w w:val="84"/>
              </w:rPr>
              <w:t>1,955,609</w:t>
            </w:r>
          </w:p>
        </w:tc>
        <w:tc>
          <w:tcPr>
            <w:tcW w:w="480" w:type="dxa"/>
            <w:vAlign w:val="bottom"/>
          </w:tcPr>
          <w:p>
            <w:pPr>
              <w:jc w:val="right"/>
              <w:spacing w:after="0"/>
              <w:rPr>
                <w:sz w:val="20"/>
                <w:szCs w:val="20"/>
                <w:color w:val="auto"/>
              </w:rPr>
            </w:pPr>
            <w:r>
              <w:rPr>
                <w:rFonts w:ascii="Arial" w:cs="Arial" w:eastAsia="Arial" w:hAnsi="Arial"/>
                <w:sz w:val="17"/>
                <w:szCs w:val="17"/>
                <w:color w:val="auto"/>
                <w:w w:val="91"/>
              </w:rPr>
              <w:t>93.6%</w:t>
            </w:r>
          </w:p>
        </w:tc>
        <w:tc>
          <w:tcPr>
            <w:tcW w:w="2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11,236,876(21)</w:t>
            </w:r>
          </w:p>
        </w:tc>
        <w:tc>
          <w:tcPr>
            <w:tcW w:w="460" w:type="dxa"/>
            <w:vAlign w:val="bottom"/>
          </w:tcPr>
          <w:p>
            <w:pPr>
              <w:jc w:val="right"/>
              <w:spacing w:after="0"/>
              <w:rPr>
                <w:sz w:val="20"/>
                <w:szCs w:val="20"/>
                <w:color w:val="auto"/>
              </w:rPr>
            </w:pPr>
            <w:r>
              <w:rPr>
                <w:rFonts w:ascii="Arial" w:cs="Arial" w:eastAsia="Arial" w:hAnsi="Arial"/>
                <w:sz w:val="17"/>
                <w:szCs w:val="17"/>
                <w:color w:val="auto"/>
                <w:w w:val="91"/>
              </w:rPr>
              <w:t>11.1%</w:t>
            </w:r>
          </w:p>
        </w:tc>
      </w:tr>
      <w:tr>
        <w:trPr>
          <w:trHeight w:val="260"/>
        </w:trPr>
        <w:tc>
          <w:tcPr>
            <w:tcW w:w="7560" w:type="dxa"/>
            <w:vAlign w:val="bottom"/>
            <w:gridSpan w:val="2"/>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23"/>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7540" w:type="dxa"/>
            <w:vAlign w:val="bottom"/>
            <w:gridSpan w:val="2"/>
          </w:tcPr>
          <w:p>
            <w:pPr>
              <w:ind w:left="180"/>
              <w:spacing w:after="0"/>
              <w:rPr>
                <w:sz w:val="20"/>
                <w:szCs w:val="20"/>
                <w:color w:val="auto"/>
              </w:rPr>
            </w:pPr>
            <w:r>
              <w:rPr>
                <w:rFonts w:ascii="Arial" w:cs="Arial" w:eastAsia="Arial" w:hAnsi="Arial"/>
                <w:sz w:val="17"/>
                <w:szCs w:val="17"/>
                <w:color w:val="auto"/>
              </w:rPr>
              <w:t>Represents less than 1%</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22" w:lineRule="exact"/>
        <w:rPr>
          <w:sz w:val="20"/>
          <w:szCs w:val="20"/>
          <w:color w:val="auto"/>
        </w:rPr>
      </w:pPr>
    </w:p>
    <w:p>
      <w:pPr>
        <w:ind w:left="460" w:right="700" w:hanging="458"/>
        <w:spacing w:after="0" w:line="270"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inclusion herein of any Class A stock or common stock, as the case may be, deemed beneficially owned does not constitute an admission of beneficial ownership of those shares.</w:t>
      </w:r>
    </w:p>
    <w:p>
      <w:pPr>
        <w:spacing w:after="0" w:line="197" w:lineRule="exact"/>
        <w:rPr>
          <w:rFonts w:ascii="Arial" w:cs="Arial" w:eastAsia="Arial" w:hAnsi="Arial"/>
          <w:sz w:val="17"/>
          <w:szCs w:val="17"/>
          <w:color w:val="auto"/>
        </w:rPr>
      </w:pPr>
    </w:p>
    <w:p>
      <w:pPr>
        <w:ind w:left="460" w:right="280" w:hanging="458"/>
        <w:spacing w:after="0" w:line="427"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05" w:lineRule="exact"/>
        <w:rPr>
          <w:rFonts w:ascii="Arial" w:cs="Arial" w:eastAsia="Arial" w:hAnsi="Arial"/>
          <w:sz w:val="13"/>
          <w:szCs w:val="13"/>
          <w:color w:val="auto"/>
        </w:rPr>
      </w:pPr>
    </w:p>
    <w:p>
      <w:pPr>
        <w:ind w:left="460" w:hanging="458"/>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22,275 shares of Class A stock held in trust for the benefit of Dr. Schleifer’s son, of which Dr. Schleifer is a trustee.</w:t>
      </w:r>
    </w:p>
    <w:p>
      <w:pPr>
        <w:spacing w:after="0" w:line="238" w:lineRule="exact"/>
        <w:rPr>
          <w:rFonts w:ascii="Arial" w:cs="Arial" w:eastAsia="Arial" w:hAnsi="Arial"/>
          <w:sz w:val="17"/>
          <w:szCs w:val="17"/>
          <w:color w:val="auto"/>
        </w:rPr>
      </w:pPr>
    </w:p>
    <w:p>
      <w:pPr>
        <w:ind w:left="460" w:hanging="458"/>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shares of Class A stock are held by a limited partnership, of which Mr. Baker is a general partner.</w:t>
      </w:r>
    </w:p>
    <w:p>
      <w:pPr>
        <w:spacing w:after="0" w:line="238" w:lineRule="exact"/>
        <w:rPr>
          <w:rFonts w:ascii="Arial" w:cs="Arial" w:eastAsia="Arial" w:hAnsi="Arial"/>
          <w:sz w:val="17"/>
          <w:szCs w:val="17"/>
          <w:color w:val="auto"/>
        </w:rPr>
      </w:pPr>
    </w:p>
    <w:p>
      <w:pPr>
        <w:ind w:left="460" w:hanging="458"/>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2,700 shares of Class A stock held in trust for the benefit of Dr. Brown’s daughter, of which Dr. Brown is a trustee.</w:t>
      </w:r>
    </w:p>
    <w:p>
      <w:pPr>
        <w:spacing w:after="0" w:line="238" w:lineRule="exact"/>
        <w:rPr>
          <w:rFonts w:ascii="Arial" w:cs="Arial" w:eastAsia="Arial" w:hAnsi="Arial"/>
          <w:sz w:val="17"/>
          <w:szCs w:val="17"/>
          <w:color w:val="auto"/>
        </w:rPr>
      </w:pPr>
    </w:p>
    <w:p>
      <w:pPr>
        <w:ind w:left="460" w:hanging="458"/>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shares of Class A stock are held in trust for the benefit of Dr. Shooter’s child (the Shooter Family Trust), of which Dr. Shooter is a trustee.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ind w:left="458" w:right="60" w:hanging="458"/>
        <w:spacing w:after="0" w:line="302" w:lineRule="auto"/>
        <w:tabs>
          <w:tab w:leader="none" w:pos="458"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19,383 shares of Class A stock held in trust for the benefit of Dr. Yancopoulos’ children, of which Dr. Yancopoulos is a trustee, and excludes 205 shares of Class A stock held by Dr. Yancopoulos’ wife. Dr. Yancopoulos disclaims beneficial ownership of the shares of Class A stock held by his wife.</w:t>
      </w:r>
    </w:p>
    <w:p>
      <w:pPr>
        <w:spacing w:after="0" w:line="174" w:lineRule="exact"/>
        <w:rPr>
          <w:rFonts w:ascii="Arial" w:cs="Arial" w:eastAsia="Arial" w:hAnsi="Arial"/>
          <w:sz w:val="16"/>
          <w:szCs w:val="16"/>
          <w:color w:val="auto"/>
        </w:rPr>
      </w:pPr>
    </w:p>
    <w:p>
      <w:pPr>
        <w:ind w:left="458" w:right="80" w:hanging="458"/>
        <w:spacing w:after="0" w:line="257" w:lineRule="auto"/>
        <w:tabs>
          <w:tab w:leader="none" w:pos="45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1,416,422 shares of common stock purchasable upon the exercise of options granted pursuant to the Second Amended and Restated 2000 Long-Term Incentive Plan (or a predecessor version of the plan) which are exercisable or become so within sixty days after April 11, 2012, and 5,560 shares of common stock held in an account under the Company’s 401(k) Savings Plan. Includes 84,773 shares of common stock held in a grantor retained annuity trust for the benefit of Dr. Schleifer’s son, of which Dr. Schleifer is the trustee.</w:t>
      </w:r>
    </w:p>
    <w:p>
      <w:pPr>
        <w:spacing w:after="0" w:line="208" w:lineRule="exact"/>
        <w:rPr>
          <w:rFonts w:ascii="Arial" w:cs="Arial" w:eastAsia="Arial" w:hAnsi="Arial"/>
          <w:sz w:val="17"/>
          <w:szCs w:val="17"/>
          <w:color w:val="auto"/>
        </w:rPr>
      </w:pPr>
    </w:p>
    <w:p>
      <w:pPr>
        <w:ind w:left="458" w:hanging="458"/>
        <w:spacing w:after="0" w:line="253" w:lineRule="auto"/>
        <w:tabs>
          <w:tab w:leader="none" w:pos="45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2,343,750 shares of common stock purchasable upon exercise of options granted pursuant to the Second Amended and Restated 2000 Long-Term Incentive Plan (or a predecessor version of the plan) which are exercisable or become so within sixty days after April 11, 2012 and 2,329 shares of common stock held in an account under the Company’s 401(k) Savings Plan. Includes 165,909 shares of common stock held in a charitable lead annuity trust, and 194,222 shares of common stock held in a separate grantor retained annuity trust, of which Dr. Vagelos is the trustee. Includes 160,000 shares of common stock held in a trust for his grandchildren, of which Dr. Vagelos’ wife is the trustee. Includes 1,203 shares of common stock held in trust for his grandchildren, of which Dr. Vagelos and his wife are the trustee. Includes 33,199 shares of common stock held by the Marianthi Foundation, and 358,740 shares of common stock held by the Pindaros Foundation, both charitable foundations, of which Dr. Vagelos is a director and an officer. Dr. Vagelos disclaims beneficial ownership of the shares held by these charitable foundations.</w:t>
      </w:r>
    </w:p>
    <w:p>
      <w:pPr>
        <w:spacing w:after="0" w:line="213" w:lineRule="exact"/>
        <w:rPr>
          <w:rFonts w:ascii="Arial" w:cs="Arial" w:eastAsia="Arial" w:hAnsi="Arial"/>
          <w:sz w:val="17"/>
          <w:szCs w:val="17"/>
          <w:color w:val="auto"/>
        </w:rPr>
      </w:pPr>
    </w:p>
    <w:p>
      <w:pPr>
        <w:ind w:left="458" w:right="140" w:hanging="458"/>
        <w:spacing w:after="0" w:line="270" w:lineRule="auto"/>
        <w:tabs>
          <w:tab w:leader="none" w:pos="45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120,000 shares of common stock purchasable upon exercise of options granted pursuant to the Second Amended and Restated 2000 Long-Term Incentive Plan (or a predecessor version of the plan) which are exercisable or become so within sixty days after April 11, 2012.</w:t>
      </w:r>
    </w:p>
    <w:p>
      <w:pPr>
        <w:spacing w:after="0" w:line="197" w:lineRule="exact"/>
        <w:rPr>
          <w:rFonts w:ascii="Arial" w:cs="Arial" w:eastAsia="Arial" w:hAnsi="Arial"/>
          <w:sz w:val="17"/>
          <w:szCs w:val="17"/>
          <w:color w:val="auto"/>
        </w:rPr>
      </w:pPr>
    </w:p>
    <w:p>
      <w:pPr>
        <w:ind w:left="458" w:right="100" w:hanging="458"/>
        <w:spacing w:after="0" w:line="275" w:lineRule="auto"/>
        <w:tabs>
          <w:tab w:leader="none" w:pos="458"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45,000 shares of common stock purchasable upon exercise of options granted pursuant to the Second Amended and Restated 2000 Long-Term Incentive Plan (or a predecessor version of the plan) which are exercisable or become so within sixty days after April 11, 2012. Includes 5,000 shares of common stock held by a family charitable foundation of which Dr. Brown is a director and an officer and his wife is a director. Dr. Brown disclaims beneficial ownership of the shares held by this charitable foundation. Includes 12,700 shares of common stock held by two adult children in accounts over which Dr. Brown shares dispositive power. Dr. Brown disclaims beneficial ownership of such shares held by his children.</w:t>
      </w:r>
    </w:p>
    <w:p>
      <w:pPr>
        <w:spacing w:after="0" w:line="195" w:lineRule="exact"/>
        <w:rPr>
          <w:rFonts w:ascii="Arial" w:cs="Arial" w:eastAsia="Arial" w:hAnsi="Arial"/>
          <w:sz w:val="16"/>
          <w:szCs w:val="16"/>
          <w:color w:val="auto"/>
        </w:rPr>
      </w:pPr>
    </w:p>
    <w:p>
      <w:pPr>
        <w:ind w:left="458" w:right="220" w:hanging="458"/>
        <w:spacing w:after="0" w:line="270" w:lineRule="auto"/>
        <w:tabs>
          <w:tab w:leader="none" w:pos="45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75,000 shares of common stock purchasable upon exercise of options granted pursuant to the Second Amended and Restated 2000 Long-Term Incentive Plan (or a predecessor version of the plan) which are exercisable or become so within sixty days after April 11, 2012.</w:t>
      </w:r>
    </w:p>
    <w:p>
      <w:pPr>
        <w:spacing w:after="0" w:line="197" w:lineRule="exact"/>
        <w:rPr>
          <w:rFonts w:ascii="Arial" w:cs="Arial" w:eastAsia="Arial" w:hAnsi="Arial"/>
          <w:sz w:val="17"/>
          <w:szCs w:val="17"/>
          <w:color w:val="auto"/>
        </w:rPr>
      </w:pPr>
    </w:p>
    <w:p>
      <w:pPr>
        <w:ind w:left="458" w:right="220" w:hanging="458"/>
        <w:spacing w:after="0" w:line="270" w:lineRule="auto"/>
        <w:tabs>
          <w:tab w:leader="none" w:pos="45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13,334 shares of common stock purchasable upon exercise of options granted pursuant to the Second Amended and Restated 2000 Long-Term Incentive Plan (or a predecessor version of the plan) which are exercisable or become so within sixty days after April 11, 2012.</w:t>
      </w:r>
    </w:p>
    <w:p>
      <w:pPr>
        <w:spacing w:after="0" w:line="197" w:lineRule="exact"/>
        <w:rPr>
          <w:rFonts w:ascii="Arial" w:cs="Arial" w:eastAsia="Arial" w:hAnsi="Arial"/>
          <w:sz w:val="17"/>
          <w:szCs w:val="17"/>
          <w:color w:val="auto"/>
        </w:rPr>
      </w:pPr>
    </w:p>
    <w:p>
      <w:pPr>
        <w:ind w:left="458" w:right="220" w:hanging="458"/>
        <w:spacing w:after="0" w:line="270" w:lineRule="auto"/>
        <w:tabs>
          <w:tab w:leader="none" w:pos="45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15,000 shares of common stock purchasable upon exercise of options granted pursuant to the Second Amended and Restated 2000 Long-Term Incentive Plan (or a predecessor version of the plan) which are exercisable or become so within sixty days after April 11, 2012.</w:t>
      </w:r>
    </w:p>
    <w:p>
      <w:pPr>
        <w:spacing w:after="0" w:line="197" w:lineRule="exact"/>
        <w:rPr>
          <w:rFonts w:ascii="Arial" w:cs="Arial" w:eastAsia="Arial" w:hAnsi="Arial"/>
          <w:sz w:val="17"/>
          <w:szCs w:val="17"/>
          <w:color w:val="auto"/>
        </w:rPr>
      </w:pPr>
    </w:p>
    <w:p>
      <w:pPr>
        <w:ind w:left="458" w:right="220" w:hanging="458"/>
        <w:spacing w:after="0" w:line="270" w:lineRule="auto"/>
        <w:tabs>
          <w:tab w:leader="none" w:pos="45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25,000 shares of common stock purchasable upon exercise of options granted pursuant to the Second Amended and Restated 2000 Long-Term Incentive Plan (or a predecessor version of the plan) which are exercisable or become so within sixty days after April 11, 2012.</w:t>
      </w:r>
    </w:p>
    <w:p>
      <w:pPr>
        <w:spacing w:after="0" w:line="197" w:lineRule="exact"/>
        <w:rPr>
          <w:rFonts w:ascii="Arial" w:cs="Arial" w:eastAsia="Arial" w:hAnsi="Arial"/>
          <w:sz w:val="17"/>
          <w:szCs w:val="17"/>
          <w:color w:val="auto"/>
        </w:rPr>
      </w:pPr>
    </w:p>
    <w:p>
      <w:pPr>
        <w:jc w:val="both"/>
        <w:ind w:left="458" w:right="140" w:hanging="458"/>
        <w:spacing w:after="0" w:line="311" w:lineRule="auto"/>
        <w:tabs>
          <w:tab w:leader="none" w:pos="458"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120,000 shares of common stock purchasable upon exercise of options granted pursuant to the Second Amended and Restated 2000 Long-Term Incentive Plan (or a predecessor version of the plan) which are exercisable or become so within sixty days after April 11, 2012. Includes 3,000 shares of common stock held by Mr. Sing’s spouse and 5,000 shares of common stock held by Mr. Sing’s spouse as custodian for the benefit of their son.</w:t>
      </w:r>
    </w:p>
    <w:p>
      <w:pPr>
        <w:spacing w:after="0" w:line="170" w:lineRule="exact"/>
        <w:rPr>
          <w:rFonts w:ascii="Arial" w:cs="Arial" w:eastAsia="Arial" w:hAnsi="Arial"/>
          <w:sz w:val="15"/>
          <w:szCs w:val="15"/>
          <w:color w:val="auto"/>
        </w:rPr>
      </w:pPr>
    </w:p>
    <w:p>
      <w:pPr>
        <w:ind w:left="458" w:hanging="458"/>
        <w:spacing w:after="0" w:line="427" w:lineRule="auto"/>
        <w:tabs>
          <w:tab w:leader="none" w:pos="458"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1,310,369 shares of common stock purchasable upon exercise of options granted pursuant to the Second Amended and Restated 2000 Long-Term Incentive Plan (or a predecessor version of the plan) which are exercisable or become so within sixty days after April 11, 2012, 500,000 shares of restricted stock, all of</w:t>
      </w:r>
    </w:p>
    <w:p>
      <w:pPr>
        <w:spacing w:after="0" w:line="80" w:lineRule="exact"/>
        <w:rPr>
          <w:sz w:val="20"/>
          <w:szCs w:val="20"/>
          <w:color w:val="auto"/>
        </w:rPr>
      </w:pPr>
    </w:p>
    <w:p>
      <w:pPr>
        <w:jc w:val="center"/>
        <w:ind w:right="-57"/>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7519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78"/>
          </w:cols>
          <w:pgMar w:left="242" w:top="360" w:right="279" w:bottom="1440" w:gutter="0" w:footer="0" w:header="0"/>
        </w:sectPr>
      </w:pPr>
    </w:p>
    <w:bookmarkStart w:id="22" w:name="page23"/>
    <w:bookmarkEnd w:id="22"/>
    <w:p>
      <w:pPr>
        <w:ind w:left="460" w:right="580"/>
        <w:spacing w:after="0" w:line="302" w:lineRule="auto"/>
        <w:rPr>
          <w:sz w:val="20"/>
          <w:szCs w:val="20"/>
          <w:color w:val="auto"/>
        </w:rPr>
      </w:pPr>
      <w:r>
        <w:rPr>
          <w:rFonts w:ascii="Arial" w:cs="Arial" w:eastAsia="Arial" w:hAnsi="Arial"/>
          <w:sz w:val="16"/>
          <w:szCs w:val="16"/>
          <w:color w:val="auto"/>
        </w:rPr>
        <w:t>which vest on December 17, 2012, 166,666 shares of restricted stock granted on December 14, 2010 which vest in equal annual installments on the next two anniversaries of the date of grant, and 5,534 shares of common stock held in an account under the Company’s 401(k) Savings Plan.</w:t>
      </w:r>
    </w:p>
    <w:p>
      <w:pPr>
        <w:spacing w:after="0" w:line="174" w:lineRule="exact"/>
        <w:rPr>
          <w:sz w:val="20"/>
          <w:szCs w:val="20"/>
          <w:color w:val="auto"/>
        </w:rPr>
      </w:pPr>
    </w:p>
    <w:p>
      <w:pPr>
        <w:ind w:left="460" w:right="180" w:hanging="458"/>
        <w:spacing w:after="0" w:line="257"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204,777 shares of common stock purchasable upon exercise of options granted pursuant to the Second Amended and Restated 2000 Long-Term Incentive Plan (or a predecessor version of the plan) which are exercisable or become so within sixty days after April 11, 2012, and 20,000 shares of restricted stock granted on December 14, 2010 which vest in equal annual installments on the next two anniversaries of the date of grant and 5,560 shares of common stock held in an account under the Company’s 401(k) Savings Plan.</w:t>
      </w:r>
    </w:p>
    <w:p>
      <w:pPr>
        <w:spacing w:after="0" w:line="208" w:lineRule="exact"/>
        <w:rPr>
          <w:rFonts w:ascii="Arial" w:cs="Arial" w:eastAsia="Arial" w:hAnsi="Arial"/>
          <w:sz w:val="17"/>
          <w:szCs w:val="17"/>
          <w:color w:val="auto"/>
        </w:rPr>
      </w:pPr>
    </w:p>
    <w:p>
      <w:pPr>
        <w:ind w:left="460" w:right="80" w:hanging="458"/>
        <w:spacing w:after="0" w:line="257"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300,000 shares of common stock purchasable upon exercise of options granted pursuant to the Second Amended and Restated 2000 Long-Term Incentive Plan (or a predecessor version of the plan) which are exercisable or become so within sixty days after April 11, 2012, 33,333 shares of restricted stock granted on December 14, 2010 which vest in equal annual installments on the next two anniversaries of the date of grant, and 5,479 shares of common stock held in an account under the Company’s 401(k) Savings Plan.</w:t>
      </w:r>
    </w:p>
    <w:p>
      <w:pPr>
        <w:spacing w:after="0" w:line="208" w:lineRule="exact"/>
        <w:rPr>
          <w:rFonts w:ascii="Arial" w:cs="Arial" w:eastAsia="Arial" w:hAnsi="Arial"/>
          <w:sz w:val="17"/>
          <w:szCs w:val="17"/>
          <w:color w:val="auto"/>
        </w:rPr>
      </w:pPr>
    </w:p>
    <w:p>
      <w:pPr>
        <w:ind w:left="460" w:hanging="458"/>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a grant of 10,000 shares of restricted stock granted on September 1, 2011 which vests on the fifth anniversary of the date of grant.</w:t>
      </w:r>
    </w:p>
    <w:p>
      <w:pPr>
        <w:spacing w:after="0" w:line="238" w:lineRule="exact"/>
        <w:rPr>
          <w:rFonts w:ascii="Arial" w:cs="Arial" w:eastAsia="Arial" w:hAnsi="Arial"/>
          <w:sz w:val="17"/>
          <w:szCs w:val="17"/>
          <w:color w:val="auto"/>
        </w:rPr>
      </w:pPr>
    </w:p>
    <w:p>
      <w:pPr>
        <w:jc w:val="both"/>
        <w:ind w:left="460" w:right="40" w:hanging="458"/>
        <w:spacing w:after="0" w:line="260"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6,423,733 shares of common stock purchasable upon exercise of options granted pursuant to the Second Amended and Restated 2000 Long-Term Incentive Plan (or a predecessor version of the plan) which are exercisable or become so within sixty days after April 11, 2012, and 37,712 shares of common stock held in an account under the Company’s 401(k) Savings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42" w:lineRule="exact"/>
        <w:rPr>
          <w:sz w:val="20"/>
          <w:szCs w:val="20"/>
          <w:color w:val="auto"/>
        </w:rPr>
      </w:pPr>
    </w:p>
    <w:p>
      <w:pPr>
        <w:ind w:right="220" w:firstLine="255"/>
        <w:spacing w:after="0" w:line="260" w:lineRule="auto"/>
        <w:rPr>
          <w:sz w:val="20"/>
          <w:szCs w:val="20"/>
          <w:color w:val="auto"/>
        </w:rPr>
      </w:pPr>
      <w:r>
        <w:rPr>
          <w:rFonts w:ascii="Arial" w:cs="Arial" w:eastAsia="Arial" w:hAnsi="Arial"/>
          <w:sz w:val="17"/>
          <w:szCs w:val="17"/>
          <w:color w:val="auto"/>
        </w:rPr>
        <w:t>Based solely upon a review of reports filed pursuant to Section 16(a) of the Securities Exchange Act of 1934, as amended, the Company is not aware of any director, executive officer, or beneficial owner of more than 10% of our common stock who has not filed on a timely basis any report required by such Section 16(a) to be filed during or in respect of our fiscal year ended December 31, 2011.</w:t>
      </w:r>
    </w:p>
    <w:p>
      <w:pPr>
        <w:spacing w:after="0" w:line="177"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242" w:lineRule="exact"/>
        <w:rPr>
          <w:sz w:val="20"/>
          <w:szCs w:val="20"/>
          <w:color w:val="auto"/>
        </w:rPr>
      </w:pPr>
    </w:p>
    <w:p>
      <w:pPr>
        <w:jc w:val="both"/>
        <w:ind w:right="260" w:firstLine="255"/>
        <w:spacing w:after="0" w:line="260" w:lineRule="auto"/>
        <w:rPr>
          <w:sz w:val="20"/>
          <w:szCs w:val="20"/>
          <w:color w:val="auto"/>
        </w:rPr>
      </w:pPr>
      <w:r>
        <w:rPr>
          <w:rFonts w:ascii="Arial" w:cs="Arial" w:eastAsia="Arial" w:hAnsi="Arial"/>
          <w:sz w:val="17"/>
          <w:szCs w:val="17"/>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and a director, officer, or more than 5% holder of our voting securities has a direct or indirect interest as related person transactions.</w:t>
      </w:r>
    </w:p>
    <w:p>
      <w:pPr>
        <w:spacing w:after="0" w:line="206" w:lineRule="exact"/>
        <w:rPr>
          <w:sz w:val="20"/>
          <w:szCs w:val="20"/>
          <w:color w:val="auto"/>
        </w:rPr>
      </w:pPr>
    </w:p>
    <w:p>
      <w:pPr>
        <w:ind w:firstLine="255"/>
        <w:spacing w:after="0" w:line="257" w:lineRule="auto"/>
        <w:rPr>
          <w:sz w:val="20"/>
          <w:szCs w:val="20"/>
          <w:color w:val="auto"/>
        </w:rPr>
      </w:pPr>
      <w:r>
        <w:rPr>
          <w:rFonts w:ascii="Arial" w:cs="Arial" w:eastAsia="Arial" w:hAnsi="Arial"/>
          <w:sz w:val="17"/>
          <w:szCs w:val="17"/>
          <w:color w:val="auto"/>
        </w:rPr>
        <w:t>The board of directors determined that the members of the Audit Committee are best suited to review and approve related person transactions. Accordingly, each related person transaction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208" w:lineRule="exact"/>
        <w:rPr>
          <w:sz w:val="20"/>
          <w:szCs w:val="20"/>
          <w:color w:val="auto"/>
        </w:rPr>
      </w:pPr>
    </w:p>
    <w:p>
      <w:pPr>
        <w:ind w:right="120" w:firstLine="255"/>
        <w:spacing w:after="0" w:line="255" w:lineRule="auto"/>
        <w:rPr>
          <w:sz w:val="20"/>
          <w:szCs w:val="20"/>
          <w:color w:val="auto"/>
        </w:rPr>
      </w:pPr>
      <w:r>
        <w:rPr>
          <w:rFonts w:ascii="Arial" w:cs="Arial" w:eastAsia="Arial" w:hAnsi="Arial"/>
          <w:sz w:val="17"/>
          <w:szCs w:val="17"/>
          <w:color w:val="auto"/>
        </w:rPr>
        <w:t>When reviewing, approving, or ratifying a related person transaction, the Audit Committee will consider several factors, including the benefits to the Company, the impact of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Transactions with Related Persons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 2011, Sanofi funded $161.9 million of our antibody discovery expenses under the Amended and Restated Discovery and Preclinical Development Agreement, and</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$137.4 million of our development costs under the Amended and Restated License and Collaboration Agreement, each executed in November 2009. In addition, pursuant to</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the amended discovery agreement, in 2011 we received from Sanofi $4.8 million, with an additional $1.7 million due from Sanofi being included in our accounts receivable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2011, in reimbursement of costs incurred by us to expand our manufacturing capacity at our Rensselaer, New York facilities. A more complete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description of our antibody collaboration with Sanofi is set forth in Item 7 of our 2011 Annual Report, under the heading “Liquidity and Capital Resources—Collaborations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Sanofi—Antibodies”.</w:t>
      </w:r>
    </w:p>
    <w:p>
      <w:pPr>
        <w:spacing w:after="0" w:line="206" w:lineRule="exact"/>
        <w:rPr>
          <w:sz w:val="20"/>
          <w:szCs w:val="20"/>
          <w:color w:val="auto"/>
        </w:rPr>
      </w:pPr>
    </w:p>
    <w:p>
      <w:pPr>
        <w:ind w:right="140" w:firstLine="255"/>
        <w:spacing w:after="0" w:line="224" w:lineRule="auto"/>
        <w:rPr>
          <w:sz w:val="20"/>
          <w:szCs w:val="20"/>
          <w:color w:val="auto"/>
        </w:rPr>
      </w:pPr>
      <w:r>
        <w:rPr>
          <w:rFonts w:ascii="Arial" w:cs="Arial" w:eastAsia="Arial" w:hAnsi="Arial"/>
          <w:sz w:val="17"/>
          <w:szCs w:val="17"/>
          <w:color w:val="auto"/>
        </w:rPr>
        <w:t xml:space="preserve">In August 2008, we entered into a separate agreement with Sanofi to use our proprietary </w:t>
      </w:r>
      <w:r>
        <w:rPr>
          <w:rFonts w:ascii="Arial" w:cs="Arial" w:eastAsia="Arial" w:hAnsi="Arial"/>
          <w:sz w:val="17"/>
          <w:szCs w:val="17"/>
          <w:i w:val="1"/>
          <w:iCs w:val="1"/>
          <w:color w:val="auto"/>
        </w:rPr>
        <w:t>VelociGene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technology platform to supply Sanofi with genetically modified mammalian models of gene function and disease. The agreement provides for minimum annual order quantities for the term of the agreement, which extends through December 2012. Pursuant to this agreement, we received payments from Sanofi of $3.4 million in 2011.</w:t>
      </w:r>
    </w:p>
    <w:p>
      <w:pPr>
        <w:spacing w:after="0" w:line="200" w:lineRule="exact"/>
        <w:rPr>
          <w:sz w:val="20"/>
          <w:szCs w:val="20"/>
          <w:color w:val="auto"/>
        </w:rPr>
      </w:pPr>
    </w:p>
    <w:p>
      <w:pPr>
        <w:ind w:right="40" w:firstLine="255"/>
        <w:spacing w:after="0" w:line="205" w:lineRule="auto"/>
        <w:rPr>
          <w:sz w:val="20"/>
          <w:szCs w:val="20"/>
          <w:color w:val="auto"/>
        </w:rPr>
      </w:pPr>
      <w:r>
        <w:rPr>
          <w:rFonts w:ascii="Arial" w:cs="Arial" w:eastAsia="Arial" w:hAnsi="Arial"/>
          <w:sz w:val="17"/>
          <w:szCs w:val="17"/>
          <w:color w:val="auto"/>
        </w:rPr>
        <w:t>Sanofi also funded $16.9 million of our ZALTRAP</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(aflibercept) development costs in 2011 under the terms of a collaboration agreement entered into in September 2003, as amended, relating to our ZALTRAP</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product candidate. In addition, in 2011, we and Sanofi began sharing equally pre-launch commercialization expenses related to ZALTRAP</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 accordance with the collaboration agreement. As a result, we funded $9.3 million of Sanofi’s ZALTRAP</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pre-launch commercialization expenses in 2011. A description of the ZALTRAP</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(aflibercept) collaboration agreement is set forth in Item 7 of our 2011 Annual Report, under the heading “Liquidity and Capital Resources—Collaborations with Sanofi—ZALTRAP</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(aflibercept)”.</w:t>
      </w:r>
    </w:p>
    <w:p>
      <w:pPr>
        <w:spacing w:after="0" w:line="114" w:lineRule="exact"/>
        <w:rPr>
          <w:sz w:val="20"/>
          <w:szCs w:val="20"/>
          <w:color w:val="auto"/>
        </w:rPr>
      </w:pPr>
    </w:p>
    <w:p>
      <w:pPr>
        <w:ind w:right="280" w:firstLine="255"/>
        <w:spacing w:after="0" w:line="302" w:lineRule="auto"/>
        <w:rPr>
          <w:sz w:val="20"/>
          <w:szCs w:val="20"/>
          <w:color w:val="auto"/>
        </w:rPr>
      </w:pPr>
      <w:r>
        <w:rPr>
          <w:rFonts w:ascii="Arial" w:cs="Arial" w:eastAsia="Arial" w:hAnsi="Arial"/>
          <w:sz w:val="16"/>
          <w:szCs w:val="16"/>
          <w:color w:val="auto"/>
        </w:rPr>
        <w:t>In October 2008, we entered into an operating sublease with sanofi-aventis U.S. Inc. (a subsidiary of Sanofi) for approximately 14,100 square feet of office space in Bridgewater, New Jersey. The term of the lease expired in July 2011. In 2011, payments under this sublease totaled $109,100.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42" w:lineRule="exact"/>
        <w:rPr>
          <w:sz w:val="20"/>
          <w:szCs w:val="20"/>
          <w:color w:val="auto"/>
        </w:rPr>
      </w:pPr>
    </w:p>
    <w:p>
      <w:pPr>
        <w:ind w:right="120" w:firstLine="255"/>
        <w:spacing w:after="0" w:line="289" w:lineRule="auto"/>
        <w:rPr>
          <w:sz w:val="20"/>
          <w:szCs w:val="20"/>
          <w:color w:val="auto"/>
        </w:rPr>
      </w:pPr>
      <w:r>
        <w:rPr>
          <w:rFonts w:ascii="Arial" w:cs="Arial" w:eastAsia="Arial" w:hAnsi="Arial"/>
          <w:sz w:val="15"/>
          <w:szCs w:val="15"/>
          <w:color w:val="auto"/>
        </w:rPr>
        <w:t>Set forth below is the name and address of, and the number of shares of Class A stock and common stock beneficially owned, as of April 11, 2012,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information furnished or otherwise available to us, that the persons and entities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2,089,512 shares of Class A stock and 93,032,889 shares of common stock outstanding as of April 11, 2012, except that for the person listed who beneficially owns Class A stock, the number of shares of common stock beneficially owned by that person and the percentage ownership of common stock of such person assume the conversion on April 11, 2012 of all shares of Class A stock listed as beneficially owned by such person into common stock and also that no other shares of Class A stock beneficially owned by others are so converted.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24" w:name="page25"/>
    <w:bookmarkEnd w:id="24"/>
    <w:p>
      <w:pPr>
        <w:ind w:right="20" w:firstLine="255"/>
        <w:spacing w:after="0" w:line="338" w:lineRule="auto"/>
        <w:rPr>
          <w:sz w:val="20"/>
          <w:szCs w:val="20"/>
          <w:color w:val="auto"/>
        </w:rPr>
      </w:pPr>
      <w:r>
        <w:rPr>
          <w:rFonts w:ascii="Arial" w:cs="Arial" w:eastAsia="Arial" w:hAnsi="Arial"/>
          <w:sz w:val="15"/>
          <w:szCs w:val="15"/>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sixty days after April 11, 2012 are deemed to be outstanding.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left="504"/>
              <w:spacing w:after="0"/>
              <w:rPr>
                <w:sz w:val="20"/>
                <w:szCs w:val="20"/>
                <w:color w:val="auto"/>
              </w:rPr>
            </w:pPr>
            <w:r>
              <w:rPr>
                <w:rFonts w:ascii="Arial" w:cs="Arial" w:eastAsia="Arial" w:hAnsi="Arial"/>
                <w:sz w:val="13"/>
                <w:szCs w:val="13"/>
                <w:b w:val="1"/>
                <w:bCs w:val="1"/>
                <w:color w:val="auto"/>
                <w:w w:val="84"/>
              </w:rPr>
              <w:t>Shares of</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left="504"/>
              <w:spacing w:after="0"/>
              <w:rPr>
                <w:sz w:val="20"/>
                <w:szCs w:val="20"/>
                <w:color w:val="auto"/>
              </w:rPr>
            </w:pPr>
            <w:r>
              <w:rPr>
                <w:rFonts w:ascii="Arial" w:cs="Arial" w:eastAsia="Arial" w:hAnsi="Arial"/>
                <w:sz w:val="13"/>
                <w:szCs w:val="13"/>
                <w:b w:val="1"/>
                <w:bCs w:val="1"/>
                <w:color w:val="auto"/>
                <w:w w:val="84"/>
              </w:rPr>
              <w:t>Shares of</w:t>
            </w:r>
          </w:p>
        </w:tc>
        <w:tc>
          <w:tcPr>
            <w:tcW w:w="560" w:type="dxa"/>
            <w:vAlign w:val="bottom"/>
          </w:tcPr>
          <w:p>
            <w:pPr>
              <w:spacing w:after="0"/>
              <w:rPr>
                <w:sz w:val="14"/>
                <w:szCs w:val="14"/>
                <w:color w:val="auto"/>
              </w:rPr>
            </w:pPr>
          </w:p>
        </w:tc>
      </w:tr>
      <w:tr>
        <w:trPr>
          <w:trHeight w:val="230"/>
        </w:trPr>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5"/>
              </w:rPr>
              <w:t>Class A Stock</w:t>
            </w:r>
          </w:p>
        </w:tc>
        <w:tc>
          <w:tcPr>
            <w:tcW w:w="1400" w:type="dxa"/>
            <w:vAlign w:val="bottom"/>
            <w:gridSpan w:val="2"/>
          </w:tcPr>
          <w:p>
            <w:pPr>
              <w:jc w:val="center"/>
              <w:ind w:left="484"/>
              <w:spacing w:after="0"/>
              <w:rPr>
                <w:sz w:val="20"/>
                <w:szCs w:val="20"/>
                <w:color w:val="auto"/>
              </w:rPr>
            </w:pPr>
            <w:r>
              <w:rPr>
                <w:rFonts w:ascii="Arial" w:cs="Arial" w:eastAsia="Arial" w:hAnsi="Arial"/>
                <w:sz w:val="13"/>
                <w:szCs w:val="13"/>
                <w:b w:val="1"/>
                <w:bCs w:val="1"/>
                <w:color w:val="auto"/>
                <w:w w:val="88"/>
              </w:rPr>
              <w:t>Common Stock</w:t>
            </w:r>
          </w:p>
        </w:tc>
        <w:tc>
          <w:tcPr>
            <w:tcW w:w="560" w:type="dxa"/>
            <w:vAlign w:val="bottom"/>
          </w:tcPr>
          <w:p>
            <w:pPr>
              <w:spacing w:after="0"/>
              <w:rPr>
                <w:sz w:val="19"/>
                <w:szCs w:val="19"/>
                <w:color w:val="auto"/>
              </w:rPr>
            </w:pPr>
          </w:p>
        </w:tc>
      </w:tr>
      <w:tr>
        <w:trPr>
          <w:trHeight w:val="229"/>
        </w:trPr>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9"/>
              </w:rPr>
              <w:t>Beneficially Owned (1)</w:t>
            </w: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Beneficially Owned (1)</w:t>
            </w:r>
          </w:p>
        </w:tc>
      </w:tr>
      <w:tr>
        <w:trPr>
          <w:trHeight w:val="38"/>
        </w:trPr>
        <w:tc>
          <w:tcPr>
            <w:tcW w:w="7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4"/>
        </w:trPr>
        <w:tc>
          <w:tcPr>
            <w:tcW w:w="7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Percent of</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4"/>
              </w:rPr>
              <w:t>Percent of</w:t>
            </w:r>
          </w:p>
        </w:tc>
      </w:tr>
      <w:tr>
        <w:trPr>
          <w:trHeight w:val="229"/>
        </w:trPr>
        <w:tc>
          <w:tcPr>
            <w:tcW w:w="7260" w:type="dxa"/>
            <w:vAlign w:val="bottom"/>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26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Number</w:t>
            </w: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Class</w:t>
            </w:r>
          </w:p>
        </w:tc>
        <w:tc>
          <w:tcPr>
            <w:tcW w:w="140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Number</w:t>
            </w:r>
          </w:p>
        </w:tc>
        <w:tc>
          <w:tcPr>
            <w:tcW w:w="560" w:type="dxa"/>
            <w:vAlign w:val="bottom"/>
          </w:tcPr>
          <w:p>
            <w:pPr>
              <w:jc w:val="right"/>
              <w:ind w:right="41"/>
              <w:spacing w:after="0"/>
              <w:rPr>
                <w:sz w:val="20"/>
                <w:szCs w:val="20"/>
                <w:color w:val="auto"/>
              </w:rPr>
            </w:pPr>
            <w:r>
              <w:rPr>
                <w:rFonts w:ascii="Arial" w:cs="Arial" w:eastAsia="Arial" w:hAnsi="Arial"/>
                <w:sz w:val="13"/>
                <w:szCs w:val="13"/>
                <w:b w:val="1"/>
                <w:bCs w:val="1"/>
                <w:color w:val="auto"/>
              </w:rPr>
              <w:t>Class</w:t>
            </w:r>
          </w:p>
        </w:tc>
      </w:tr>
      <w:tr>
        <w:trPr>
          <w:trHeight w:val="38"/>
        </w:trPr>
        <w:tc>
          <w:tcPr>
            <w:tcW w:w="72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8"/>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Leonard S. Schleifer, M.D., Ph.D.</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1,733,065(2)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5"/>
              </w:rPr>
              <w:t>3,626,148(3)(4)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30"/>
        </w:trPr>
        <w:tc>
          <w:tcPr>
            <w:tcW w:w="7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777 Old Saw Mill River Road</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43"/>
        </w:trPr>
        <w:tc>
          <w:tcPr>
            <w:tcW w:w="72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Tarrytown, New York 10591</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7"/>
                <w:szCs w:val="17"/>
                <w:color w:val="auto"/>
              </w:rPr>
              <w:t>Sanofi (5)</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w w:val="86"/>
              </w:rPr>
              <w:t>15,816,953</w:t>
            </w:r>
          </w:p>
        </w:tc>
        <w:tc>
          <w:tcPr>
            <w:tcW w:w="56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229"/>
        </w:trPr>
        <w:tc>
          <w:tcPr>
            <w:tcW w:w="7260" w:type="dxa"/>
            <w:vAlign w:val="bottom"/>
          </w:tcPr>
          <w:p>
            <w:pPr>
              <w:ind w:left="300"/>
              <w:spacing w:after="0"/>
              <w:rPr>
                <w:sz w:val="20"/>
                <w:szCs w:val="20"/>
                <w:color w:val="auto"/>
              </w:rPr>
            </w:pPr>
            <w:r>
              <w:rPr>
                <w:rFonts w:ascii="Arial" w:cs="Arial" w:eastAsia="Arial" w:hAnsi="Arial"/>
                <w:sz w:val="17"/>
                <w:szCs w:val="17"/>
                <w:color w:val="auto"/>
              </w:rPr>
              <w:t>174, avenue de France</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7260" w:type="dxa"/>
            <w:vAlign w:val="bottom"/>
          </w:tcPr>
          <w:p>
            <w:pPr>
              <w:ind w:left="300"/>
              <w:spacing w:after="0"/>
              <w:rPr>
                <w:sz w:val="20"/>
                <w:szCs w:val="20"/>
                <w:color w:val="auto"/>
              </w:rPr>
            </w:pPr>
            <w:r>
              <w:rPr>
                <w:rFonts w:ascii="Arial" w:cs="Arial" w:eastAsia="Arial" w:hAnsi="Arial"/>
                <w:sz w:val="17"/>
                <w:szCs w:val="17"/>
                <w:color w:val="auto"/>
              </w:rPr>
              <w:t>75013 Paris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7260" w:type="dxa"/>
            <w:vAlign w:val="bottom"/>
          </w:tcPr>
          <w:p>
            <w:pPr>
              <w:ind w:left="300"/>
              <w:spacing w:after="0"/>
              <w:rPr>
                <w:sz w:val="20"/>
                <w:szCs w:val="20"/>
                <w:color w:val="auto"/>
              </w:rPr>
            </w:pPr>
            <w:r>
              <w:rPr>
                <w:rFonts w:ascii="Arial" w:cs="Arial" w:eastAsia="Arial" w:hAnsi="Arial"/>
                <w:sz w:val="17"/>
                <w:szCs w:val="17"/>
                <w:color w:val="auto"/>
              </w:rPr>
              <w:t>France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Capital World Investors (6)</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86"/>
              </w:rPr>
              <w:t>10,730,563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29"/>
        </w:trPr>
        <w:tc>
          <w:tcPr>
            <w:tcW w:w="7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333 South Hope Street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43"/>
        </w:trPr>
        <w:tc>
          <w:tcPr>
            <w:tcW w:w="7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 Angeles, California 90071</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7"/>
                <w:szCs w:val="17"/>
                <w:color w:val="auto"/>
              </w:rPr>
              <w:t>FMR LLC (7)</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w w:val="86"/>
              </w:rPr>
              <w:t>10,369,630</w:t>
            </w:r>
          </w:p>
        </w:tc>
        <w:tc>
          <w:tcPr>
            <w:tcW w:w="5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30"/>
        </w:trPr>
        <w:tc>
          <w:tcPr>
            <w:tcW w:w="7260" w:type="dxa"/>
            <w:vAlign w:val="bottom"/>
          </w:tcPr>
          <w:p>
            <w:pPr>
              <w:ind w:left="300"/>
              <w:spacing w:after="0"/>
              <w:rPr>
                <w:sz w:val="20"/>
                <w:szCs w:val="20"/>
                <w:color w:val="auto"/>
              </w:rPr>
            </w:pPr>
            <w:r>
              <w:rPr>
                <w:rFonts w:ascii="Arial" w:cs="Arial" w:eastAsia="Arial" w:hAnsi="Arial"/>
                <w:sz w:val="17"/>
                <w:szCs w:val="17"/>
                <w:color w:val="auto"/>
              </w:rPr>
              <w:t>82 Devonshire Street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7260" w:type="dxa"/>
            <w:vAlign w:val="bottom"/>
          </w:tcPr>
          <w:p>
            <w:pPr>
              <w:ind w:left="300"/>
              <w:spacing w:after="0"/>
              <w:rPr>
                <w:sz w:val="20"/>
                <w:szCs w:val="20"/>
                <w:color w:val="auto"/>
              </w:rPr>
            </w:pPr>
            <w:r>
              <w:rPr>
                <w:rFonts w:ascii="Arial" w:cs="Arial" w:eastAsia="Arial" w:hAnsi="Arial"/>
                <w:sz w:val="17"/>
                <w:szCs w:val="17"/>
                <w:color w:val="auto"/>
              </w:rPr>
              <w:t>Boston, Massachusetts 02109</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T. Rowe Price Associates, Inc. (8)</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97"/>
              </w:rPr>
              <w:t>8,064,740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30"/>
        </w:trPr>
        <w:tc>
          <w:tcPr>
            <w:tcW w:w="7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100 E. Pratt Street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43"/>
        </w:trPr>
        <w:tc>
          <w:tcPr>
            <w:tcW w:w="7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Baltimore, Maryland 21202</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7"/>
                <w:szCs w:val="17"/>
                <w:color w:val="auto"/>
              </w:rPr>
              <w:t>Wellington Management Company, LLP (9)</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w w:val="97"/>
              </w:rPr>
              <w:t>6,032,859</w:t>
            </w:r>
          </w:p>
        </w:tc>
        <w:tc>
          <w:tcPr>
            <w:tcW w:w="5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30"/>
        </w:trPr>
        <w:tc>
          <w:tcPr>
            <w:tcW w:w="7260" w:type="dxa"/>
            <w:vAlign w:val="bottom"/>
          </w:tcPr>
          <w:p>
            <w:pPr>
              <w:ind w:left="300"/>
              <w:spacing w:after="0"/>
              <w:rPr>
                <w:sz w:val="20"/>
                <w:szCs w:val="20"/>
                <w:color w:val="auto"/>
              </w:rPr>
            </w:pPr>
            <w:r>
              <w:rPr>
                <w:rFonts w:ascii="Arial" w:cs="Arial" w:eastAsia="Arial" w:hAnsi="Arial"/>
                <w:sz w:val="17"/>
                <w:szCs w:val="17"/>
                <w:color w:val="auto"/>
              </w:rPr>
              <w:t>280 Congress Street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7260" w:type="dxa"/>
            <w:vAlign w:val="bottom"/>
          </w:tcPr>
          <w:p>
            <w:pPr>
              <w:ind w:left="300"/>
              <w:spacing w:after="0"/>
              <w:rPr>
                <w:sz w:val="20"/>
                <w:szCs w:val="20"/>
                <w:color w:val="auto"/>
              </w:rPr>
            </w:pPr>
            <w:r>
              <w:rPr>
                <w:rFonts w:ascii="Arial" w:cs="Arial" w:eastAsia="Arial" w:hAnsi="Arial"/>
                <w:sz w:val="17"/>
                <w:szCs w:val="17"/>
                <w:color w:val="auto"/>
              </w:rPr>
              <w:t>Boston, Massachusetts 02210</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Artisan Investment Corporation (10)</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97"/>
              </w:rPr>
              <w:t>5,462,630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30"/>
        </w:trPr>
        <w:tc>
          <w:tcPr>
            <w:tcW w:w="7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875 East Wisconsin Avenue, Suite 800</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43"/>
        </w:trPr>
        <w:tc>
          <w:tcPr>
            <w:tcW w:w="7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Milwaukee, Wisconsin, 53202</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7"/>
                <w:szCs w:val="17"/>
                <w:color w:val="auto"/>
              </w:rPr>
              <w:t>BlackRock, Inc. (11)</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w w:val="97"/>
              </w:rPr>
              <w:t>4,760,914</w:t>
            </w:r>
          </w:p>
        </w:tc>
        <w:tc>
          <w:tcPr>
            <w:tcW w:w="5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9"/>
        </w:trPr>
        <w:tc>
          <w:tcPr>
            <w:tcW w:w="7260" w:type="dxa"/>
            <w:vAlign w:val="bottom"/>
          </w:tcPr>
          <w:p>
            <w:pPr>
              <w:ind w:left="300"/>
              <w:spacing w:after="0"/>
              <w:rPr>
                <w:sz w:val="20"/>
                <w:szCs w:val="20"/>
                <w:color w:val="auto"/>
              </w:rPr>
            </w:pPr>
            <w:r>
              <w:rPr>
                <w:rFonts w:ascii="Arial" w:cs="Arial" w:eastAsia="Arial" w:hAnsi="Arial"/>
                <w:sz w:val="17"/>
                <w:szCs w:val="17"/>
                <w:color w:val="auto"/>
              </w:rPr>
              <w:t>40 East 52nd Street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New York, New York 10022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34" w:lineRule="exact"/>
        <w:rPr>
          <w:sz w:val="20"/>
          <w:szCs w:val="20"/>
          <w:color w:val="auto"/>
        </w:rPr>
      </w:pPr>
    </w:p>
    <w:p>
      <w:pPr>
        <w:ind w:left="460" w:right="400" w:hanging="458"/>
        <w:spacing w:after="0" w:line="311"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inclusion herein of any Class A stock or common stock, as the case may be, deemed beneficially owned does not constitute an admission of beneficial ownership of those shares. To our knowledge, except as set forth in these footnotes, the persons named in the table have sole voting and investment power with respect to all shares of common stock and Class A stock shown as beneficially owned by them, subject to community property laws where applicable.</w:t>
      </w:r>
    </w:p>
    <w:p>
      <w:pPr>
        <w:spacing w:after="0" w:line="170" w:lineRule="exact"/>
        <w:rPr>
          <w:rFonts w:ascii="Arial" w:cs="Arial" w:eastAsia="Arial" w:hAnsi="Arial"/>
          <w:sz w:val="15"/>
          <w:szCs w:val="15"/>
          <w:color w:val="auto"/>
        </w:rPr>
      </w:pPr>
    </w:p>
    <w:p>
      <w:pPr>
        <w:ind w:left="460" w:hanging="458"/>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22,275 shares of Class A stock held in trust for the benefit of Dr. Schleifer’s son, of which Dr. Schleifer is a trustee.</w:t>
      </w:r>
    </w:p>
    <w:p>
      <w:pPr>
        <w:spacing w:after="0" w:line="238" w:lineRule="exact"/>
        <w:rPr>
          <w:rFonts w:ascii="Arial" w:cs="Arial" w:eastAsia="Arial" w:hAnsi="Arial"/>
          <w:sz w:val="17"/>
          <w:szCs w:val="17"/>
          <w:color w:val="auto"/>
        </w:rPr>
      </w:pPr>
    </w:p>
    <w:p>
      <w:pPr>
        <w:ind w:left="460" w:hanging="458"/>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Dr. Schleifer, the number of shares of common stock includes the number of shares of Class A stock listed as beneficially owned by him.</w:t>
      </w:r>
    </w:p>
    <w:p>
      <w:pPr>
        <w:spacing w:after="0" w:line="238" w:lineRule="exact"/>
        <w:rPr>
          <w:rFonts w:ascii="Arial" w:cs="Arial" w:eastAsia="Arial" w:hAnsi="Arial"/>
          <w:sz w:val="17"/>
          <w:szCs w:val="17"/>
          <w:color w:val="auto"/>
        </w:rPr>
      </w:pPr>
    </w:p>
    <w:p>
      <w:pPr>
        <w:ind w:left="460" w:right="40" w:hanging="458"/>
        <w:spacing w:after="0" w:line="257"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1,416,422 shares of common stock purchasable upon exercise of options granted pursuant to the Second Amended and Restated 2000 Long-Term Incentive Plan (or a predecessor version of the plan) which are exercisable or become so within sixty days after April 11, 2012 and 5,560 shares of common stock held in an account under the Company’s 401(k) Savings Plan. Includes 84,773 shares of common stock held in a grantor retained annuity trust for the benefit of Dr. Schleifer’s son, of which Dr. Schleifer is the trustee.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ind w:left="460" w:right="20" w:hanging="458"/>
        <w:spacing w:after="0" w:line="27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figures are based on a Form 4 filed by sanofi-aventis (now, Sanofi) and certain related entities with the SEC on October 14, 2010. According to this Form 4, 13,017,401 shares are held directly by sanofi-aventis Amerique du Nord and 2,799,552 of the shares are held directly by Aventis Pharmaceuticals Inc. Sanofi-aventis Amerique du Nord is indirectly wholly owned by sanofi-aventis. Aventis Pharmaceuticals Inc., an indirectly wholly owned subsidiary of sanofi-aventis, is controlled by sanofi-aventis Amerique du Nord. Pursuant to an Investor Agreement, dated as of December 20, 2007, by and among sanofi-aventis, sanofi-aventis Amerique du Nord, sanofi-aventis US LLC, Aventis Pharmaceuticals Inc., and the Company, and amended as of November 10, 2009, sanofi-aventis Amerique du Nord and Aventis Pharmaceuticals Inc. have agreed to vote their respective shares of Company common stock, subject to specified exceptions, either (a) in accordance with the recommendation of the Company’s Board of Directors or (b) in the same proportion as the votes cast by all other holders of all classes of voting securities of the Company. Accordingly, the group formed as a result of such shareholders entering into the Investor Agreement is deemed to have acquired beneficial ownership of such securities.</w:t>
      </w:r>
    </w:p>
    <w:p>
      <w:pPr>
        <w:spacing w:after="0" w:line="202" w:lineRule="exact"/>
        <w:rPr>
          <w:rFonts w:ascii="Arial" w:cs="Arial" w:eastAsia="Arial" w:hAnsi="Arial"/>
          <w:sz w:val="16"/>
          <w:szCs w:val="16"/>
          <w:color w:val="auto"/>
        </w:rPr>
      </w:pPr>
    </w:p>
    <w:p>
      <w:pPr>
        <w:ind w:left="460" w:right="460" w:hanging="458"/>
        <w:spacing w:after="0" w:line="427" w:lineRule="auto"/>
        <w:tabs>
          <w:tab w:leader="none" w:pos="4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Based on an amendment to a Schedule 13G filed by Capital World Investors on February 10, 2012. According to this amended Schedule 13G, Capital World Investors, a division of Capital Research and Management Company, has sole voting and dispositive power as to all the shares reported as beneficially owned.</w:t>
      </w:r>
    </w:p>
    <w:p>
      <w:pPr>
        <w:spacing w:after="0" w:line="105" w:lineRule="exact"/>
        <w:rPr>
          <w:rFonts w:ascii="Arial" w:cs="Arial" w:eastAsia="Arial" w:hAnsi="Arial"/>
          <w:sz w:val="13"/>
          <w:szCs w:val="13"/>
          <w:color w:val="auto"/>
        </w:rPr>
      </w:pPr>
    </w:p>
    <w:p>
      <w:pPr>
        <w:ind w:left="460" w:hanging="458"/>
        <w:spacing w:after="0" w:line="28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an amendment to a Schedule 13G filed by FMR LLC on February 14, 2012. According to this amended Schedule 13G, Fidelity Management &amp; Research Company (“Fidelity”), a wholly-owned subsidiary of FMR LLC and a registered investment adviser, beneficially owns 10,175,659 shares of common stock in its capacity as investment adviser to various investment companies. The ownership of one investment company, Fidelity Growth Company Fund, amounted to 8,873,928 shares of common stock. FMR LLC, through its control of Fidelity, and Edward C. Johnson 3d, Chairman of FMR LLC, each has sole power to dispose of all the shares reported as beneficially owned. Members of the family of Edward C. Johnson 3d, through the ownership of voting shares and the execution of shareholders’ agreements, may be deemed to form a controlling group with respect to FMR LLC. Neither FMR LLC nor Edward C. Johnson 3d has the sole power to vote or direct the voting of the shares owned directly by Fidelity, which voting power is exercised by Fidelity under written guidelines established by the Boards of Trustees of its individual funds. Strategic Advisers, Inc., a wholly-owned subsidiary of FMR LLC and registered investment adviser, beneficially owns 141 shares in its capacity as an investment adviser to individuals. FMR LLC’s beneficial ownership includes these shares. Pyramis Global Advisors, LLC (“PGALLC”), an indirect wholly-owned subsidiary of FMR LLC and a registered investment adviser, beneficially owns 2,030 shares in its capacity as an investment adviser to institutional accounts, non-US mutual funds, or investment companies owning such shares. FMR LLC, through its control of PGALLC, and Edward C. Johnson 3d, each has sole power to dispose of and sole power to vote or direct the voting of all the shares reported as beneficially owned by PGALLC. Pyramis Global Advisors Trust Company (“PGATC”), an indirect wholly-owned subsidiary of FMR LLC and a bank, beneficially owns 191,800 shares in its capacity as an investment adviser to institutional accounts owning such shares. FMR LLC, through its control of PGATC, and Edward C. Johnson 3d, each has sole power to dispose of all the shares reported as beneficially owned by PGATC and sole power to vote or direct the voting of 184,360 shares.</w:t>
      </w:r>
    </w:p>
    <w:p>
      <w:pPr>
        <w:spacing w:after="0" w:line="195" w:lineRule="exact"/>
        <w:rPr>
          <w:rFonts w:ascii="Arial" w:cs="Arial" w:eastAsia="Arial" w:hAnsi="Arial"/>
          <w:sz w:val="15"/>
          <w:szCs w:val="15"/>
          <w:color w:val="auto"/>
        </w:rPr>
      </w:pPr>
    </w:p>
    <w:p>
      <w:pPr>
        <w:ind w:left="460" w:right="80" w:hanging="458"/>
        <w:spacing w:after="0" w:line="27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an amendment to a Schedule 13G filed by T. Rowe Price Associates, Inc. (“Price Associates”) on February 13, 2012. According to this amended Schedule 13G, Price Associates has sole power to vote 1,654,490 of the shares reported as beneficially owned and sole power to dispose of all shares reported as beneficially owned. According to information provided by Price Associates to the Company, these securities are owned by various individual and institutional investors for which Price Associates serves as investment advisor with power to direct investments and/or sole power to vote the securities. For purposes of the reporting requirements of the Securities Exchange Act of 1934, Price Associates is deemed to be beneficial owner of such securities; however, Price Associates expressly disclaims that it is, in fact, the beneficial owner of such securities.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6" w:name="page27"/>
    <w:bookmarkEnd w:id="26"/>
    <w:p>
      <w:pPr>
        <w:ind w:left="540" w:right="140" w:hanging="538"/>
        <w:spacing w:after="0" w:line="311"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an amendment to a Schedule 13G filed by Wellington Management Company, LLP (“Wellington”) on February 14, 2012. According to this amended Schedule 13G, Wellington may, in its capacity as investment adviser, be deemed to beneficially own 6,032,859 shares held of record by its clients, and has shared power to vote or to direct the vote of 3,369,215 shares and shared power to dispose or to direct the disposition of 6,032,859 shares.</w:t>
      </w:r>
    </w:p>
    <w:p>
      <w:pPr>
        <w:spacing w:after="0" w:line="170" w:lineRule="exact"/>
        <w:rPr>
          <w:rFonts w:ascii="Arial" w:cs="Arial" w:eastAsia="Arial" w:hAnsi="Arial"/>
          <w:sz w:val="15"/>
          <w:szCs w:val="15"/>
          <w:color w:val="auto"/>
        </w:rPr>
      </w:pPr>
    </w:p>
    <w:p>
      <w:pPr>
        <w:ind w:left="540" w:right="140" w:hanging="538"/>
        <w:spacing w:after="0" w:line="294"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a Schedule 13G filed on February 7, 2012. According to this Schedule 13G, Artisan Partners Holdings LP (“Artisan Holdings”), Artisan Investment Corporation (“Artisan Corp.”), Artisan Partners Limited Partnership (“Artisan Partners”), Artisan Investments GP LLC (“Artisan Investments”), ZFIC, Inc. (“ZFIC”), Andrew A. Ziegler, and Carlene M. Ziegler beneficially own 5,462,630 shares, have shared power to vote 5,186,243 shares, and have shared power to dispose of 5,462,630 shares. Artisan Partners is a registered investment adviser; Artisan Holdings is the sole limited partner of Artisan Partners; Artisan Investments is the general partner of Artisan Partners; Artisan Corp. is the general partner of Artisan Holdings; ZFIC is the sole stockholder of Artisan Corp.; and Mr. Ziegler and Ms. Ziegler are the principal stockholders of ZFIC. These shares have been acquired on behalf of discretionary clients of Artisan Partners.</w:t>
      </w:r>
    </w:p>
    <w:p>
      <w:pPr>
        <w:spacing w:after="0" w:line="185" w:lineRule="exact"/>
        <w:rPr>
          <w:rFonts w:ascii="Arial" w:cs="Arial" w:eastAsia="Arial" w:hAnsi="Arial"/>
          <w:sz w:val="15"/>
          <w:szCs w:val="15"/>
          <w:color w:val="auto"/>
        </w:rPr>
      </w:pPr>
    </w:p>
    <w:p>
      <w:pPr>
        <w:ind w:left="540" w:hanging="538"/>
        <w:spacing w:after="0" w:line="270"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an amendment to Schedule 13G filed by BlackRock, Inc. on February 8, 2012. According to this amended Schedule 13G, BlackRock, Inc. has sole voting and dispositive power as to all the shares reported as beneficially owned.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2: RATIFICATION OF APPOINTMENT OF INDEPENDENT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REGISTERED PUBLIC ACCOUNTING FIRM</w:t>
      </w:r>
    </w:p>
    <w:p>
      <w:pPr>
        <w:spacing w:after="0" w:line="230" w:lineRule="exact"/>
        <w:rPr>
          <w:sz w:val="20"/>
          <w:szCs w:val="20"/>
          <w:color w:val="auto"/>
        </w:rPr>
      </w:pPr>
    </w:p>
    <w:p>
      <w:pPr>
        <w:ind w:right="680" w:firstLine="255"/>
        <w:spacing w:after="0" w:line="338" w:lineRule="auto"/>
        <w:rPr>
          <w:sz w:val="20"/>
          <w:szCs w:val="20"/>
          <w:color w:val="auto"/>
        </w:rPr>
      </w:pPr>
      <w:r>
        <w:rPr>
          <w:rFonts w:ascii="Arial" w:cs="Arial" w:eastAsia="Arial" w:hAnsi="Arial"/>
          <w:sz w:val="15"/>
          <w:szCs w:val="15"/>
          <w:color w:val="auto"/>
        </w:rPr>
        <w:t>The Audit Committee has appointed PricewaterhouseCoopers LLP as the Company’s independent registered public accounting firm for the fiscal year ending December 31, 2012. PricewaterhouseCoopers LLP (or its predecessor) has audited the Company’s financial statements for the past twenty-three years.</w:t>
      </w:r>
    </w:p>
    <w:p>
      <w:pPr>
        <w:spacing w:after="0" w:line="152" w:lineRule="exact"/>
        <w:rPr>
          <w:sz w:val="20"/>
          <w:szCs w:val="20"/>
          <w:color w:val="auto"/>
        </w:rPr>
      </w:pPr>
    </w:p>
    <w:p>
      <w:pPr>
        <w:ind w:right="20" w:firstLine="255"/>
        <w:spacing w:after="0" w:line="275"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2012 be submitted for ratification by the shareholders at the Annual Meeting. Shareholder ratification of the appointment of PricewaterhouseCoopers LLP as the Company’s independent registered public accounting firm for fiscal year 2012 is not required by the Company’s By-Laws or otherwise, but is being pursued as a matter of good corporate practice. If shareholders do not ratify the appointment of PricewaterhouseCoopers LLP as the Company’s independent registered public accounting firm for fiscal year 2012, the board of directors will consider the matter at its next meeting.</w:t>
      </w:r>
    </w:p>
    <w:p>
      <w:pPr>
        <w:spacing w:after="0" w:line="195" w:lineRule="exact"/>
        <w:rPr>
          <w:sz w:val="20"/>
          <w:szCs w:val="20"/>
          <w:color w:val="auto"/>
        </w:rPr>
      </w:pPr>
    </w:p>
    <w:p>
      <w:pPr>
        <w:ind w:right="200" w:firstLine="255"/>
        <w:spacing w:after="0" w:line="302" w:lineRule="auto"/>
        <w:rPr>
          <w:sz w:val="20"/>
          <w:szCs w:val="20"/>
          <w:color w:val="auto"/>
        </w:rPr>
      </w:pPr>
      <w:r>
        <w:rPr>
          <w:rFonts w:ascii="Arial" w:cs="Arial" w:eastAsia="Arial" w:hAnsi="Arial"/>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Fees Paid to Independent Registered Public Accounting Firm</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2011 and 2010 were: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00" w:type="dxa"/>
            <w:vAlign w:val="bottom"/>
          </w:tcPr>
          <w:p>
            <w:pPr>
              <w:spacing w:after="0"/>
              <w:rPr>
                <w:sz w:val="14"/>
                <w:szCs w:val="14"/>
                <w:color w:val="auto"/>
              </w:rPr>
            </w:pPr>
          </w:p>
        </w:tc>
        <w:tc>
          <w:tcPr>
            <w:tcW w:w="760" w:type="dxa"/>
            <w:vAlign w:val="bottom"/>
          </w:tcPr>
          <w:p>
            <w:pPr>
              <w:jc w:val="right"/>
              <w:ind w:right="181"/>
              <w:spacing w:after="0"/>
              <w:rPr>
                <w:sz w:val="20"/>
                <w:szCs w:val="20"/>
                <w:color w:val="auto"/>
              </w:rPr>
            </w:pPr>
            <w:r>
              <w:rPr>
                <w:rFonts w:ascii="Arial" w:cs="Arial" w:eastAsia="Arial" w:hAnsi="Arial"/>
                <w:sz w:val="13"/>
                <w:szCs w:val="13"/>
                <w:b w:val="1"/>
                <w:bCs w:val="1"/>
                <w:color w:val="auto"/>
              </w:rPr>
              <w:t>2011</w:t>
            </w:r>
          </w:p>
        </w:tc>
        <w:tc>
          <w:tcPr>
            <w:tcW w:w="260" w:type="dxa"/>
            <w:vAlign w:val="bottom"/>
          </w:tcPr>
          <w:p>
            <w:pPr>
              <w:spacing w:after="0"/>
              <w:rPr>
                <w:sz w:val="14"/>
                <w:szCs w:val="14"/>
                <w:color w:val="auto"/>
              </w:rPr>
            </w:pPr>
          </w:p>
        </w:tc>
        <w:tc>
          <w:tcPr>
            <w:tcW w:w="640" w:type="dxa"/>
            <w:vAlign w:val="bottom"/>
          </w:tcPr>
          <w:p>
            <w:pPr>
              <w:jc w:val="right"/>
              <w:ind w:right="121"/>
              <w:spacing w:after="0"/>
              <w:rPr>
                <w:sz w:val="20"/>
                <w:szCs w:val="20"/>
                <w:color w:val="auto"/>
              </w:rPr>
            </w:pPr>
            <w:r>
              <w:rPr>
                <w:rFonts w:ascii="Arial" w:cs="Arial" w:eastAsia="Arial" w:hAnsi="Arial"/>
                <w:sz w:val="13"/>
                <w:szCs w:val="13"/>
                <w:b w:val="1"/>
                <w:bCs w:val="1"/>
                <w:color w:val="auto"/>
              </w:rPr>
              <w:t>2010</w:t>
            </w:r>
          </w:p>
        </w:tc>
      </w:tr>
      <w:tr>
        <w:trPr>
          <w:trHeight w:val="39"/>
        </w:trPr>
        <w:tc>
          <w:tcPr>
            <w:tcW w:w="92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2"/>
        </w:trPr>
        <w:tc>
          <w:tcPr>
            <w:tcW w:w="9200" w:type="dxa"/>
            <w:vAlign w:val="bottom"/>
            <w:shd w:val="clear" w:color="auto" w:fill="CCEEFF"/>
          </w:tcPr>
          <w:p>
            <w:pPr>
              <w:spacing w:after="0"/>
              <w:rPr>
                <w:sz w:val="20"/>
                <w:szCs w:val="20"/>
                <w:color w:val="auto"/>
              </w:rPr>
            </w:pPr>
            <w:r>
              <w:rPr>
                <w:rFonts w:ascii="Arial" w:cs="Arial" w:eastAsia="Arial" w:hAnsi="Arial"/>
                <w:sz w:val="17"/>
                <w:szCs w:val="17"/>
                <w:color w:val="auto"/>
              </w:rPr>
              <w:t>Audit Fees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6"/>
              </w:rPr>
              <w:t>$1,107,337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$852,165</w:t>
            </w:r>
          </w:p>
        </w:tc>
      </w:tr>
      <w:tr>
        <w:trPr>
          <w:trHeight w:val="223"/>
        </w:trPr>
        <w:tc>
          <w:tcPr>
            <w:tcW w:w="9200" w:type="dxa"/>
            <w:vAlign w:val="bottom"/>
          </w:tcPr>
          <w:p>
            <w:pPr>
              <w:spacing w:after="0"/>
              <w:rPr>
                <w:sz w:val="20"/>
                <w:szCs w:val="20"/>
                <w:color w:val="auto"/>
              </w:rPr>
            </w:pPr>
            <w:r>
              <w:rPr>
                <w:rFonts w:ascii="Arial" w:cs="Arial" w:eastAsia="Arial" w:hAnsi="Arial"/>
                <w:sz w:val="17"/>
                <w:szCs w:val="17"/>
                <w:color w:val="auto"/>
              </w:rPr>
              <w:t>Audit Related Fees</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36,000</w:t>
            </w:r>
          </w:p>
        </w:tc>
        <w:tc>
          <w:tcPr>
            <w:tcW w:w="640" w:type="dxa"/>
            <w:vAlign w:val="bottom"/>
          </w:tcPr>
          <w:p>
            <w:pPr>
              <w:jc w:val="right"/>
              <w:spacing w:after="0"/>
              <w:rPr>
                <w:sz w:val="20"/>
                <w:szCs w:val="20"/>
                <w:color w:val="auto"/>
              </w:rPr>
            </w:pPr>
            <w:r>
              <w:rPr>
                <w:rFonts w:ascii="Arial" w:cs="Arial" w:eastAsia="Arial" w:hAnsi="Arial"/>
                <w:sz w:val="17"/>
                <w:szCs w:val="17"/>
                <w:color w:val="auto"/>
              </w:rPr>
              <w:t>35,000</w:t>
            </w:r>
          </w:p>
        </w:tc>
      </w:tr>
      <w:tr>
        <w:trPr>
          <w:trHeight w:val="230"/>
        </w:trPr>
        <w:tc>
          <w:tcPr>
            <w:tcW w:w="9200" w:type="dxa"/>
            <w:vAlign w:val="bottom"/>
            <w:shd w:val="clear" w:color="auto" w:fill="CCEEFF"/>
          </w:tcPr>
          <w:p>
            <w:pPr>
              <w:spacing w:after="0"/>
              <w:rPr>
                <w:sz w:val="20"/>
                <w:szCs w:val="20"/>
                <w:color w:val="auto"/>
              </w:rPr>
            </w:pPr>
            <w:r>
              <w:rPr>
                <w:rFonts w:ascii="Arial" w:cs="Arial" w:eastAsia="Arial" w:hAnsi="Arial"/>
                <w:sz w:val="17"/>
                <w:szCs w:val="17"/>
                <w:color w:val="auto"/>
              </w:rPr>
              <w:t>All Other Fees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2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35"/>
        </w:trPr>
        <w:tc>
          <w:tcPr>
            <w:tcW w:w="9200" w:type="dxa"/>
            <w:vAlign w:val="bottom"/>
          </w:tcPr>
          <w:p>
            <w:pPr>
              <w:spacing w:after="0"/>
              <w:rPr>
                <w:sz w:val="20"/>
                <w:szCs w:val="20"/>
                <w:color w:val="auto"/>
              </w:rPr>
            </w:pPr>
            <w:r>
              <w:rPr>
                <w:rFonts w:ascii="Arial" w:cs="Arial" w:eastAsia="Arial" w:hAnsi="Arial"/>
                <w:sz w:val="17"/>
                <w:szCs w:val="17"/>
                <w:color w:val="auto"/>
              </w:rPr>
              <w:t>Total Fees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$1,145,137</w:t>
            </w:r>
          </w:p>
        </w:tc>
        <w:tc>
          <w:tcPr>
            <w:tcW w:w="2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$888,665</w:t>
            </w:r>
          </w:p>
        </w:tc>
      </w:tr>
    </w:tbl>
    <w:p>
      <w:pPr>
        <w:spacing w:after="0" w:line="200" w:lineRule="exact"/>
        <w:rPr>
          <w:sz w:val="20"/>
          <w:szCs w:val="20"/>
          <w:color w:val="auto"/>
        </w:rPr>
      </w:pPr>
    </w:p>
    <w:p>
      <w:pPr>
        <w:spacing w:after="0" w:line="250" w:lineRule="exact"/>
        <w:rPr>
          <w:sz w:val="20"/>
          <w:szCs w:val="20"/>
          <w:color w:val="auto"/>
        </w:rPr>
      </w:pPr>
    </w:p>
    <w:p>
      <w:pPr>
        <w:ind w:right="120" w:firstLine="255"/>
        <w:spacing w:after="0" w:line="257"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Audit fees in 2011 and 2010 were primarily for professional services rendered for the audit of the Company’s financial statements for the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attestation services required under Section 404 of the Sarbanes-Oxley Act of 2002, technical accounting consultations related to the annual audit, reviews of the Company’s quarterly financial statements included in its Form 10-Q filings. In addition, audit fees in 2011 included professional services rendered in connection with the Company’s offering of convertible senior notes in October 2011.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27" w:name="page28"/>
    <w:bookmarkEnd w:id="27"/>
    <w:p>
      <w:pPr>
        <w:ind w:left="260"/>
        <w:spacing w:after="0"/>
        <w:tabs>
          <w:tab w:leader="none" w:pos="1660" w:val="left"/>
        </w:tabs>
        <w:rPr>
          <w:sz w:val="20"/>
          <w:szCs w:val="20"/>
          <w:color w:val="auto"/>
        </w:rPr>
      </w:pPr>
      <w:r>
        <w:rPr>
          <w:rFonts w:ascii="Arial" w:cs="Arial" w:eastAsia="Arial" w:hAnsi="Arial"/>
          <w:sz w:val="17"/>
          <w:szCs w:val="17"/>
          <w:i w:val="1"/>
          <w:iCs w:val="1"/>
          <w:color w:val="auto"/>
        </w:rPr>
        <w:t>Audit Related Fees</w:t>
      </w:r>
      <w:r>
        <w:rPr>
          <w:sz w:val="20"/>
          <w:szCs w:val="20"/>
          <w:color w:val="auto"/>
        </w:rPr>
        <w:tab/>
      </w:r>
      <w:r>
        <w:rPr>
          <w:rFonts w:ascii="Arial" w:cs="Arial" w:eastAsia="Arial" w:hAnsi="Arial"/>
          <w:sz w:val="15"/>
          <w:szCs w:val="15"/>
          <w:color w:val="auto"/>
        </w:rPr>
        <w:t>Audit Related fees in 2011 and 2010 were for annual compliance audits of the Company’s grant from the National Institutes of Health.</w:t>
      </w:r>
    </w:p>
    <w:p>
      <w:pPr>
        <w:spacing w:after="0" w:line="238" w:lineRule="exact"/>
        <w:rPr>
          <w:sz w:val="20"/>
          <w:szCs w:val="20"/>
          <w:color w:val="auto"/>
        </w:rPr>
      </w:pPr>
    </w:p>
    <w:p>
      <w:pPr>
        <w:ind w:left="260"/>
        <w:spacing w:after="0"/>
        <w:tabs>
          <w:tab w:leader="none" w:pos="1380" w:val="left"/>
        </w:tabs>
        <w:rPr>
          <w:sz w:val="20"/>
          <w:szCs w:val="20"/>
          <w:color w:val="auto"/>
        </w:rPr>
      </w:pPr>
      <w:r>
        <w:rPr>
          <w:rFonts w:ascii="Arial" w:cs="Arial" w:eastAsia="Arial" w:hAnsi="Arial"/>
          <w:sz w:val="17"/>
          <w:szCs w:val="17"/>
          <w:i w:val="1"/>
          <w:iCs w:val="1"/>
          <w:color w:val="auto"/>
        </w:rPr>
        <w:t>All Other Fees</w:t>
      </w:r>
      <w:r>
        <w:rPr>
          <w:sz w:val="20"/>
          <w:szCs w:val="20"/>
          <w:color w:val="auto"/>
        </w:rPr>
        <w:tab/>
      </w:r>
      <w:r>
        <w:rPr>
          <w:rFonts w:ascii="Arial" w:cs="Arial" w:eastAsia="Arial" w:hAnsi="Arial"/>
          <w:sz w:val="13"/>
          <w:szCs w:val="13"/>
          <w:color w:val="auto"/>
        </w:rPr>
        <w:t>All other fees in 2011 and 2010 were for an annual subscription to a technical accounting database.</w:t>
      </w:r>
    </w:p>
    <w:p>
      <w:pPr>
        <w:spacing w:after="0" w:line="238" w:lineRule="exact"/>
        <w:rPr>
          <w:sz w:val="20"/>
          <w:szCs w:val="20"/>
          <w:color w:val="auto"/>
        </w:rPr>
      </w:pPr>
    </w:p>
    <w:p>
      <w:pPr>
        <w:ind w:firstLine="255"/>
        <w:spacing w:after="0" w:line="270" w:lineRule="auto"/>
        <w:rPr>
          <w:sz w:val="20"/>
          <w:szCs w:val="20"/>
          <w:color w:val="auto"/>
        </w:rPr>
      </w:pPr>
      <w:r>
        <w:rPr>
          <w:rFonts w:ascii="Arial" w:cs="Arial" w:eastAsia="Arial" w:hAnsi="Arial"/>
          <w:sz w:val="16"/>
          <w:szCs w:val="16"/>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In 2011 and 2010,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 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 The Audit Committee did not utilize the de minimis exception to the pre-approval requirements to approve any services provided by PricewaterhouseCoopers LLP during fiscal 2011 and 2010.</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color w:val="auto"/>
        </w:rPr>
        <w:t>The Board of Directors Unanimously Recommends a Vote FOR Ratification of the Appointment of PricewaterhouseCoopers LLP as the Company’s Independent Registered Public Accounting Firm for the Fiscal Year Ending December 31, 2012.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AUDIT COMMITTEE REPORT</w:t>
      </w:r>
    </w:p>
    <w:p>
      <w:pPr>
        <w:spacing w:after="0" w:line="242" w:lineRule="exact"/>
        <w:rPr>
          <w:sz w:val="20"/>
          <w:szCs w:val="20"/>
          <w:color w:val="auto"/>
        </w:rPr>
      </w:pPr>
    </w:p>
    <w:p>
      <w:pPr>
        <w:ind w:right="80" w:firstLine="255"/>
        <w:spacing w:after="0" w:line="292" w:lineRule="auto"/>
        <w:rPr>
          <w:sz w:val="20"/>
          <w:szCs w:val="20"/>
          <w:color w:val="auto"/>
        </w:rPr>
      </w:pPr>
      <w:r>
        <w:rPr>
          <w:rFonts w:ascii="Arial" w:cs="Arial" w:eastAsia="Arial" w:hAnsi="Arial"/>
          <w:sz w:val="15"/>
          <w:szCs w:val="15"/>
          <w:color w:val="auto"/>
        </w:rPr>
        <w:t xml:space="preserve">We have reviewed the audited financial statements of the Company for the year ended December 31, 2011,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Statement on Auditing Standards No. 61, as amended (AICPA, </w:t>
      </w:r>
      <w:r>
        <w:rPr>
          <w:rFonts w:ascii="Arial" w:cs="Arial" w:eastAsia="Arial" w:hAnsi="Arial"/>
          <w:sz w:val="15"/>
          <w:szCs w:val="15"/>
          <w:i w:val="1"/>
          <w:iCs w:val="1"/>
          <w:color w:val="auto"/>
        </w:rPr>
        <w:t>Professional Standards</w:t>
      </w:r>
      <w:r>
        <w:rPr>
          <w:rFonts w:ascii="Arial" w:cs="Arial" w:eastAsia="Arial" w:hAnsi="Arial"/>
          <w:sz w:val="15"/>
          <w:szCs w:val="15"/>
          <w:color w:val="auto"/>
        </w:rPr>
        <w:t>, Vol. 1., AU§ 380), as adopted by the Public Company Accounting Oversight Board (the “PCAOB”) in Rule 3200T,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189" w:lineRule="exact"/>
        <w:rPr>
          <w:sz w:val="20"/>
          <w:szCs w:val="20"/>
          <w:color w:val="auto"/>
        </w:rPr>
      </w:pPr>
    </w:p>
    <w:p>
      <w:pPr>
        <w:ind w:right="200" w:firstLine="255"/>
        <w:spacing w:after="0" w:line="338" w:lineRule="auto"/>
        <w:rPr>
          <w:sz w:val="20"/>
          <w:szCs w:val="20"/>
          <w:color w:val="auto"/>
        </w:rPr>
      </w:pPr>
      <w:r>
        <w:rPr>
          <w:rFonts w:ascii="Arial" w:cs="Arial" w:eastAsia="Arial" w:hAnsi="Arial"/>
          <w:sz w:val="15"/>
          <w:szCs w:val="15"/>
          <w:color w:val="auto"/>
        </w:rPr>
        <w:t>Based on the foregoing discussions and review, the Audit Committee recommended to the board of directors that the audited financial statements of the Company for the year ended December 31, 2011 be included in the Company’s Annual Report on Form 10-K for filing with the Securities and Exchange Commission.</w:t>
      </w:r>
    </w:p>
    <w:p>
      <w:pPr>
        <w:spacing w:after="0" w:line="152" w:lineRule="exact"/>
        <w:rPr>
          <w:sz w:val="20"/>
          <w:szCs w:val="20"/>
          <w:color w:val="auto"/>
        </w:rPr>
      </w:pPr>
    </w:p>
    <w:p>
      <w:pPr>
        <w:ind w:right="140" w:firstLine="255"/>
        <w:spacing w:after="0" w:line="302"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2012. This appointment was based on a variety of factors, including PricewaterhouseCoopers LLP’s competence in the fields of accounting and auditing.</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Audit Committee</w:t>
      </w: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 Chairman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Arthur F. Ryan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Executive Summary</w:t>
      </w:r>
    </w:p>
    <w:p>
      <w:pPr>
        <w:spacing w:after="0" w:line="242" w:lineRule="exact"/>
        <w:rPr>
          <w:sz w:val="20"/>
          <w:szCs w:val="20"/>
          <w:color w:val="auto"/>
        </w:rPr>
      </w:pPr>
    </w:p>
    <w:p>
      <w:pPr>
        <w:ind w:right="40" w:firstLine="255"/>
        <w:spacing w:after="0" w:line="230" w:lineRule="auto"/>
        <w:rPr>
          <w:sz w:val="20"/>
          <w:szCs w:val="20"/>
          <w:color w:val="auto"/>
        </w:rPr>
      </w:pPr>
      <w:r>
        <w:rPr>
          <w:rFonts w:ascii="Arial" w:cs="Arial" w:eastAsia="Arial" w:hAnsi="Arial"/>
          <w:sz w:val="17"/>
          <w:szCs w:val="17"/>
          <w:color w:val="auto"/>
        </w:rPr>
        <w:t>The Compensation Committee determined that we substantially exceeded our goals for 2011 and made outstanding progress in critical matters including preclinical, clinical and new product development, drug discovery, and commercialization of EYLEA</w:t>
      </w:r>
      <w:r>
        <w:rPr>
          <w:rFonts w:ascii="Arial" w:cs="Arial" w:eastAsia="Arial" w:hAnsi="Arial"/>
          <w:sz w:val="27"/>
          <w:szCs w:val="27"/>
          <w:color w:val="auto"/>
          <w:vertAlign w:val="superscript"/>
        </w:rPr>
        <w:t>®</w:t>
      </w:r>
      <w:r>
        <w:rPr>
          <w:rFonts w:ascii="Arial" w:cs="Arial" w:eastAsia="Arial" w:hAnsi="Arial"/>
          <w:sz w:val="17"/>
          <w:szCs w:val="17"/>
          <w:color w:val="auto"/>
        </w:rPr>
        <w:t>. These successes have created significant value for our shareholders. We have a very strong executive team and in order to foster future success of the Company we reward our executives in a manner that reinforces our strong pay-for-performance philosophy and entrepreneurial culture.</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Overview of Executive Compensation Process</w:t>
      </w:r>
    </w:p>
    <w:p>
      <w:pPr>
        <w:spacing w:after="0" w:line="242" w:lineRule="exact"/>
        <w:rPr>
          <w:sz w:val="20"/>
          <w:szCs w:val="20"/>
          <w:color w:val="auto"/>
        </w:rPr>
      </w:pPr>
    </w:p>
    <w:p>
      <w:pPr>
        <w:ind w:right="40" w:firstLine="255"/>
        <w:spacing w:after="0" w:line="273" w:lineRule="auto"/>
        <w:rPr>
          <w:sz w:val="20"/>
          <w:szCs w:val="20"/>
          <w:color w:val="auto"/>
        </w:rPr>
      </w:pPr>
      <w:r>
        <w:rPr>
          <w:rFonts w:ascii="Arial" w:cs="Arial" w:eastAsia="Arial" w:hAnsi="Arial"/>
          <w:sz w:val="16"/>
          <w:szCs w:val="16"/>
          <w:color w:val="auto"/>
        </w:rPr>
        <w:t xml:space="preserve">The Compensation Committee of the board of directors is responsible for overseeing the Company’s general compensation philosophy and programs. The Compensation Committee evaluates the performance of our Chief Executive Officer, Chief Scientific Officer, Chief Financial Officer, and the other executive officers included in the Summary Compensation Table on page 35 (all of whom are referred to as the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“Company” page.</w:t>
      </w:r>
    </w:p>
    <w:p>
      <w:pPr>
        <w:spacing w:after="0" w:line="198" w:lineRule="exact"/>
        <w:rPr>
          <w:sz w:val="20"/>
          <w:szCs w:val="20"/>
          <w:color w:val="auto"/>
        </w:rPr>
      </w:pPr>
    </w:p>
    <w:p>
      <w:pPr>
        <w:ind w:right="300" w:firstLine="255"/>
        <w:spacing w:after="0" w:line="254" w:lineRule="auto"/>
        <w:rPr>
          <w:sz w:val="20"/>
          <w:szCs w:val="20"/>
          <w:color w:val="auto"/>
        </w:rPr>
      </w:pPr>
      <w:r>
        <w:rPr>
          <w:rFonts w:ascii="Arial" w:cs="Arial" w:eastAsia="Arial" w:hAnsi="Arial"/>
          <w:sz w:val="17"/>
          <w:szCs w:val="17"/>
          <w:color w:val="auto"/>
        </w:rPr>
        <w:t>Our senior management plays a significant role in the overall executive compensation process. Appropriate members of our senior management provide their assessment of the performance of other officers, including the Named Officers (other than our Chief Executive Officer). They also recommend, for Compensation Committee approval, salary, bonus, and stock option grant budgets for non-officers and make specific recommendations for salary increases, bonuses, and equity award grants for officers, including the Named Officers (other than our Chief Executive Officer). Our Chief Executive Officer’s performance is evaluated directly by the Compensation Committee based on our overall corporate performance against annual goals that are reviewed by the board of directors at the beginning of each year, as discussed in more detail below.</w:t>
      </w:r>
    </w:p>
    <w:p>
      <w:pPr>
        <w:spacing w:after="0" w:line="212" w:lineRule="exact"/>
        <w:rPr>
          <w:sz w:val="20"/>
          <w:szCs w:val="20"/>
          <w:color w:val="auto"/>
        </w:rPr>
      </w:pPr>
    </w:p>
    <w:p>
      <w:pPr>
        <w:ind w:right="60" w:firstLine="255"/>
        <w:spacing w:after="0" w:line="290" w:lineRule="auto"/>
        <w:rPr>
          <w:sz w:val="20"/>
          <w:szCs w:val="20"/>
          <w:color w:val="auto"/>
        </w:rPr>
      </w:pPr>
      <w:r>
        <w:rPr>
          <w:rFonts w:ascii="Arial" w:cs="Arial" w:eastAsia="Arial" w:hAnsi="Arial"/>
          <w:sz w:val="15"/>
          <w:szCs w:val="15"/>
          <w:color w:val="auto"/>
        </w:rPr>
        <w:t>The Compensation Committee has the sole authority to retain, at our expense, one or more third-party compensation consultants to assist the Compensation Committee in performing its responsibilities and to terminate the services of the consultant if the Compensation Committee deems it appropriate. In 2011, the Compensation Committee utilized the services of Frederic W. Cook &amp; Co., Inc. to assist it in fulfilling its responsibilities. Frederic W. Cook &amp; Co., Inc. was retained exclusively by the Compensation Committee and neither Frederic W. Cook &amp; Co., Inc. nor its affiliates have been retained by management to perform any work for the Company other than projects performed at the direction of the Compensation Committee. The Compensation Committee’s consultant reviews management recommendations on compensation plans, budgets, and strategies and advises the Compensation Committee on regulations and trends in executive compensation nationally and specifically in the pharmaceutical and biopharmaceutical industries. The Compensation Committee’s consultant benchmarks compensation for our Chief Executive Officer and other senior executives (using the Peer Group described below) and reviews senior management’s compensation recommendations for other officers, including the other Named Officers, and provides general advice to the Compensation Committee on compensation matters.</w:t>
      </w:r>
    </w:p>
    <w:p>
      <w:pPr>
        <w:spacing w:after="0" w:line="190" w:lineRule="exact"/>
        <w:rPr>
          <w:sz w:val="20"/>
          <w:szCs w:val="20"/>
          <w:color w:val="auto"/>
        </w:rPr>
      </w:pPr>
    </w:p>
    <w:p>
      <w:pPr>
        <w:ind w:firstLine="255"/>
        <w:spacing w:after="0" w:line="271" w:lineRule="auto"/>
        <w:rPr>
          <w:sz w:val="20"/>
          <w:szCs w:val="20"/>
          <w:color w:val="auto"/>
        </w:rPr>
      </w:pPr>
      <w:r>
        <w:rPr>
          <w:rFonts w:ascii="Arial" w:cs="Arial" w:eastAsia="Arial" w:hAnsi="Arial"/>
          <w:sz w:val="16"/>
          <w:szCs w:val="16"/>
          <w:color w:val="auto"/>
        </w:rPr>
        <w:t>Annual salaries for the following year and year-end bonuses and stock option awards or other year-end equity awards for all employees are determined in December of each year based on Company and individual performance, as well as other factors, including compensation trends in the biotechnology industry and among our benchmark peers. The 2011 salaries and 2010 year-end bonuses and stock option awards for our Named Officers (other than our Senior Vice President, General Counsel and Secretary who joined the Company in September 2011) were established by the Compensation Committee in December 2010. In December 2011, the Compensation Committee reviewed the performance of each of the Named Officers and presented its recommendations for 2012 salaries and 2011 year-end bonuses and equity awards for the Named Officers to the non-employee members of the board of directors for concurrence. With respect to our Chief Executive Officer, this process is formalized in the charter of the Compensation Committee, which specifies that the Compensation Committee is to annually present the proposed annual compensation of the Chief Executive Officer to the non-employee members of the board of directors for approval.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29" w:name="page30"/>
    <w:bookmarkEnd w:id="29"/>
    <w:p>
      <w:pPr>
        <w:ind w:left="260"/>
        <w:spacing w:after="0"/>
        <w:rPr>
          <w:sz w:val="20"/>
          <w:szCs w:val="20"/>
          <w:color w:val="auto"/>
        </w:rPr>
      </w:pPr>
      <w:r>
        <w:rPr>
          <w:rFonts w:ascii="Arial" w:cs="Arial" w:eastAsia="Arial" w:hAnsi="Arial"/>
          <w:sz w:val="17"/>
          <w:szCs w:val="17"/>
          <w:b w:val="1"/>
          <w:bCs w:val="1"/>
          <w:color w:val="auto"/>
        </w:rPr>
        <w:t>Peer Group</w:t>
      </w:r>
    </w:p>
    <w:p>
      <w:pPr>
        <w:spacing w:after="0" w:line="242" w:lineRule="exact"/>
        <w:rPr>
          <w:sz w:val="20"/>
          <w:szCs w:val="20"/>
          <w:color w:val="auto"/>
        </w:rPr>
      </w:pPr>
    </w:p>
    <w:p>
      <w:pPr>
        <w:ind w:right="20" w:firstLine="255"/>
        <w:spacing w:after="0" w:line="291" w:lineRule="auto"/>
        <w:rPr>
          <w:sz w:val="20"/>
          <w:szCs w:val="20"/>
          <w:color w:val="auto"/>
        </w:rPr>
      </w:pPr>
      <w:r>
        <w:rPr>
          <w:rFonts w:ascii="Arial" w:cs="Arial" w:eastAsia="Arial" w:hAnsi="Arial"/>
          <w:sz w:val="15"/>
          <w:szCs w:val="15"/>
          <w:color w:val="auto"/>
        </w:rPr>
        <w:t>The Compensation Committee has directed that we benchmark compensation for our Chief Executive Officer, Chief Scientific Officer, and other senior executives against a relevant peer group of companies (the “Peer Group”). For 2011, the Peer Group included the following biopharmaceutical companies: Alkermes plc, Alexion Pharmaceuticals, Inc., Amylin Pharmaceuticals, Inc., Biogen Idec Inc., BioMarin Pharmaceutical Inc., Celgene Corporation, Dendreon Corporation, Endo Pharmaceuticals Holdings, Inc., Exelixis, Inc., Human Genome Sciences, Inc., Intermune, Inc., Onyx Pharmaceuticals, Inc., Seattle Genetics, Inc., Theravance, Inc., United Therapeutics Corporation, and Vertex Pharmaceuticals, Inc. The companies in the Peer Group were selected by the Compensation Committee, with the assistance of Frederic W. Cook &amp; Co., Inc., based on factors including, but not limited to, market capitalization, geographic location, number of employees, therapeutic focus, research and development expenditures, stage of development, and whether the company has revenue from approved pharmaceutical products. The Compensation Committee, with the assistance of its compensation consultant, periodically reassesses the composition of the companies within the Peer Group and makes changes as appropriate.</w:t>
      </w:r>
    </w:p>
    <w:p>
      <w:pPr>
        <w:spacing w:after="0" w:line="188" w:lineRule="exact"/>
        <w:rPr>
          <w:sz w:val="20"/>
          <w:szCs w:val="20"/>
          <w:color w:val="auto"/>
        </w:rPr>
      </w:pPr>
    </w:p>
    <w:p>
      <w:pPr>
        <w:ind w:right="80" w:firstLine="255"/>
        <w:spacing w:after="0" w:line="294" w:lineRule="auto"/>
        <w:rPr>
          <w:sz w:val="20"/>
          <w:szCs w:val="20"/>
          <w:color w:val="auto"/>
        </w:rPr>
      </w:pPr>
      <w:r>
        <w:rPr>
          <w:rFonts w:ascii="Arial" w:cs="Arial" w:eastAsia="Arial" w:hAnsi="Arial"/>
          <w:sz w:val="15"/>
          <w:szCs w:val="15"/>
          <w:color w:val="auto"/>
        </w:rPr>
        <w:t>The Compensation Committee’s compensation consultant used data from publicly filed proxy statements of the companies in the Peer Group to benchmark each element of compensation of our Named Officers against their peers in the Peer Group. In addition, management and the Compensation Committee reviewed compensation data for biotechnology companies from the Radford Global Life Sciences Survey and the Mercer SIRS Life Sciences Survey to benchmark total compensation paid to our Named Officers. For reference purposes, the Compensation Committee compares each executive’s total annual compensation in relation to the median and the 75th percentile for total compensation, using the Peer Group and biotechnology and pharmaceutical industry survey data, while taking into account various factors such as the executive’s performance and experience and the unique characteristics of the individual’s position.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42" w:lineRule="exact"/>
        <w:rPr>
          <w:sz w:val="20"/>
          <w:szCs w:val="20"/>
          <w:color w:val="auto"/>
        </w:rPr>
      </w:pPr>
    </w:p>
    <w:p>
      <w:pPr>
        <w:ind w:firstLine="255"/>
        <w:spacing w:after="0" w:line="278" w:lineRule="auto"/>
        <w:rPr>
          <w:sz w:val="20"/>
          <w:szCs w:val="20"/>
          <w:color w:val="auto"/>
        </w:rPr>
      </w:pPr>
      <w:r>
        <w:rPr>
          <w:rFonts w:ascii="Arial" w:cs="Arial" w:eastAsia="Arial" w:hAnsi="Arial"/>
          <w:sz w:val="16"/>
          <w:szCs w:val="16"/>
          <w:color w:val="auto"/>
        </w:rPr>
        <w:t>Our executive compensation program is designed to attract, motivate, and retain highly qualified and talented managers who share the Company’s entrepreneurial culture and vision and to align their interests with those of our shareholders. A substantial portion of executive compensation is linked to both individual and corporate performance. While this is true throughout the organization, the Compensation Committee believes that it is particularly important to determine compensation for our Chief Executive Officer and Chief Scientific Officer based largely on the overall performance of the Company.</w:t>
      </w:r>
    </w:p>
    <w:p>
      <w:pPr>
        <w:spacing w:after="0" w:line="193" w:lineRule="exact"/>
        <w:rPr>
          <w:sz w:val="20"/>
          <w:szCs w:val="20"/>
          <w:color w:val="auto"/>
        </w:rPr>
      </w:pPr>
    </w:p>
    <w:p>
      <w:pPr>
        <w:ind w:right="120" w:firstLine="255"/>
        <w:spacing w:after="0" w:line="255" w:lineRule="auto"/>
        <w:rPr>
          <w:sz w:val="20"/>
          <w:szCs w:val="20"/>
          <w:color w:val="auto"/>
        </w:rPr>
      </w:pPr>
      <w:r>
        <w:rPr>
          <w:rFonts w:ascii="Arial" w:cs="Arial" w:eastAsia="Arial" w:hAnsi="Arial"/>
          <w:sz w:val="17"/>
          <w:szCs w:val="17"/>
          <w:color w:val="auto"/>
        </w:rPr>
        <w:t>In 2011, we continued to utilize performance vesting stock options for our senior officers to further tie long-term compensation to overall Company performance. Our performance vesting stock options have vesting criteria based on the accomplishment of milestones for our products and product candidates during the subsequent three years. These stock options, which are described below under “Elements of Executive Compensation – Stock Options,” either will not vest at all, or will vest at incrementally higher levels based on the performance of the Company’s products and development pipeline over the next three years as measured at the end of the third calendar year following the date of grant.</w:t>
      </w:r>
    </w:p>
    <w:p>
      <w:pPr>
        <w:spacing w:after="0" w:line="211" w:lineRule="exact"/>
        <w:rPr>
          <w:sz w:val="20"/>
          <w:szCs w:val="20"/>
          <w:color w:val="auto"/>
        </w:rPr>
      </w:pPr>
    </w:p>
    <w:p>
      <w:pPr>
        <w:ind w:firstLine="255"/>
        <w:spacing w:after="0" w:line="269" w:lineRule="auto"/>
        <w:rPr>
          <w:sz w:val="20"/>
          <w:szCs w:val="20"/>
          <w:color w:val="auto"/>
        </w:rPr>
      </w:pPr>
      <w:r>
        <w:rPr>
          <w:rFonts w:ascii="Arial" w:cs="Arial" w:eastAsia="Arial" w:hAnsi="Arial"/>
          <w:sz w:val="16"/>
          <w:szCs w:val="16"/>
          <w:color w:val="auto"/>
        </w:rPr>
        <w:t>The Compensation Committee believes that accountability and total compensation potential should generally increase with position and responsibility. The Compensation Committee also believes that the potential for the variable component of cash compensation should increase with position and responsibility. Consistent with this view, individuals with greater responsibility and ability to influence our achievement of corporate goals and strategic initiatives generally receive higher cash compensation, but have a higher proportion of their total cash compensation represented by cash bonus the amount of which is in large part based on individual and/or corporate performance and is, therefore, at risk. Similarly, equity-based compensation is higher for persons with higher levels of responsibility, making a significant portion of their total compensation dependent on long-term stock appreciation. The Company’s compensation program has been designed to strike an appropriate balance between cash and equity compensation in light of the Company’s resources, its stage of development, and its goal of offering compensation packages that are competitive with those of companies in the Peer Group and the broader biopharmaceutical industry. In general, this approach has resulted in an emphasis on equity compensation, which the Compensation Committee believes has played a critical role in attracting, motivating, and retaining top talent whose contributions and leadership have driven the Company’s achievement of corporate and strategic goals and have led to a substantial enhancement of shareholder value. The Compensation Committee regularly reviews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86" w:right="259" w:bottom="1440" w:gutter="0" w:footer="0" w:header="0"/>
        </w:sectPr>
      </w:pPr>
    </w:p>
    <w:bookmarkStart w:id="30" w:name="page31"/>
    <w:bookmarkEnd w:id="30"/>
    <w:p>
      <w:pPr>
        <w:ind w:right="80"/>
        <w:spacing w:after="0" w:line="257" w:lineRule="auto"/>
        <w:rPr>
          <w:sz w:val="20"/>
          <w:szCs w:val="20"/>
          <w:color w:val="auto"/>
        </w:rPr>
      </w:pPr>
      <w:r>
        <w:rPr>
          <w:rFonts w:ascii="Arial" w:cs="Arial" w:eastAsia="Arial" w:hAnsi="Arial"/>
          <w:sz w:val="17"/>
          <w:szCs w:val="17"/>
          <w:color w:val="auto"/>
        </w:rPr>
        <w:t>Company’s compensation and benefits programs, including its executive compensation program and its incentive based compensation programs for commercial personnel, and believes that the Company’s programs balance risk and potential reward in a manner that is appropriate to the Company’s circumstances and in the best interests of the Company’s shareholders over the long term. The Compensation Committee believes that the Company’s compensation and benefits programs do not create risks that are reasonably likely to have a material adverse effect on the Company.</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Stock Ownership Guidelines</w:t>
      </w:r>
    </w:p>
    <w:p>
      <w:pPr>
        <w:spacing w:after="0" w:line="242" w:lineRule="exact"/>
        <w:rPr>
          <w:sz w:val="20"/>
          <w:szCs w:val="20"/>
          <w:color w:val="auto"/>
        </w:rPr>
      </w:pPr>
    </w:p>
    <w:p>
      <w:pPr>
        <w:jc w:val="both"/>
        <w:ind w:right="280" w:firstLine="255"/>
        <w:spacing w:after="0" w:line="331" w:lineRule="auto"/>
        <w:rPr>
          <w:sz w:val="20"/>
          <w:szCs w:val="20"/>
          <w:color w:val="auto"/>
        </w:rPr>
      </w:pPr>
      <w:r>
        <w:rPr>
          <w:rFonts w:ascii="Arial" w:cs="Arial" w:eastAsia="Arial" w:hAnsi="Arial"/>
          <w:sz w:val="13"/>
          <w:szCs w:val="13"/>
          <w:color w:val="auto"/>
        </w:rPr>
        <w:t>To further align the interests of senior management with the interests of shareholders and promote a long-term perspective, the board of directors has adopted stock ownership guidelines for members of senior management, including the Named Officers, and the board of directors. Pursuant to these stock ownership guidelines, these individuals are expected to meet share ownership targets that are determined based on their position and their base salary. The share ownership targets are as follows:</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Chairman of the Board and Chief Executive Officer, six times (6x) base salary; Executive Vice President, three times (3x) base salary; Senior Vice President, two times (2x) base salary; and non-employee members of the board of directors, six times (6x) the annual retainer. In light of the increased cash retainer for non-employee members of the board of directors that became effective for 2012, the board decided to require that the share ownership targets for non-employee directors be based on the new retainer amount, notwithstanding that the guidelines do not require that the target be revised when the retainer is changed. Covered individuals who do not currently meet these guidelines have five years from becoming subject to the policy to reach their target. Members of senior management who are hired or promoted, and directors who join the board of directors, after the establishment of the guidelines have five years from such date to reach their target. Shares held directly, shares held indirectly through our 401(k) Savings Plan, shares held in trust, and shares held by immediate family members residing in the same household are included in determining an individual’s share ownership. All directors and officers have either met the share ownership target or are within the five-year period for compliance.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The Role of Shareholder Advisory Votes on Executive Compensation</w:t>
      </w:r>
    </w:p>
    <w:p>
      <w:pPr>
        <w:spacing w:after="0" w:line="242" w:lineRule="exact"/>
        <w:rPr>
          <w:sz w:val="20"/>
          <w:szCs w:val="20"/>
          <w:color w:val="auto"/>
        </w:rPr>
      </w:pPr>
    </w:p>
    <w:p>
      <w:pPr>
        <w:ind w:right="20" w:firstLine="255"/>
        <w:spacing w:after="0" w:line="302" w:lineRule="auto"/>
        <w:rPr>
          <w:sz w:val="20"/>
          <w:szCs w:val="20"/>
          <w:color w:val="auto"/>
        </w:rPr>
      </w:pPr>
      <w:r>
        <w:rPr>
          <w:rFonts w:ascii="Arial" w:cs="Arial" w:eastAsia="Arial" w:hAnsi="Arial"/>
          <w:sz w:val="15"/>
          <w:szCs w:val="15"/>
          <w:color w:val="auto"/>
        </w:rPr>
        <w:t>Our shareholders are provided with an opportunity to cast an advisory vote every three years on our executive compensation program. At our annual meeting held in June 2011, a majority of the votes cast supported our advisory vote proposal on our executive compensation program. The Compensation Committee believes that by voting in favor of the board’s proposal, the shareholders affirmed their support of our approach to our executive compensation program. The Compensation Committee will continue to consider the outcome of our past and future advisory vote proposals when making future compensation decisions for the Named Officers.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Elements of Executive Compensation</w:t>
      </w:r>
    </w:p>
    <w:p>
      <w:pPr>
        <w:spacing w:after="0" w:line="242" w:lineRule="exact"/>
        <w:rPr>
          <w:sz w:val="20"/>
          <w:szCs w:val="20"/>
          <w:color w:val="auto"/>
        </w:rPr>
      </w:pPr>
    </w:p>
    <w:p>
      <w:pPr>
        <w:ind w:firstLine="255"/>
        <w:spacing w:after="0" w:line="284" w:lineRule="auto"/>
        <w:rPr>
          <w:sz w:val="20"/>
          <w:szCs w:val="20"/>
          <w:color w:val="auto"/>
        </w:rPr>
      </w:pPr>
      <w:r>
        <w:rPr>
          <w:rFonts w:ascii="Arial" w:cs="Arial" w:eastAsia="Arial" w:hAnsi="Arial"/>
          <w:sz w:val="16"/>
          <w:szCs w:val="16"/>
          <w:color w:val="auto"/>
        </w:rPr>
        <w:t>There currently are three main components to our executive compensation program: base salary, annual cash bonus, and stock options. The Compensation Committee may also grant restricted stock awards, as it did to one of the Named Officers in 2011. In addition, our Named Officers are entitled to certain perquisites and may participate in Company-wide health, disability, life insurance, and other benefit plans, as well as our 401(k) Savings Plan.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Base Salary</w:t>
      </w:r>
    </w:p>
    <w:p>
      <w:pPr>
        <w:spacing w:after="0" w:line="238" w:lineRule="exact"/>
        <w:rPr>
          <w:sz w:val="20"/>
          <w:szCs w:val="20"/>
          <w:color w:val="auto"/>
        </w:rPr>
      </w:pPr>
    </w:p>
    <w:p>
      <w:pPr>
        <w:ind w:right="20" w:firstLine="255"/>
        <w:spacing w:after="0" w:line="278" w:lineRule="auto"/>
        <w:rPr>
          <w:sz w:val="20"/>
          <w:szCs w:val="20"/>
          <w:color w:val="auto"/>
        </w:rPr>
      </w:pPr>
      <w:r>
        <w:rPr>
          <w:rFonts w:ascii="Arial" w:cs="Arial" w:eastAsia="Arial" w:hAnsi="Arial"/>
          <w:sz w:val="16"/>
          <w:szCs w:val="16"/>
          <w:color w:val="auto"/>
        </w:rPr>
        <w:t>We provide the Named Officers and other employees with base salary to compensate them for services rendered during the fiscal year and provide them with a base level of monthly income. In determining base salaries for our Named Officers, the Compensation Committee considers the executive’s scope of responsibilities, experience, annual performance, and future potential. The Compensation Committee also considers base salaries for comparable positions in our geographic region, competitive salary practices of companies in the Peer Group and the broader biopharmaceutical industry, and annual inflation levels.</w:t>
      </w:r>
    </w:p>
    <w:p>
      <w:pPr>
        <w:spacing w:after="0" w:line="193" w:lineRule="exact"/>
        <w:rPr>
          <w:sz w:val="20"/>
          <w:szCs w:val="20"/>
          <w:color w:val="auto"/>
        </w:rPr>
      </w:pPr>
    </w:p>
    <w:p>
      <w:pPr>
        <w:ind w:firstLine="255"/>
        <w:spacing w:after="0" w:line="302" w:lineRule="auto"/>
        <w:rPr>
          <w:sz w:val="20"/>
          <w:szCs w:val="20"/>
          <w:color w:val="auto"/>
        </w:rPr>
      </w:pPr>
      <w:r>
        <w:rPr>
          <w:rFonts w:ascii="Arial" w:cs="Arial" w:eastAsia="Arial" w:hAnsi="Arial"/>
          <w:sz w:val="15"/>
          <w:szCs w:val="15"/>
          <w:color w:val="auto"/>
        </w:rPr>
        <w:t>In 2011, each of the Named Officers, except Mr. LaRosa (who joined the Company in September 2011), received an increase of 3.5% of their 2010 base salary. For 2012, each of the Named Officers, except Mr. LaRosa, received an increase of 3.5% of their 2011 base salary. These salary increases were determined to be in line with relevant year-end salary increases in the biotechnology industry using the Radford survey data and were slightly lower than the average of the annual salary increases for all non-officer employees of the Company. Mr. LaRosa’s increase was 2.0% recognizing that he had recently joined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Cash Bonus</w:t>
      </w:r>
    </w:p>
    <w:p>
      <w:pPr>
        <w:spacing w:after="0" w:line="238" w:lineRule="exact"/>
        <w:rPr>
          <w:sz w:val="20"/>
          <w:szCs w:val="20"/>
          <w:color w:val="auto"/>
        </w:rPr>
      </w:pPr>
    </w:p>
    <w:p>
      <w:pPr>
        <w:ind w:right="20" w:firstLine="255"/>
        <w:spacing w:after="0" w:line="255" w:lineRule="auto"/>
        <w:rPr>
          <w:sz w:val="20"/>
          <w:szCs w:val="20"/>
          <w:color w:val="auto"/>
        </w:rPr>
      </w:pPr>
      <w:r>
        <w:rPr>
          <w:rFonts w:ascii="Arial" w:cs="Arial" w:eastAsia="Arial" w:hAnsi="Arial"/>
          <w:sz w:val="17"/>
          <w:szCs w:val="17"/>
          <w:color w:val="auto"/>
        </w:rPr>
        <w:t>It has been our practice for the past several years to offer annual cash bonus opportunities to our Named Officers. The Compensation Committee focuses exclusively on our overall corporate performance when determining the annual cash bonus for our Chief Executive Officer and Chief Scientific Officer. The cash bonuses granted to the other Named Officers are based both on overall corporate performance and their individual contributions and performances during the year. Although each Named Officer is eligible to receive an annual bonus, we historically have had no formal bonus plan and the granting of any bonus to a Named Officer is entirely at the discretion of the Compensation Committee.</w:t>
      </w:r>
    </w:p>
    <w:p>
      <w:pPr>
        <w:spacing w:after="0" w:line="211" w:lineRule="exact"/>
        <w:rPr>
          <w:sz w:val="20"/>
          <w:szCs w:val="20"/>
          <w:color w:val="auto"/>
        </w:rPr>
      </w:pPr>
    </w:p>
    <w:p>
      <w:pPr>
        <w:ind w:firstLine="255"/>
        <w:spacing w:after="0" w:line="271" w:lineRule="auto"/>
        <w:rPr>
          <w:sz w:val="20"/>
          <w:szCs w:val="20"/>
          <w:color w:val="auto"/>
        </w:rPr>
      </w:pPr>
      <w:r>
        <w:rPr>
          <w:rFonts w:ascii="Arial" w:cs="Arial" w:eastAsia="Arial" w:hAnsi="Arial"/>
          <w:sz w:val="16"/>
          <w:szCs w:val="16"/>
          <w:color w:val="auto"/>
        </w:rPr>
        <w:t>We believe that giving the Compensation Committee discretion over whether to award cash bonuses and in what amounts, rather than working from a rigid bonus formula or plan, has been beneficial given the stage of our business. However, in December 2010, the Compensation Committee established a fixed 2011 year-end bonus target for our Chief Executive Officer. The 2011 bonus target for the Chief Executive Officer was 80% of his base salary, which was recommended by the Compensation Committee’s outside consultant based on an analysis of cash bonuses paid to chief executive officers at companies in the Peer Group. The Chief Executive Officer established informal 2011 target bonuses for the other Named Officers, which were reviewed and approved by the Compensation Committee. In determining the cash bonus targets for 2011 for Mr. Goldberg, Mr. LaRosa, Dr. Stahl, and Dr. Yancopoulos, the Compensation Committee took into consideration the compensation of similarly situated executive officers at companies in the Peer Group. The 2011 bonus target for Dr. Yancopoulos was 50% of his base salary and the bonus target for Mr. Goldberg, Mr. LaRosa, and Dr. Stahl was 45% of their respective base salaries.</w:t>
      </w:r>
    </w:p>
    <w:p>
      <w:pPr>
        <w:spacing w:after="0" w:line="199" w:lineRule="exact"/>
        <w:rPr>
          <w:sz w:val="20"/>
          <w:szCs w:val="20"/>
          <w:color w:val="auto"/>
        </w:rPr>
      </w:pPr>
    </w:p>
    <w:p>
      <w:pPr>
        <w:ind w:right="220" w:firstLine="255"/>
        <w:spacing w:after="0" w:line="289" w:lineRule="auto"/>
        <w:rPr>
          <w:sz w:val="20"/>
          <w:szCs w:val="20"/>
          <w:color w:val="auto"/>
        </w:rPr>
      </w:pPr>
      <w:r>
        <w:rPr>
          <w:rFonts w:ascii="Arial" w:cs="Arial" w:eastAsia="Arial" w:hAnsi="Arial"/>
          <w:sz w:val="15"/>
          <w:szCs w:val="15"/>
          <w:color w:val="auto"/>
        </w:rPr>
        <w:t>In 2011, in addition to regular bonuses, the Compensation Committee awarded special, one-time bonuses to Dr. Schleifer and Dr. Yancopoulos in recognition of their contributions to the extraordinary accomplishments the Company achieved in 2011, including FDA approval and subsequent commercial launch in the United States of</w:t>
      </w:r>
    </w:p>
    <w:p>
      <w:pPr>
        <w:spacing w:after="0" w:line="233" w:lineRule="auto"/>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Injection for the treatment of wet age-related macular degeneration, the substantial advancement of the Company’s late-stage product candidates and new indications for marketed products and other significant accomplishments outlined below under the heading “Elements of Executive Compensation - Cash Bonus.” In December 2011, our Named Officers were awarded the following cash bonuses, which were paid in January 2012.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Bonus Target</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Personal</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Company</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(as percentage</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Performance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Performance</w:t>
            </w:r>
          </w:p>
        </w:tc>
        <w:tc>
          <w:tcPr>
            <w:tcW w:w="2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b w:val="1"/>
                <w:bCs w:val="1"/>
                <w:color w:val="auto"/>
              </w:rPr>
              <w:t>Regular</w:t>
            </w:r>
          </w:p>
        </w:tc>
        <w:tc>
          <w:tcPr>
            <w:tcW w:w="26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Special</w:t>
            </w:r>
          </w:p>
        </w:tc>
        <w:tc>
          <w:tcPr>
            <w:tcW w:w="880" w:type="dxa"/>
            <w:vAlign w:val="bottom"/>
          </w:tcPr>
          <w:p>
            <w:pPr>
              <w:jc w:val="right"/>
              <w:ind w:right="223"/>
              <w:spacing w:after="0"/>
              <w:rPr>
                <w:sz w:val="20"/>
                <w:szCs w:val="20"/>
                <w:color w:val="auto"/>
              </w:rPr>
            </w:pPr>
            <w:r>
              <w:rPr>
                <w:rFonts w:ascii="Arial" w:cs="Arial" w:eastAsia="Arial" w:hAnsi="Arial"/>
                <w:sz w:val="13"/>
                <w:szCs w:val="13"/>
                <w:b w:val="1"/>
                <w:bCs w:val="1"/>
                <w:color w:val="auto"/>
              </w:rPr>
              <w:t>Total</w:t>
            </w:r>
          </w:p>
        </w:tc>
      </w:tr>
      <w:tr>
        <w:trPr>
          <w:trHeight w:val="229"/>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Named Officer</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of base salary)</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Multiplier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Multiplier</w:t>
            </w:r>
          </w:p>
        </w:tc>
        <w:tc>
          <w:tcPr>
            <w:tcW w:w="260" w:type="dxa"/>
            <w:vAlign w:val="bottom"/>
          </w:tcPr>
          <w:p>
            <w:pPr>
              <w:spacing w:after="0"/>
              <w:rPr>
                <w:sz w:val="19"/>
                <w:szCs w:val="19"/>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Bonus ($)</w:t>
            </w:r>
          </w:p>
        </w:tc>
        <w:tc>
          <w:tcPr>
            <w:tcW w:w="2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Bonus ($)</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88"/>
              </w:rPr>
              <w:t>Cash Bonus ($)</w:t>
            </w:r>
          </w:p>
        </w:tc>
      </w:tr>
      <w:tr>
        <w:trPr>
          <w:trHeight w:val="38"/>
        </w:trPr>
        <w:tc>
          <w:tcPr>
            <w:tcW w:w="48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2"/>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Leonard S. Schleifer, M.D., Ph.D.</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80%</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2"/>
              </w:rPr>
              <w:t>n/a</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1,257,440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956,660</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2,214,100</w:t>
            </w:r>
          </w:p>
        </w:tc>
      </w:tr>
      <w:tr>
        <w:trPr>
          <w:trHeight w:val="223"/>
        </w:trPr>
        <w:tc>
          <w:tcPr>
            <w:tcW w:w="514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960" w:type="dxa"/>
            <w:vAlign w:val="bottom"/>
          </w:tcPr>
          <w:p>
            <w:pPr>
              <w:jc w:val="center"/>
              <w:spacing w:after="0"/>
              <w:rPr>
                <w:sz w:val="20"/>
                <w:szCs w:val="20"/>
                <w:color w:val="auto"/>
              </w:rPr>
            </w:pPr>
            <w:r>
              <w:rPr>
                <w:rFonts w:ascii="Arial" w:cs="Arial" w:eastAsia="Arial" w:hAnsi="Arial"/>
                <w:sz w:val="17"/>
                <w:szCs w:val="17"/>
                <w:color w:val="auto"/>
                <w:w w:val="93"/>
              </w:rPr>
              <w:t>50%</w:t>
            </w:r>
          </w:p>
        </w:tc>
        <w:tc>
          <w:tcPr>
            <w:tcW w:w="2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n/a</w:t>
            </w: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2.0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652,700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1,244,600</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7"/>
                <w:szCs w:val="17"/>
                <w:color w:val="auto"/>
              </w:rPr>
              <w:t>1,897,300</w:t>
            </w:r>
          </w:p>
        </w:tc>
      </w:tr>
      <w:tr>
        <w:trPr>
          <w:trHeight w:val="236"/>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Murray A. Goldberg</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45%</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1.5</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363,528</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363,528*</w:t>
            </w:r>
          </w:p>
        </w:tc>
      </w:tr>
      <w:tr>
        <w:trPr>
          <w:trHeight w:val="223"/>
        </w:trPr>
        <w:tc>
          <w:tcPr>
            <w:tcW w:w="5140" w:type="dxa"/>
            <w:vAlign w:val="bottom"/>
            <w:gridSpan w:val="2"/>
          </w:tcPr>
          <w:p>
            <w:pPr>
              <w:spacing w:after="0"/>
              <w:rPr>
                <w:sz w:val="20"/>
                <w:szCs w:val="20"/>
                <w:color w:val="auto"/>
              </w:rPr>
            </w:pPr>
            <w:r>
              <w:rPr>
                <w:rFonts w:ascii="Arial" w:cs="Arial" w:eastAsia="Arial" w:hAnsi="Arial"/>
                <w:sz w:val="17"/>
                <w:szCs w:val="17"/>
                <w:color w:val="auto"/>
              </w:rPr>
              <w:t>Joseph J. LaRosa**</w:t>
            </w:r>
          </w:p>
        </w:tc>
        <w:tc>
          <w:tcPr>
            <w:tcW w:w="960" w:type="dxa"/>
            <w:vAlign w:val="bottom"/>
          </w:tcPr>
          <w:p>
            <w:pPr>
              <w:jc w:val="center"/>
              <w:spacing w:after="0"/>
              <w:rPr>
                <w:sz w:val="20"/>
                <w:szCs w:val="20"/>
                <w:color w:val="auto"/>
              </w:rPr>
            </w:pPr>
            <w:r>
              <w:rPr>
                <w:rFonts w:ascii="Arial" w:cs="Arial" w:eastAsia="Arial" w:hAnsi="Arial"/>
                <w:sz w:val="17"/>
                <w:szCs w:val="17"/>
                <w:color w:val="auto"/>
                <w:w w:val="93"/>
              </w:rPr>
              <w:t>45%</w:t>
            </w:r>
          </w:p>
        </w:tc>
        <w:tc>
          <w:tcPr>
            <w:tcW w:w="2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1.0</w:t>
            </w:r>
          </w:p>
        </w:tc>
        <w:tc>
          <w:tcPr>
            <w:tcW w:w="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2.0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90,000</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90,000*</w:t>
            </w:r>
          </w:p>
        </w:tc>
      </w:tr>
      <w:tr>
        <w:trPr>
          <w:trHeight w:val="236"/>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Neil Stahl, Ph.D.</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45%</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1.5</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360,531</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360,531*</w:t>
            </w:r>
          </w:p>
        </w:tc>
      </w:tr>
      <w:tr>
        <w:trPr>
          <w:trHeight w:val="260"/>
        </w:trPr>
        <w:tc>
          <w:tcPr>
            <w:tcW w:w="4880" w:type="dxa"/>
            <w:vAlign w:val="bottom"/>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191" w:lineRule="exact"/>
        <w:rPr>
          <w:sz w:val="20"/>
          <w:szCs w:val="20"/>
          <w:color w:val="auto"/>
        </w:rPr>
      </w:pPr>
    </w:p>
    <w:p>
      <w:pPr>
        <w:ind w:left="420" w:right="480" w:hanging="418"/>
        <w:spacing w:after="0" w:line="270"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Amount based on Named Officer’s bonus target and his weighted average performance with a weight of 40% for personal performance and 60% for Company performance.</w:t>
      </w:r>
    </w:p>
    <w:p>
      <w:pPr>
        <w:spacing w:after="0" w:line="198" w:lineRule="exact"/>
        <w:rPr>
          <w:sz w:val="20"/>
          <w:szCs w:val="20"/>
          <w:color w:val="auto"/>
        </w:rPr>
      </w:pPr>
    </w:p>
    <w:p>
      <w:pPr>
        <w:ind w:left="420" w:hanging="418"/>
        <w:spacing w:after="0"/>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LaRosa joined the Company in September 2011 and was eligible for a prorated bonus and a 1.0 personal performance multiplier for 2011.</w:t>
      </w:r>
    </w:p>
    <w:p>
      <w:pPr>
        <w:spacing w:after="0" w:line="264" w:lineRule="exact"/>
        <w:rPr>
          <w:sz w:val="20"/>
          <w:szCs w:val="20"/>
          <w:color w:val="auto"/>
        </w:rPr>
      </w:pPr>
    </w:p>
    <w:p>
      <w:pPr>
        <w:ind w:right="180" w:firstLine="255"/>
        <w:spacing w:after="0" w:line="275" w:lineRule="auto"/>
        <w:rPr>
          <w:sz w:val="20"/>
          <w:szCs w:val="20"/>
          <w:color w:val="auto"/>
        </w:rPr>
      </w:pPr>
      <w:r>
        <w:rPr>
          <w:rFonts w:ascii="Arial" w:cs="Arial" w:eastAsia="Arial" w:hAnsi="Arial"/>
          <w:sz w:val="16"/>
          <w:szCs w:val="16"/>
          <w:color w:val="auto"/>
        </w:rPr>
        <w:t>The cash bonuses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Named Officer in its discretion based on the Committee’s subjective assessment of the Company’s performance relative to the general corporate goals described below and, in the case of each of Mr. Goldberg, Dr. Stahl, and Mr. LaRosa, the Named Officer’s personal performance during the year.</w:t>
      </w:r>
    </w:p>
    <w:p>
      <w:pPr>
        <w:spacing w:after="0" w:line="195" w:lineRule="exact"/>
        <w:rPr>
          <w:sz w:val="20"/>
          <w:szCs w:val="20"/>
          <w:color w:val="auto"/>
        </w:rPr>
      </w:pPr>
    </w:p>
    <w:p>
      <w:pPr>
        <w:jc w:val="both"/>
        <w:ind w:right="360" w:firstLine="255"/>
        <w:spacing w:after="0" w:line="284" w:lineRule="auto"/>
        <w:rPr>
          <w:sz w:val="20"/>
          <w:szCs w:val="20"/>
          <w:color w:val="auto"/>
        </w:rPr>
      </w:pPr>
      <w:r>
        <w:rPr>
          <w:rFonts w:ascii="Arial" w:cs="Arial" w:eastAsia="Arial" w:hAnsi="Arial"/>
          <w:sz w:val="16"/>
          <w:szCs w:val="16"/>
          <w:color w:val="auto"/>
        </w:rPr>
        <w:t>The Compensation Committee approved a personal performance multiplier of 1.5 for Mr. Goldberg and Dr. Stahl and 1.0 for Mr. LaRosa (reflecting his September 2011 start date). The personal performance component accounted for 40% of these officers’ bonuses. The Company component was based on a Company performance multiplier of 2.0 that was determined based on our overall corporate performance against 2011 goals that were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2" w:name="page33"/>
    <w:bookmarkEnd w:id="32"/>
    <w:p>
      <w:pPr>
        <w:ind w:right="100"/>
        <w:spacing w:after="0" w:line="260" w:lineRule="auto"/>
        <w:rPr>
          <w:sz w:val="20"/>
          <w:szCs w:val="20"/>
          <w:color w:val="auto"/>
        </w:rPr>
      </w:pPr>
      <w:r>
        <w:rPr>
          <w:rFonts w:ascii="Arial" w:cs="Arial" w:eastAsia="Arial" w:hAnsi="Arial"/>
          <w:sz w:val="17"/>
          <w:szCs w:val="17"/>
          <w:color w:val="auto"/>
        </w:rPr>
        <w:t>approved by the board of directors in January 2011. This Company performance component accounted for 60% of the bonuses awarded to Mr. Goldberg, Mr. LaRosa, and Dr. Stahl. In the case of Drs. Schleifer and Yancopoulos, the Compensation Committee focused exclusively on our overall Company performance in 2011 when determining their cash bonuses and did not utilize a personal performance multiplier.</w:t>
      </w:r>
    </w:p>
    <w:p>
      <w:pPr>
        <w:spacing w:after="0" w:line="206" w:lineRule="exact"/>
        <w:rPr>
          <w:sz w:val="20"/>
          <w:szCs w:val="20"/>
          <w:color w:val="auto"/>
        </w:rPr>
      </w:pPr>
    </w:p>
    <w:p>
      <w:pPr>
        <w:ind w:right="240" w:firstLine="255"/>
        <w:spacing w:after="0" w:line="266" w:lineRule="auto"/>
        <w:rPr>
          <w:sz w:val="20"/>
          <w:szCs w:val="20"/>
          <w:color w:val="auto"/>
        </w:rPr>
      </w:pPr>
      <w:r>
        <w:rPr>
          <w:rFonts w:ascii="Arial" w:cs="Arial" w:eastAsia="Arial" w:hAnsi="Arial"/>
          <w:sz w:val="14"/>
          <w:szCs w:val="14"/>
          <w:color w:val="auto"/>
        </w:rPr>
        <w:t>The Compensation Committee determined that we had substantially exceeded our corporate goals for 2011. These corporate goals related to the filing of a Biologics Licensing Application for EYLEA</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(aflibercept) Injection, the filing of a supplemental Biologics Licensing Application for ARCALYST</w:t>
      </w:r>
      <w:r>
        <w:rPr>
          <w:rFonts w:ascii="Arial" w:cs="Arial" w:eastAsia="Arial" w:hAnsi="Arial"/>
          <w:sz w:val="22"/>
          <w:szCs w:val="22"/>
          <w:color w:val="auto"/>
          <w:vertAlign w:val="superscript"/>
        </w:rPr>
        <w:t>®</w:t>
      </w:r>
      <w:r>
        <w:rPr>
          <w:rFonts w:ascii="Arial" w:cs="Arial" w:eastAsia="Arial" w:hAnsi="Arial"/>
          <w:sz w:val="14"/>
          <w:szCs w:val="14"/>
          <w:color w:val="auto"/>
        </w:rPr>
        <w:t xml:space="preserve"> (rilonacept), receipt of FDA</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approval of EYLEA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(aflibercept) Injection for the treatment of wet age-related macular degeneration and subsequent commercial launch in the United States, continued progress of the Company’s preclinical and clinical development programs, including the advancement of proprietary human monoclonal antibodies into clinical development; revenue received from licensees and collaborators; sales of the Company’s approved products; the successful manufacturing and supply of the Company’s clinical development candidates and commercial products; and the completion of an offering of convertible senior notes</w:t>
      </w:r>
      <w:r>
        <w:rPr>
          <w:rFonts w:ascii="Arial" w:cs="Arial" w:eastAsia="Arial" w:hAnsi="Arial"/>
          <w:sz w:val="17"/>
          <w:szCs w:val="17"/>
          <w:b w:val="1"/>
          <w:bCs w:val="1"/>
          <w:color w:val="auto"/>
        </w:rPr>
        <w:t>.</w:t>
      </w:r>
      <w:r>
        <w:rPr>
          <w:rFonts w:ascii="Arial" w:cs="Arial" w:eastAsia="Arial" w:hAnsi="Arial"/>
          <w:sz w:val="17"/>
          <w:szCs w:val="17"/>
          <w:color w:val="auto"/>
        </w:rPr>
        <w:t xml:space="preserve"> As a result, the Company performance multiplier for 2011 was set at 2.0.</w:t>
      </w:r>
    </w:p>
    <w:p>
      <w:pPr>
        <w:spacing w:after="0" w:line="223" w:lineRule="exact"/>
        <w:rPr>
          <w:sz w:val="20"/>
          <w:szCs w:val="20"/>
          <w:color w:val="auto"/>
        </w:rPr>
      </w:pPr>
    </w:p>
    <w:p>
      <w:pPr>
        <w:ind w:right="20" w:firstLine="255"/>
        <w:spacing w:after="0" w:line="254" w:lineRule="auto"/>
        <w:rPr>
          <w:sz w:val="20"/>
          <w:szCs w:val="20"/>
          <w:color w:val="auto"/>
        </w:rPr>
      </w:pPr>
      <w:r>
        <w:rPr>
          <w:rFonts w:ascii="Arial" w:cs="Arial" w:eastAsia="Arial" w:hAnsi="Arial"/>
          <w:sz w:val="17"/>
          <w:szCs w:val="17"/>
          <w:color w:val="auto"/>
        </w:rPr>
        <w:t>In determining the personal performance multiplier in the case of Mr. Goldberg, the Compensation Committee gave special consideration to Mr. Goldberg’s leadership of and accomplishments in the Company’s accounting, finance, investor relations, human resources, facilities, and procurement organizations and the successful offering of convertible senior notes in October 2011. In the case of Dr. Stahl, the Compensation Committee focused on the progress of the Company’s preclinical and clinical development pipeline, including the introduction of new antibody product candidates into development as part of the Company’s collaboration with Sanofi. Mr. LaRosa joined the Company in September 2011 and was eligible in 2011 for personal performance multiplier of 1.0 based on his leadership of the legal function since he joined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38" w:lineRule="exact"/>
        <w:rPr>
          <w:sz w:val="20"/>
          <w:szCs w:val="20"/>
          <w:color w:val="auto"/>
        </w:rPr>
      </w:pPr>
    </w:p>
    <w:p>
      <w:pPr>
        <w:ind w:right="120" w:firstLine="255"/>
        <w:spacing w:after="0" w:line="297" w:lineRule="auto"/>
        <w:rPr>
          <w:sz w:val="20"/>
          <w:szCs w:val="20"/>
          <w:color w:val="auto"/>
        </w:rPr>
      </w:pPr>
      <w:r>
        <w:rPr>
          <w:rFonts w:ascii="Arial" w:cs="Arial" w:eastAsia="Arial" w:hAnsi="Arial"/>
          <w:sz w:val="15"/>
          <w:szCs w:val="15"/>
          <w:color w:val="auto"/>
        </w:rPr>
        <w:t>We have used stock option grants as the primary vehicle for offering long-term incentives and rewarding our Named Officers and other eligible employees. We also regard our stock option grants as a key employee retention tool because they vest over time. Stock options have helped us maintain a competitive level of total compensation for our Named Officers and other eligible employees at a time when we do not have substantial revenue and profits from product sales and have allowed us to attract and retain entrepreneurial employees, which we see as critical to our ongoing success. Granting stock options as long-term incentives to executives is standard practice in our industry and is an important part of our effort to attract, retain, and motivate high-quality talent in key positions.</w:t>
      </w:r>
    </w:p>
    <w:p>
      <w:pPr>
        <w:spacing w:after="0" w:line="182"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5"/>
          <w:szCs w:val="15"/>
          <w:color w:val="auto"/>
        </w:rPr>
        <w:t>The Compensation Committee grants stock option awards to our Named Officers and other eligible employees based on their annual performance and their position and responsibilities with the Company. Each of our Named Officers generally receives an annual stock option grant and all of our other full-time employees are also eligible for an annual stock option grant. The number of stock options granted to each Named Officer is determined on a discretionary basis, rather than by a formula.</w:t>
      </w:r>
    </w:p>
    <w:p>
      <w:pPr>
        <w:spacing w:after="0" w:line="171" w:lineRule="exact"/>
        <w:rPr>
          <w:sz w:val="20"/>
          <w:szCs w:val="20"/>
          <w:color w:val="auto"/>
        </w:rPr>
      </w:pPr>
    </w:p>
    <w:p>
      <w:pPr>
        <w:ind w:firstLine="255"/>
        <w:spacing w:after="0" w:line="360" w:lineRule="auto"/>
        <w:rPr>
          <w:sz w:val="20"/>
          <w:szCs w:val="20"/>
          <w:color w:val="auto"/>
        </w:rPr>
      </w:pPr>
      <w:r>
        <w:rPr>
          <w:rFonts w:ascii="Arial" w:cs="Arial" w:eastAsia="Arial" w:hAnsi="Arial"/>
          <w:sz w:val="13"/>
          <w:szCs w:val="13"/>
          <w:color w:val="auto"/>
        </w:rPr>
        <w:t>It has been the practice of our Compensation Committee to grant annual stock option awards to eligible employees whose performance is determined to merit an annual grant, including the Named Officers, at a meeting held during December. In 2011, stock option awards were granted to our Named Officers and other eligible employees on December 16, 2011. Pursuant to the terms of the Second Amended and Restated 2000 Long-Term Incentive Plan, stock option awards are granted with an exercise price equal to the average of the high and low sales price per share of our common stock as quoted on The NASDAQ Global Select Market on the date of the grant.</w:t>
      </w:r>
    </w:p>
    <w:p>
      <w:pPr>
        <w:spacing w:after="0" w:line="149" w:lineRule="exact"/>
        <w:rPr>
          <w:sz w:val="20"/>
          <w:szCs w:val="20"/>
          <w:color w:val="auto"/>
        </w:rPr>
      </w:pPr>
    </w:p>
    <w:p>
      <w:pPr>
        <w:jc w:val="both"/>
        <w:ind w:right="400" w:firstLine="255"/>
        <w:spacing w:after="0" w:line="311" w:lineRule="auto"/>
        <w:rPr>
          <w:sz w:val="20"/>
          <w:szCs w:val="20"/>
          <w:color w:val="auto"/>
        </w:rPr>
      </w:pPr>
      <w:r>
        <w:rPr>
          <w:rFonts w:ascii="Arial" w:cs="Arial" w:eastAsia="Arial" w:hAnsi="Arial"/>
          <w:sz w:val="15"/>
          <w:szCs w:val="15"/>
          <w:color w:val="auto"/>
        </w:rPr>
        <w:t>In 2008, the Compensation Committee introduced the use of performance based vesting of stock options for our senior officers, including the Named Officers, in addition to stock options with time based vesting. As discussed below, grants made by the Compensation Committee in 2008 of non-qualified stock options (the 2008 Performance-based Options) to Dr. Schleifer, Dr. Yancopoulos, Mr. Goldberg, Dr. Stahl, and other senior vice presidents vested in full in 2011.</w:t>
      </w:r>
    </w:p>
    <w:p>
      <w:pPr>
        <w:spacing w:after="0" w:line="171" w:lineRule="exact"/>
        <w:rPr>
          <w:sz w:val="20"/>
          <w:szCs w:val="20"/>
          <w:color w:val="auto"/>
        </w:rPr>
      </w:pPr>
    </w:p>
    <w:p>
      <w:pPr>
        <w:ind w:right="500" w:firstLine="255"/>
        <w:spacing w:after="0" w:line="270" w:lineRule="auto"/>
        <w:rPr>
          <w:sz w:val="20"/>
          <w:szCs w:val="20"/>
          <w:color w:val="auto"/>
        </w:rPr>
      </w:pPr>
      <w:r>
        <w:rPr>
          <w:rFonts w:ascii="Arial" w:cs="Arial" w:eastAsia="Arial" w:hAnsi="Arial"/>
          <w:sz w:val="17"/>
          <w:szCs w:val="17"/>
          <w:color w:val="auto"/>
        </w:rPr>
        <w:t>The performance based vesting stock options granted in 2011 will generally either expire unvested or will vest on December 31, 2014 in full or to a lesser extent depending on the extent to which various milestones have been achieved between the grant date and December 31, 2014.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sectPr>
      </w:pPr>
    </w:p>
    <w:bookmarkStart w:id="33" w:name="page34"/>
    <w:bookmarkEnd w:id="33"/>
    <w:p>
      <w:pPr>
        <w:ind w:right="20" w:firstLine="255"/>
        <w:spacing w:after="0" w:line="260" w:lineRule="auto"/>
        <w:rPr>
          <w:sz w:val="20"/>
          <w:szCs w:val="20"/>
          <w:color w:val="auto"/>
        </w:rPr>
      </w:pPr>
      <w:r>
        <w:rPr>
          <w:rFonts w:ascii="Arial" w:cs="Arial" w:eastAsia="Arial" w:hAnsi="Arial"/>
          <w:sz w:val="17"/>
          <w:szCs w:val="17"/>
          <w:color w:val="auto"/>
        </w:rPr>
        <w:t>Each of our Named Officers received both a grant of performance based vesting stock options and a grant of time based vesting stock options on December 16, 2011, as set forth below. These stock options all have an exercise price of $52.03 per share, the average of the high and low sales price per share of our common stock as quoted on the NASDAQ Global Select Market on the date of grant.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Time Based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3"/>
              </w:rPr>
              <w:t>Performance</w:t>
            </w:r>
          </w:p>
        </w:tc>
      </w:tr>
      <w:tr>
        <w:trPr>
          <w:trHeight w:val="229"/>
        </w:trPr>
        <w:tc>
          <w:tcPr>
            <w:tcW w:w="9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Vesting Stock</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4"/>
              </w:rPr>
              <w:t>Based Vesting</w:t>
            </w:r>
          </w:p>
        </w:tc>
      </w:tr>
      <w:tr>
        <w:trPr>
          <w:trHeight w:val="229"/>
        </w:trPr>
        <w:tc>
          <w:tcPr>
            <w:tcW w:w="9660" w:type="dxa"/>
            <w:vAlign w:val="bottom"/>
            <w:gridSpan w:val="2"/>
          </w:tcPr>
          <w:p>
            <w:pPr>
              <w:spacing w:after="0"/>
              <w:rPr>
                <w:sz w:val="20"/>
                <w:szCs w:val="20"/>
                <w:color w:val="auto"/>
              </w:rPr>
            </w:pPr>
            <w:r>
              <w:rPr>
                <w:rFonts w:ascii="Arial" w:cs="Arial" w:eastAsia="Arial" w:hAnsi="Arial"/>
                <w:sz w:val="13"/>
                <w:szCs w:val="13"/>
                <w:b w:val="1"/>
                <w:bCs w:val="1"/>
                <w:color w:val="auto"/>
              </w:rPr>
              <w:t>Named Officer</w:t>
            </w: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Options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6"/>
              </w:rPr>
              <w:t>Stock Options</w:t>
            </w:r>
          </w:p>
        </w:tc>
      </w:tr>
      <w:tr>
        <w:trPr>
          <w:trHeight w:val="38"/>
        </w:trPr>
        <w:tc>
          <w:tcPr>
            <w:tcW w:w="94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2"/>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Leonard S. Schleifer, M.D., Ph.D.</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w:t>
            </w:r>
          </w:p>
        </w:tc>
      </w:tr>
      <w:tr>
        <w:trPr>
          <w:trHeight w:val="223"/>
        </w:trPr>
        <w:tc>
          <w:tcPr>
            <w:tcW w:w="966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740" w:type="dxa"/>
            <w:vAlign w:val="bottom"/>
          </w:tcPr>
          <w:p>
            <w:pPr>
              <w:jc w:val="right"/>
              <w:spacing w:after="0"/>
              <w:rPr>
                <w:sz w:val="20"/>
                <w:szCs w:val="20"/>
                <w:color w:val="auto"/>
              </w:rPr>
            </w:pPr>
            <w:r>
              <w:rPr>
                <w:rFonts w:ascii="Arial" w:cs="Arial" w:eastAsia="Arial" w:hAnsi="Arial"/>
                <w:sz w:val="17"/>
                <w:szCs w:val="17"/>
                <w:color w:val="auto"/>
              </w:rPr>
              <w:t>160,000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240,000</w:t>
            </w:r>
          </w:p>
        </w:tc>
      </w:tr>
      <w:tr>
        <w:trPr>
          <w:trHeight w:val="236"/>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Murray A. Goldberg</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w:t>
            </w:r>
          </w:p>
        </w:tc>
      </w:tr>
      <w:tr>
        <w:trPr>
          <w:trHeight w:val="223"/>
        </w:trPr>
        <w:tc>
          <w:tcPr>
            <w:tcW w:w="9660" w:type="dxa"/>
            <w:vAlign w:val="bottom"/>
            <w:gridSpan w:val="2"/>
          </w:tcPr>
          <w:p>
            <w:pPr>
              <w:spacing w:after="0"/>
              <w:rPr>
                <w:sz w:val="20"/>
                <w:szCs w:val="20"/>
                <w:color w:val="auto"/>
              </w:rPr>
            </w:pPr>
            <w:r>
              <w:rPr>
                <w:rFonts w:ascii="Arial" w:cs="Arial" w:eastAsia="Arial" w:hAnsi="Arial"/>
                <w:sz w:val="17"/>
                <w:szCs w:val="17"/>
                <w:color w:val="auto"/>
              </w:rPr>
              <w:t>Joseph J. LaRosa*</w:t>
            </w:r>
          </w:p>
        </w:tc>
        <w:tc>
          <w:tcPr>
            <w:tcW w:w="740" w:type="dxa"/>
            <w:vAlign w:val="bottom"/>
          </w:tcPr>
          <w:p>
            <w:pPr>
              <w:jc w:val="right"/>
              <w:spacing w:after="0"/>
              <w:rPr>
                <w:sz w:val="20"/>
                <w:szCs w:val="20"/>
                <w:color w:val="auto"/>
              </w:rPr>
            </w:pPr>
            <w:r>
              <w:rPr>
                <w:rFonts w:ascii="Arial" w:cs="Arial" w:eastAsia="Arial" w:hAnsi="Arial"/>
                <w:sz w:val="17"/>
                <w:szCs w:val="17"/>
                <w:color w:val="auto"/>
              </w:rPr>
              <w:t>4,000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36"/>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Neil Stahl, Ph.D.</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r>
      <w:tr>
        <w:trPr>
          <w:trHeight w:val="260"/>
        </w:trPr>
        <w:tc>
          <w:tcPr>
            <w:tcW w:w="9400" w:type="dxa"/>
            <w:vAlign w:val="bottom"/>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191" w:lineRule="exact"/>
        <w:rPr>
          <w:sz w:val="20"/>
          <w:szCs w:val="20"/>
          <w:color w:val="auto"/>
        </w:rPr>
      </w:pPr>
    </w:p>
    <w:p>
      <w:pPr>
        <w:ind w:left="340" w:hanging="338"/>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Mr. LaRosa joined the Company in September, 2011.</w:t>
      </w:r>
    </w:p>
    <w:p>
      <w:pPr>
        <w:spacing w:after="0" w:line="264" w:lineRule="exact"/>
        <w:rPr>
          <w:sz w:val="20"/>
          <w:szCs w:val="20"/>
          <w:color w:val="auto"/>
        </w:rPr>
      </w:pPr>
    </w:p>
    <w:p>
      <w:pPr>
        <w:ind w:right="60" w:firstLine="255"/>
        <w:spacing w:after="0" w:line="286" w:lineRule="auto"/>
        <w:rPr>
          <w:sz w:val="20"/>
          <w:szCs w:val="20"/>
          <w:color w:val="auto"/>
        </w:rPr>
      </w:pPr>
      <w:r>
        <w:rPr>
          <w:rFonts w:ascii="Arial" w:cs="Arial" w:eastAsia="Arial" w:hAnsi="Arial"/>
          <w:sz w:val="15"/>
          <w:szCs w:val="15"/>
          <w:color w:val="auto"/>
        </w:rPr>
        <w:t>The total number of stock options granted to our Named Officers as set forth in the table above was determined based on past Company practices, a review of Peer Group and survey data, and an assessment of each Named Officer. The Compensation Committee also considered the personal and corporate accomplishments in 2011 that were discussed previously under “Elements of Executive Compensation - Cash Bonus.” In 2011 Dr. Yancopoulos received the same number of stock options as Dr. Schleifer in consideration of Dr. Yancopoulos’ long-term commitment and contributions to the Company. The Compensation Committee recognized both the outstanding</w:t>
      </w:r>
    </w:p>
    <w:p>
      <w:pPr>
        <w:spacing w:after="0" w:line="2"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work done by Dr. Yancopoulos as an inventor of EYLEA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and in leading its development, and the future contributions the Committee anticipates he will make as he leads the Company’s research and development efforts. In addition to the year-end stock option awards described above, Mr. LaRosa received a time based vesting option award and a time based vesting restricted stock award upon joining the Company in September, 2011. Specifically, Mr. LaRosa received an award of 80,000 options with an exercise price of $59.20 per share that vests in four equal annual installments commencing on September 1, 2012, and an award of 10,000 shares of restricted stock that vests in its entirety on September 1, 2016.</w:t>
      </w:r>
    </w:p>
    <w:p>
      <w:pPr>
        <w:spacing w:after="0" w:line="224" w:lineRule="exact"/>
        <w:rPr>
          <w:sz w:val="20"/>
          <w:szCs w:val="20"/>
          <w:color w:val="auto"/>
        </w:rPr>
      </w:pPr>
    </w:p>
    <w:p>
      <w:pPr>
        <w:ind w:right="180" w:firstLine="255"/>
        <w:spacing w:after="0" w:line="360" w:lineRule="auto"/>
        <w:rPr>
          <w:sz w:val="20"/>
          <w:szCs w:val="20"/>
          <w:color w:val="auto"/>
        </w:rPr>
      </w:pPr>
      <w:r>
        <w:rPr>
          <w:rFonts w:ascii="Arial" w:cs="Arial" w:eastAsia="Arial" w:hAnsi="Arial"/>
          <w:sz w:val="13"/>
          <w:szCs w:val="13"/>
          <w:u w:val="single" w:color="auto"/>
          <w:color w:val="auto"/>
        </w:rPr>
        <w:t>Performance Based Vesting Stock Options</w:t>
      </w:r>
      <w:r>
        <w:rPr>
          <w:rFonts w:ascii="Arial" w:cs="Arial" w:eastAsia="Arial" w:hAnsi="Arial"/>
          <w:sz w:val="13"/>
          <w:szCs w:val="13"/>
          <w:color w:val="auto"/>
        </w:rPr>
        <w:t>: The performance based vesting stock options granted in 2011 (all of which were non-qualified stock options) will be eligible to vest on December 31, 2014, the end of the third calendar year following the date of grant. The number of stock options that will vest on that date will be determined based on a point scale system, whereby points are earned upon the achievement of milestones between January 1, 2012 and the vesting date (the Performance Measurement Period). The milestones and the points earned for achieving the milestones during the applicable Performance Measurement Period are described below</w:t>
      </w:r>
      <w:r>
        <w:rPr>
          <w:rFonts w:ascii="Arial" w:cs="Arial" w:eastAsia="Arial" w:hAnsi="Arial"/>
          <w:sz w:val="13"/>
          <w:szCs w:val="13"/>
          <w:b w:val="1"/>
          <w:bCs w:val="1"/>
          <w:color w:val="auto"/>
        </w:rPr>
        <w: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filing of the first Investigational New Drug Application for a new product candidate (2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data from a successful proof of concept study testing one of our product candidates (2 or 4 points each, depending on the uniqueness of the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-67310</wp:posOffset>
            </wp:positionV>
            <wp:extent cx="57785" cy="57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filing of a Biologics License Application for one of our product candidates (2, 3, 5 or 7 points each, depending on the uniqueness of the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-67310</wp:posOffset>
            </wp:positionV>
            <wp:extent cx="57785" cy="57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approval of a Biologics License Application for one of our product candidates (5, 7, 20 or 28 points each, depending on the uniqueness of the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-67310</wp:posOffset>
            </wp:positionV>
            <wp:extent cx="57785" cy="57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41" w:lineRule="exact"/>
        <w:rPr>
          <w:sz w:val="20"/>
          <w:szCs w:val="20"/>
          <w:color w:val="auto"/>
        </w:rPr>
      </w:pPr>
    </w:p>
    <w:p>
      <w:pPr>
        <w:ind w:right="260" w:firstLine="255"/>
        <w:spacing w:after="0" w:line="311" w:lineRule="auto"/>
        <w:rPr>
          <w:sz w:val="20"/>
          <w:szCs w:val="20"/>
          <w:color w:val="auto"/>
        </w:rPr>
      </w:pPr>
      <w:r>
        <w:rPr>
          <w:rFonts w:ascii="Arial" w:cs="Arial" w:eastAsia="Arial" w:hAnsi="Arial"/>
          <w:sz w:val="15"/>
          <w:szCs w:val="15"/>
          <w:color w:val="auto"/>
        </w:rPr>
        <w:t>Later stage development milestones earn incrementally more points than the earlier stage development milestones. For the last three milestones described above, the greater number of points is earned for novel drug candidates and diseases and the lesser number of points is earned for follow-on product candidates, which can be our existing products, with potential competitive advantages over existing drugs that are approved for the treatment of a disease.</w:t>
      </w:r>
    </w:p>
    <w:p>
      <w:pPr>
        <w:spacing w:after="0" w:line="171" w:lineRule="exact"/>
        <w:rPr>
          <w:sz w:val="20"/>
          <w:szCs w:val="20"/>
          <w:color w:val="auto"/>
        </w:rPr>
      </w:pPr>
    </w:p>
    <w:p>
      <w:pPr>
        <w:ind w:right="180" w:firstLine="255"/>
        <w:spacing w:after="0" w:line="338" w:lineRule="auto"/>
        <w:rPr>
          <w:sz w:val="20"/>
          <w:szCs w:val="20"/>
          <w:color w:val="auto"/>
        </w:rPr>
      </w:pPr>
      <w:r>
        <w:rPr>
          <w:rFonts w:ascii="Arial" w:cs="Arial" w:eastAsia="Arial" w:hAnsi="Arial"/>
          <w:sz w:val="15"/>
          <w:szCs w:val="15"/>
          <w:color w:val="auto"/>
        </w:rPr>
        <w:t>The number of stock options from the award that will vest on the vesting date will be calculated by multiplying the total number of stock options subject to the award by a fraction, the numerator of which is the total number of points earned during the Performance Measurement Period and the denominator of which is 70,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ind w:right="80"/>
        <w:spacing w:after="0" w:line="292" w:lineRule="auto"/>
        <w:rPr>
          <w:sz w:val="20"/>
          <w:szCs w:val="20"/>
          <w:color w:val="auto"/>
        </w:rPr>
      </w:pPr>
      <w:r>
        <w:rPr>
          <w:rFonts w:ascii="Arial" w:cs="Arial" w:eastAsia="Arial" w:hAnsi="Arial"/>
          <w:sz w:val="15"/>
          <w:szCs w:val="15"/>
          <w:color w:val="auto"/>
        </w:rPr>
        <w:t>provided that no more than one hundred percent of the stock option award can vest. If at least 24 points are not earned during the Performance Measurement Period, or the applicable Named Officer ceases to be employed by the Company before the end of the Performance Measurement Period (other than because of retirement or for reasons related to a change of control as discussed under the heading “Post-Employment Compensation” on page 42), then none of the performance based vesting stock options granted under the award will vest. Moreover, if we do not file a Biologics License Application for at least one product candidate during the Performance Measurement Period, then the maximum number of performance based vesting stock options that can vest on the vesting date is capped at two-thirds of the total award, unless otherwise determined by the Compensation Committee. Achievement of a development milestone may earn points for the performance based vesting stock options that were granted in December 2011 and those that may be granted in subsequent years, depending on the year of achievement.</w:t>
      </w:r>
    </w:p>
    <w:p>
      <w:pPr>
        <w:spacing w:after="0" w:line="189" w:lineRule="exact"/>
        <w:rPr>
          <w:sz w:val="20"/>
          <w:szCs w:val="20"/>
          <w:color w:val="auto"/>
        </w:rPr>
      </w:pPr>
    </w:p>
    <w:p>
      <w:pPr>
        <w:jc w:val="both"/>
        <w:ind w:right="140" w:firstLine="255"/>
        <w:spacing w:after="0" w:line="260" w:lineRule="auto"/>
        <w:rPr>
          <w:sz w:val="20"/>
          <w:szCs w:val="20"/>
          <w:color w:val="auto"/>
        </w:rPr>
      </w:pPr>
      <w:r>
        <w:rPr>
          <w:rFonts w:ascii="Arial" w:cs="Arial" w:eastAsia="Arial" w:hAnsi="Arial"/>
          <w:sz w:val="17"/>
          <w:szCs w:val="17"/>
          <w:color w:val="auto"/>
        </w:rPr>
        <w:t>The Compensation Committee retains the discretion to accelerate the vesting of the performance based stock options, either in whole or in part. Vesting of these stock options may accelerate following a change of control as described under the heading “Post-Employment Compensation” on page 42. As with the time based vesting stock options, the performance based vesting stock options have a ten-year maximum term.</w:t>
      </w:r>
    </w:p>
    <w:p>
      <w:pPr>
        <w:spacing w:after="0" w:line="206" w:lineRule="exact"/>
        <w:rPr>
          <w:sz w:val="20"/>
          <w:szCs w:val="20"/>
          <w:color w:val="auto"/>
        </w:rPr>
      </w:pPr>
    </w:p>
    <w:p>
      <w:pPr>
        <w:ind w:right="260" w:firstLine="255"/>
        <w:spacing w:after="0" w:line="270" w:lineRule="auto"/>
        <w:rPr>
          <w:sz w:val="20"/>
          <w:szCs w:val="20"/>
          <w:color w:val="auto"/>
        </w:rPr>
      </w:pPr>
      <w:r>
        <w:rPr>
          <w:rFonts w:ascii="Arial" w:cs="Arial" w:eastAsia="Arial" w:hAnsi="Arial"/>
          <w:sz w:val="17"/>
          <w:szCs w:val="17"/>
          <w:color w:val="auto"/>
        </w:rPr>
        <w:t>During the three-year performance measurement period for the 2008 Performance-based Options, the Company achieved product candidate development milestones sufficient to earn 71 points, with full vesting requiring a minimum of 38 points. The point totals were achieved as follows: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filing of the first Investigational New Drug Application for a new product candidate (18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data from a successful proof of concept study testing one of our product candidates (18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filing of a Biologics License Application for one of our product candidates (15 points);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approval of a Biologics License Application for one of our product candidates (20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right="340"/>
        <w:spacing w:after="0" w:line="338" w:lineRule="auto"/>
        <w:rPr>
          <w:sz w:val="20"/>
          <w:szCs w:val="20"/>
          <w:color w:val="auto"/>
        </w:rPr>
      </w:pPr>
      <w:r>
        <w:rPr>
          <w:rFonts w:ascii="Arial" w:cs="Arial" w:eastAsia="Arial" w:hAnsi="Arial"/>
          <w:sz w:val="15"/>
          <w:szCs w:val="15"/>
          <w:color w:val="auto"/>
        </w:rPr>
        <w:t>Based on those points earned, the Compensation Committee approved the vesting in 2011 of the maximum number of 2008 Performance-based Options for the Named Officers as follows: Dr. Schleifer, 187,500 options; Dr. Yancopoulos, 150,000 options; Mr. Goldberg, 56,250 options; and Dr. Stahl, 75,000 options.</w:t>
      </w:r>
    </w:p>
    <w:p>
      <w:pPr>
        <w:spacing w:after="0" w:line="152" w:lineRule="exact"/>
        <w:rPr>
          <w:sz w:val="20"/>
          <w:szCs w:val="20"/>
          <w:color w:val="auto"/>
        </w:rPr>
      </w:pPr>
    </w:p>
    <w:p>
      <w:pPr>
        <w:ind w:firstLine="255"/>
        <w:spacing w:after="0" w:line="292" w:lineRule="auto"/>
        <w:rPr>
          <w:sz w:val="20"/>
          <w:szCs w:val="20"/>
          <w:color w:val="auto"/>
        </w:rPr>
      </w:pPr>
      <w:r>
        <w:rPr>
          <w:rFonts w:ascii="Arial" w:cs="Arial" w:eastAsia="Arial" w:hAnsi="Arial"/>
          <w:sz w:val="15"/>
          <w:szCs w:val="15"/>
          <w:u w:val="single" w:color="auto"/>
          <w:color w:val="auto"/>
        </w:rPr>
        <w:t>Time Based Vesting Stock Options</w:t>
      </w:r>
      <w:r>
        <w:rPr>
          <w:rFonts w:ascii="Arial" w:cs="Arial" w:eastAsia="Arial" w:hAnsi="Arial"/>
          <w:sz w:val="15"/>
          <w:szCs w:val="15"/>
          <w:color w:val="auto"/>
        </w:rPr>
        <w:t>: Option grants that vest in increments over time generally are in the form of incentive stock options, subject to Internal Revenue Code restrictions on the number of incentive stock options which can vest or be granted to any optionee in any given year. Incentive stock options afford the option holders certain tax advantages over non-qualified stock options and our Compensation Committee believes that this enhances their attractiveness as a compensation component. Options that cannot take the form of incentive stock options are granted as non-qualified stock options. The aggregate number of stock options (incentive plus non-qualified stock options) granted by the Compensation Committee to an employee on the date of grant, including the stock options granted to our Named Officers, generally vest at a rate of 25% per year over the first four years of the ten-year option term. Except as set forth below under the heading “Post-Employment Compensation” on page 42, stock option vesting ceases, and unvested stock options are forfeited, upon termination of employment.</w:t>
      </w:r>
    </w:p>
    <w:p>
      <w:pPr>
        <w:spacing w:after="0" w:line="189" w:lineRule="exact"/>
        <w:rPr>
          <w:sz w:val="20"/>
          <w:szCs w:val="20"/>
          <w:color w:val="auto"/>
        </w:rPr>
      </w:pPr>
    </w:p>
    <w:p>
      <w:pPr>
        <w:ind w:right="20" w:firstLine="255"/>
        <w:spacing w:after="0" w:line="254" w:lineRule="auto"/>
        <w:rPr>
          <w:sz w:val="20"/>
          <w:szCs w:val="20"/>
          <w:color w:val="auto"/>
        </w:rPr>
      </w:pPr>
      <w:r>
        <w:rPr>
          <w:rFonts w:ascii="Arial" w:cs="Arial" w:eastAsia="Arial" w:hAnsi="Arial"/>
          <w:sz w:val="17"/>
          <w:szCs w:val="17"/>
          <w:color w:val="auto"/>
        </w:rPr>
        <w:t>Because our Chief Executive Officer holds more than ten percent of the total combined voting power of our classes of stock, any incentive stock options granted to him must have an exercise price of at least 110% of the average of the high and low sales price per share of our common stock as quoted on the NASDAQ Global Select Market on the date of the grant. In addition, any incentive stock options granted to him must expire after no more than five years from the date of grant. Because of these restrictions, our Chief Executive Officer was granted non-qualified stock options, and not incentive stock options, in 2011. As is generally the case with stock options granted to all other employees, the time based vesting stock options granted to our Chief Executive Officer vest at a rate of 25% per year over the first four years of the ten-year option term.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238" w:lineRule="exact"/>
        <w:rPr>
          <w:sz w:val="20"/>
          <w:szCs w:val="20"/>
          <w:color w:val="auto"/>
        </w:rPr>
      </w:pPr>
    </w:p>
    <w:p>
      <w:pPr>
        <w:ind w:right="180" w:firstLine="255"/>
        <w:spacing w:after="0" w:line="260" w:lineRule="auto"/>
        <w:rPr>
          <w:sz w:val="20"/>
          <w:szCs w:val="20"/>
          <w:color w:val="auto"/>
        </w:rPr>
      </w:pPr>
      <w:r>
        <w:rPr>
          <w:rFonts w:ascii="Arial" w:cs="Arial" w:eastAsia="Arial" w:hAnsi="Arial"/>
          <w:sz w:val="17"/>
          <w:szCs w:val="17"/>
          <w:color w:val="auto"/>
        </w:rPr>
        <w:t>The Named Officers are provided with a limited number of perquisites and other personal benefits that the Compensation Committee believes are reasonable and consistent with our overall compensation program. The Compensation Committee periodically reviews the perquisites and other personal benefits provided to the Named Officers, including the Chief Executive Officer.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5" w:name="page36"/>
    <w:bookmarkEnd w:id="35"/>
    <w:p>
      <w:pPr>
        <w:ind w:right="80" w:firstLine="255"/>
        <w:spacing w:after="0" w:line="271" w:lineRule="auto"/>
        <w:rPr>
          <w:sz w:val="20"/>
          <w:szCs w:val="20"/>
          <w:color w:val="auto"/>
        </w:rPr>
      </w:pPr>
      <w:r>
        <w:rPr>
          <w:rFonts w:ascii="Arial" w:cs="Arial" w:eastAsia="Arial" w:hAnsi="Arial"/>
          <w:sz w:val="16"/>
          <w:szCs w:val="16"/>
          <w:color w:val="auto"/>
        </w:rPr>
        <w:t>All of the Named Officers are eligible to receive financial and tax planning assistance (which are taxable benefits) and, like other employees,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 form of shares of our common stock) equal to 50% of the first 6% of the participant’s compensation that the participant has contributed to the plan up to a maximum level established under the Internal Revenue Code, which in 2011 was $7,350. All of our Named Officers (other than Mr. LaRosa who was not eligible in 2011) participated in our 401(k) Savings Plan during 2011 and received the maximum matching contribution in the form of shares of our common stock, which was paid in February 2012. As with all employees, the number of shares of common stock that each Named Officer receives was determined using the average market price per share of our common stock during the 401(k) Savings Plan year, which for 2011 was $51.07.</w:t>
      </w:r>
    </w:p>
    <w:p>
      <w:pPr>
        <w:spacing w:after="0" w:line="199" w:lineRule="exact"/>
        <w:rPr>
          <w:sz w:val="20"/>
          <w:szCs w:val="20"/>
          <w:color w:val="auto"/>
        </w:rPr>
      </w:pPr>
    </w:p>
    <w:p>
      <w:pPr>
        <w:ind w:right="20" w:firstLine="255"/>
        <w:spacing w:after="0" w:line="302" w:lineRule="auto"/>
        <w:rPr>
          <w:sz w:val="20"/>
          <w:szCs w:val="20"/>
          <w:color w:val="auto"/>
        </w:rPr>
      </w:pPr>
      <w:r>
        <w:rPr>
          <w:rFonts w:ascii="Arial" w:cs="Arial" w:eastAsia="Arial" w:hAnsi="Arial"/>
          <w:sz w:val="15"/>
          <w:szCs w:val="15"/>
          <w:color w:val="auto"/>
        </w:rPr>
        <w:t>Our Chief Executive Officer and Chief Scientific Officer are entitled to receive certain automobile allowances, as described in the applicable footnotes to the Summary Compensation Table on page 35. In addition, the Company provides a car service to our Chief Financial Officer for commuting purposes. Our Chief Executive Officer is also entitled to receive certain additional perquisites and personal benefits pursuant to the terms of his employment agreement or as are otherwise approved by the Compensation Committee. These perquisites and personal benefits are described in the footnotes to the Summary Compensation Table on page 35.</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 Severance Benefits</w:t>
      </w:r>
    </w:p>
    <w:p>
      <w:pPr>
        <w:spacing w:after="0" w:line="238" w:lineRule="exact"/>
        <w:rPr>
          <w:sz w:val="20"/>
          <w:szCs w:val="20"/>
          <w:color w:val="auto"/>
        </w:rPr>
      </w:pPr>
    </w:p>
    <w:p>
      <w:pPr>
        <w:ind w:right="120" w:firstLine="255"/>
        <w:spacing w:after="0" w:line="302" w:lineRule="auto"/>
        <w:rPr>
          <w:sz w:val="20"/>
          <w:szCs w:val="20"/>
          <w:color w:val="auto"/>
        </w:rPr>
      </w:pPr>
      <w:r>
        <w:rPr>
          <w:rFonts w:ascii="Arial" w:cs="Arial" w:eastAsia="Arial" w:hAnsi="Arial"/>
          <w:sz w:val="16"/>
          <w:szCs w:val="16"/>
          <w:color w:val="auto"/>
        </w:rPr>
        <w:t>Except as described below, we are not obligated to pay severance or other enhanced benefits to Named Officers upon the voluntary or involuntary termination of their employment. We have no pension, deferred compensation, or retirement plans, other than our 401(k) Savings Plan described above.</w:t>
      </w:r>
    </w:p>
    <w:p>
      <w:pPr>
        <w:spacing w:after="0" w:line="174" w:lineRule="exact"/>
        <w:rPr>
          <w:sz w:val="20"/>
          <w:szCs w:val="20"/>
          <w:color w:val="auto"/>
        </w:rPr>
      </w:pPr>
    </w:p>
    <w:p>
      <w:pPr>
        <w:ind w:right="40" w:firstLine="255"/>
        <w:spacing w:after="0" w:line="273" w:lineRule="auto"/>
        <w:rPr>
          <w:sz w:val="20"/>
          <w:szCs w:val="20"/>
          <w:color w:val="auto"/>
        </w:rPr>
      </w:pPr>
      <w:r>
        <w:rPr>
          <w:rFonts w:ascii="Arial" w:cs="Arial" w:eastAsia="Arial" w:hAnsi="Arial"/>
          <w:sz w:val="16"/>
          <w:szCs w:val="16"/>
          <w:color w:val="auto"/>
        </w:rPr>
        <w:t>Since December 2002, stock option award agreements for all employees have included a provision for the acceleration of vesting of unvested stock options upon an involuntary termination without cause within two years following a change of control. Our Chief Executive Officer has an employment agreement that provides for certain severance benefits following termination, including following death or disability, resignation following defined “good reason” events, or termination in connection with a change of control. The other Named Officers are party to a change of control severance plan, which provides certain benefits to them and other designated officers if they are terminated in connection with a change of control. Information regarding applicable payments under this employment agreement and change of control severance plan is provided under the heading “Post-Employment Compensation” on page 42.</w:t>
      </w:r>
    </w:p>
    <w:p>
      <w:pPr>
        <w:spacing w:after="0" w:line="198" w:lineRule="exact"/>
        <w:rPr>
          <w:sz w:val="20"/>
          <w:szCs w:val="20"/>
          <w:color w:val="auto"/>
        </w:rPr>
      </w:pPr>
    </w:p>
    <w:p>
      <w:pPr>
        <w:ind w:firstLine="255"/>
        <w:spacing w:after="0" w:line="290" w:lineRule="auto"/>
        <w:rPr>
          <w:sz w:val="20"/>
          <w:szCs w:val="20"/>
          <w:color w:val="auto"/>
        </w:rPr>
      </w:pPr>
      <w:r>
        <w:rPr>
          <w:rFonts w:ascii="Arial" w:cs="Arial" w:eastAsia="Arial" w:hAnsi="Arial"/>
          <w:sz w:val="15"/>
          <w:szCs w:val="15"/>
          <w:color w:val="auto"/>
        </w:rPr>
        <w:t>Except as provided in our employment agreement with our Chief Executive Officer and in our change of control severance plan, our Named Officers (other than our Chief Executive Officer) will forfeit any unvested time based vesting stock options upon the termination of their employment for any reason other than death, including disability or retirement. In the event of the death of an employee, any unvested stock options held by such employee shall become immediately exercisable. When employees retire, they forfeit all unvested time based vesting stock options, as well as any unvested performance based vesting stock options granted prior to 2009. When a Named Officer retires, any outstanding unvested performance based vesting stock options that were granted in 2009 or later remain eligible to vest at the end of the third calendar year following the date of grant, except that the number of options that will vest, if any, will be reduced in proportion to the term of the Performance Measurement Period during which the Named Officer was not employed by the Company due to his retirement. For all stock options granted prior to 2007, an employee who retires has up to two years to exercise stock options that are vested as of the date of his or her retirement. Commencing in 2007, we amended our form of stock option agreement to allow the retired employee the remaining life of the 10-year stock option term to exercise stock options that are vested as of the date of his or her retirement.</w:t>
      </w:r>
    </w:p>
    <w:p>
      <w:pPr>
        <w:spacing w:after="0" w:line="190" w:lineRule="exact"/>
        <w:rPr>
          <w:sz w:val="20"/>
          <w:szCs w:val="20"/>
          <w:color w:val="auto"/>
        </w:rPr>
      </w:pPr>
    </w:p>
    <w:p>
      <w:pPr>
        <w:ind w:right="60" w:firstLine="255"/>
        <w:spacing w:after="0" w:line="257" w:lineRule="auto"/>
        <w:rPr>
          <w:sz w:val="20"/>
          <w:szCs w:val="20"/>
          <w:color w:val="auto"/>
        </w:rPr>
      </w:pPr>
      <w:r>
        <w:rPr>
          <w:rFonts w:ascii="Arial" w:cs="Arial" w:eastAsia="Arial" w:hAnsi="Arial"/>
          <w:sz w:val="17"/>
          <w:szCs w:val="17"/>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of control of the Company. The severance benefits were established by the Compensation Committee following a review of comparable practices at the Company’s peer companies and with the advice of the Compensation Committee’s consultant.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6" w:name="page37"/>
    <w:bookmarkEnd w:id="36"/>
    <w:p>
      <w:pPr>
        <w:ind w:left="260"/>
        <w:spacing w:after="0"/>
        <w:rPr>
          <w:sz w:val="20"/>
          <w:szCs w:val="20"/>
          <w:color w:val="auto"/>
        </w:rPr>
      </w:pPr>
      <w:r>
        <w:rPr>
          <w:rFonts w:ascii="Arial" w:cs="Arial" w:eastAsia="Arial" w:hAnsi="Arial"/>
          <w:sz w:val="17"/>
          <w:szCs w:val="17"/>
          <w:b w:val="1"/>
          <w:bCs w:val="1"/>
          <w:color w:val="auto"/>
        </w:rPr>
        <w:t>Tax Implications</w:t>
      </w:r>
    </w:p>
    <w:p>
      <w:pPr>
        <w:spacing w:after="0" w:line="242" w:lineRule="exact"/>
        <w:rPr>
          <w:sz w:val="20"/>
          <w:szCs w:val="20"/>
          <w:color w:val="auto"/>
        </w:rPr>
      </w:pPr>
    </w:p>
    <w:p>
      <w:pPr>
        <w:ind w:right="340" w:firstLine="255"/>
        <w:spacing w:after="0" w:line="302" w:lineRule="auto"/>
        <w:rPr>
          <w:sz w:val="20"/>
          <w:szCs w:val="20"/>
          <w:color w:val="auto"/>
        </w:rPr>
      </w:pPr>
      <w:r>
        <w:rPr>
          <w:rFonts w:ascii="Arial" w:cs="Arial" w:eastAsia="Arial" w:hAnsi="Arial"/>
          <w:sz w:val="15"/>
          <w:szCs w:val="15"/>
          <w:color w:val="auto"/>
        </w:rPr>
        <w:t>Section 162(m) of the Internal Revenue Code limits the deductibility of compensation over $1 million in any year paid to the Chief Executive Officer and the other Named Officers (other than the Chief Financial Officer). The Compensation Committee takes into account, and generally seeks to preserve, the deductibility of compensation in determining Named Officer compensation. However, the Compensation Committee reserves the right to use its judgment to authorize compensation payments that do not qualify for the exemptions in Section 162(m) when the Compensation Committee believes that such payments are appropriate.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 Report</w:t>
      </w:r>
    </w:p>
    <w:p>
      <w:pPr>
        <w:spacing w:after="0" w:line="242" w:lineRule="exact"/>
        <w:rPr>
          <w:sz w:val="20"/>
          <w:szCs w:val="20"/>
          <w:color w:val="auto"/>
        </w:rPr>
      </w:pPr>
    </w:p>
    <w:p>
      <w:pPr>
        <w:ind w:right="220" w:firstLine="255"/>
        <w:spacing w:after="0" w:line="270" w:lineRule="auto"/>
        <w:rPr>
          <w:sz w:val="20"/>
          <w:szCs w:val="20"/>
          <w:color w:val="auto"/>
        </w:rPr>
      </w:pPr>
      <w:r>
        <w:rPr>
          <w:rFonts w:ascii="Arial" w:cs="Arial" w:eastAsia="Arial" w:hAnsi="Arial"/>
          <w:sz w:val="17"/>
          <w:szCs w:val="17"/>
          <w:color w:val="auto"/>
        </w:rPr>
        <w:t>We have reviewed and discussed with management the Compensation Discussion and Analysis, beginning on page 26. Based on that review and discussion, we have recommended to the board of directors that the Compensation Discussion and Analysis be included in this proxy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Compensation Committee</w:t>
      </w: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Arthur F. Ryan, Chairman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L. Goldstein, M.D.</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Christine A. Poon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Marc Tessier-Lavigne, Ph.D.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42"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Summary Compensation Table</w:t>
      </w:r>
    </w:p>
    <w:p>
      <w:pPr>
        <w:spacing w:after="0" w:line="242" w:lineRule="exact"/>
        <w:rPr>
          <w:sz w:val="20"/>
          <w:szCs w:val="20"/>
          <w:color w:val="auto"/>
        </w:rPr>
      </w:pPr>
    </w:p>
    <w:p>
      <w:pPr>
        <w:ind w:right="460" w:firstLine="255"/>
        <w:spacing w:after="0" w:line="338" w:lineRule="auto"/>
        <w:rPr>
          <w:sz w:val="20"/>
          <w:szCs w:val="20"/>
          <w:color w:val="auto"/>
        </w:rPr>
      </w:pPr>
      <w:r>
        <w:rPr>
          <w:rFonts w:ascii="Arial" w:cs="Arial" w:eastAsia="Arial" w:hAnsi="Arial"/>
          <w:sz w:val="15"/>
          <w:szCs w:val="15"/>
          <w:color w:val="auto"/>
        </w:rPr>
        <w:t>The following table and accompanying footnotes provide information regarding compensation earned by, or paid to, our Chief Executive Officer, Chief Financial Officer, and our three other highest-compensated executive officers in 2011, 2010, and 2009. We refer to these five executive officers as our Named Officers.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All</w:t>
            </w:r>
          </w:p>
        </w:tc>
        <w:tc>
          <w:tcPr>
            <w:tcW w:w="740" w:type="dxa"/>
            <w:vAlign w:val="bottom"/>
          </w:tcPr>
          <w:p>
            <w:pPr>
              <w:spacing w:after="0"/>
              <w:rPr>
                <w:sz w:val="14"/>
                <w:szCs w:val="14"/>
                <w:color w:val="auto"/>
              </w:rPr>
            </w:pPr>
          </w:p>
        </w:tc>
      </w:tr>
      <w:tr>
        <w:trPr>
          <w:trHeight w:val="230"/>
        </w:trPr>
        <w:tc>
          <w:tcPr>
            <w:tcW w:w="5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Option</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740" w:type="dxa"/>
            <w:vAlign w:val="bottom"/>
          </w:tcPr>
          <w:p>
            <w:pPr>
              <w:spacing w:after="0"/>
              <w:rPr>
                <w:sz w:val="19"/>
                <w:szCs w:val="19"/>
                <w:color w:val="auto"/>
              </w:rPr>
            </w:pPr>
          </w:p>
        </w:tc>
      </w:tr>
      <w:tr>
        <w:trPr>
          <w:trHeight w:val="229"/>
        </w:trPr>
        <w:tc>
          <w:tcPr>
            <w:tcW w:w="5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Salary</w:t>
            </w:r>
          </w:p>
        </w:tc>
        <w:tc>
          <w:tcPr>
            <w:tcW w:w="160" w:type="dxa"/>
            <w:vAlign w:val="bottom"/>
          </w:tcPr>
          <w:p>
            <w:pPr>
              <w:spacing w:after="0"/>
              <w:rPr>
                <w:sz w:val="19"/>
                <w:szCs w:val="1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Bonus</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awards</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awards</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compensation</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3"/>
              </w:rPr>
              <w:t>Total</w:t>
            </w:r>
          </w:p>
        </w:tc>
      </w:tr>
      <w:tr>
        <w:trPr>
          <w:trHeight w:val="230"/>
        </w:trPr>
        <w:tc>
          <w:tcPr>
            <w:tcW w:w="54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700" w:type="dxa"/>
            <w:vAlign w:val="bottom"/>
            <w:gridSpan w:val="2"/>
          </w:tcPr>
          <w:p>
            <w:pPr>
              <w:jc w:val="center"/>
              <w:ind w:left="79"/>
              <w:spacing w:after="0"/>
              <w:rPr>
                <w:sz w:val="20"/>
                <w:szCs w:val="20"/>
                <w:color w:val="auto"/>
              </w:rPr>
            </w:pPr>
            <w:r>
              <w:rPr>
                <w:rFonts w:ascii="Arial" w:cs="Arial" w:eastAsia="Arial" w:hAnsi="Arial"/>
                <w:sz w:val="13"/>
                <w:szCs w:val="13"/>
                <w:b w:val="1"/>
                <w:bCs w:val="1"/>
                <w:color w:val="auto"/>
                <w:w w:val="87"/>
              </w:rPr>
              <w:t>($)</w:t>
            </w:r>
          </w:p>
        </w:tc>
        <w:tc>
          <w:tcPr>
            <w:tcW w:w="820" w:type="dxa"/>
            <w:vAlign w:val="bottom"/>
            <w:gridSpan w:val="2"/>
          </w:tcPr>
          <w:p>
            <w:pPr>
              <w:jc w:val="center"/>
              <w:ind w:left="78"/>
              <w:spacing w:after="0"/>
              <w:rPr>
                <w:sz w:val="20"/>
                <w:szCs w:val="20"/>
                <w:color w:val="auto"/>
              </w:rPr>
            </w:pPr>
            <w:r>
              <w:rPr>
                <w:rFonts w:ascii="Arial" w:cs="Arial" w:eastAsia="Arial" w:hAnsi="Arial"/>
                <w:sz w:val="13"/>
                <w:szCs w:val="13"/>
                <w:b w:val="1"/>
                <w:bCs w:val="1"/>
                <w:color w:val="auto"/>
                <w:w w:val="95"/>
              </w:rPr>
              <w:t>($) (1)</w:t>
            </w:r>
          </w:p>
        </w:tc>
        <w:tc>
          <w:tcPr>
            <w:tcW w:w="1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 (2)</w:t>
            </w: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 (2)</w:t>
            </w:r>
          </w:p>
        </w:tc>
        <w:tc>
          <w:tcPr>
            <w:tcW w:w="1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r>
      <w:tr>
        <w:trPr>
          <w:trHeight w:val="229"/>
        </w:trPr>
        <w:tc>
          <w:tcPr>
            <w:tcW w:w="5440" w:type="dxa"/>
            <w:vAlign w:val="bottom"/>
          </w:tcPr>
          <w:p>
            <w:pPr>
              <w:spacing w:after="0"/>
              <w:rPr>
                <w:sz w:val="20"/>
                <w:szCs w:val="20"/>
                <w:color w:val="auto"/>
              </w:rPr>
            </w:pPr>
            <w:r>
              <w:rPr>
                <w:rFonts w:ascii="Arial" w:cs="Arial" w:eastAsia="Arial" w:hAnsi="Arial"/>
                <w:sz w:val="13"/>
                <w:szCs w:val="13"/>
                <w:b w:val="1"/>
                <w:bCs w:val="1"/>
                <w:color w:val="auto"/>
              </w:rPr>
              <w:t>Name and principal position (a)</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160" w:type="dxa"/>
            <w:vAlign w:val="bottom"/>
          </w:tcPr>
          <w:p>
            <w:pPr>
              <w:spacing w:after="0"/>
              <w:rPr>
                <w:sz w:val="19"/>
                <w:szCs w:val="1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(d)</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(f)</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(j)</w:t>
            </w:r>
          </w:p>
        </w:tc>
      </w:tr>
      <w:tr>
        <w:trPr>
          <w:trHeight w:val="38"/>
        </w:trPr>
        <w:tc>
          <w:tcPr>
            <w:tcW w:w="5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Leonard S. Schleifer,</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2011</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785,900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2,214,100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7,450,200(3)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w w:val="87"/>
              </w:rPr>
              <w:t>112,461(6)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10,562,661</w:t>
            </w: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M.D., Ph.D.</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759,370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1,215,000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5,512,125(4)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w w:val="87"/>
              </w:rPr>
              <w:t>101,060(7)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7,587,555</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President and Chief</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2009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w w:val="84"/>
              </w:rPr>
              <w:t>734,400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2,054,720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3,456,076(5)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w w:val="87"/>
              </w:rPr>
              <w:t>104,112(8)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6,349,308</w:t>
            </w: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Executive Officer</w:t>
            </w: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7"/>
                <w:szCs w:val="17"/>
                <w:color w:val="auto"/>
              </w:rPr>
              <w:t>George D. Yancopoulos,</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2011</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w w:val="84"/>
              </w:rPr>
              <w:t>652,700</w:t>
            </w:r>
          </w:p>
        </w:tc>
        <w:tc>
          <w:tcPr>
            <w:tcW w:w="980" w:type="dxa"/>
            <w:vAlign w:val="bottom"/>
            <w:gridSpan w:val="3"/>
          </w:tcPr>
          <w:p>
            <w:pPr>
              <w:jc w:val="right"/>
              <w:ind w:right="160"/>
              <w:spacing w:after="0"/>
              <w:rPr>
                <w:sz w:val="20"/>
                <w:szCs w:val="20"/>
                <w:color w:val="auto"/>
              </w:rPr>
            </w:pPr>
            <w:r>
              <w:rPr>
                <w:rFonts w:ascii="Arial" w:cs="Arial" w:eastAsia="Arial" w:hAnsi="Arial"/>
                <w:sz w:val="17"/>
                <w:szCs w:val="17"/>
                <w:color w:val="auto"/>
              </w:rPr>
              <w:t>1,897,300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87"/>
              </w:rPr>
              <w:t>7,450,200(3)</w:t>
            </w:r>
          </w:p>
        </w:tc>
        <w:tc>
          <w:tcPr>
            <w:tcW w:w="16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7"/>
                <w:szCs w:val="17"/>
                <w:color w:val="auto"/>
                <w:w w:val="98"/>
              </w:rPr>
              <w:t>26,770(9)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4"/>
              </w:rPr>
              <w:t>10,026,970</w:t>
            </w:r>
          </w:p>
        </w:tc>
      </w:tr>
      <w:tr>
        <w:trPr>
          <w:trHeight w:val="230"/>
        </w:trPr>
        <w:tc>
          <w:tcPr>
            <w:tcW w:w="5440" w:type="dxa"/>
            <w:vAlign w:val="bottom"/>
          </w:tcPr>
          <w:p>
            <w:pPr>
              <w:spacing w:after="0"/>
              <w:rPr>
                <w:sz w:val="20"/>
                <w:szCs w:val="20"/>
                <w:color w:val="auto"/>
              </w:rPr>
            </w:pPr>
            <w:r>
              <w:rPr>
                <w:rFonts w:ascii="Arial" w:cs="Arial" w:eastAsia="Arial" w:hAnsi="Arial"/>
                <w:sz w:val="17"/>
                <w:szCs w:val="17"/>
                <w:color w:val="auto"/>
              </w:rPr>
              <w:t>M.D., Ph.D. Executive</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2010</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w w:val="84"/>
              </w:rPr>
              <w:t>630,600</w:t>
            </w:r>
          </w:p>
        </w:tc>
        <w:tc>
          <w:tcPr>
            <w:tcW w:w="980" w:type="dxa"/>
            <w:vAlign w:val="bottom"/>
            <w:gridSpan w:val="3"/>
          </w:tcPr>
          <w:p>
            <w:pPr>
              <w:jc w:val="right"/>
              <w:ind w:right="160"/>
              <w:spacing w:after="0"/>
              <w:rPr>
                <w:sz w:val="20"/>
                <w:szCs w:val="20"/>
                <w:color w:val="auto"/>
              </w:rPr>
            </w:pPr>
            <w:r>
              <w:rPr>
                <w:rFonts w:ascii="Arial" w:cs="Arial" w:eastAsia="Arial" w:hAnsi="Arial"/>
                <w:sz w:val="17"/>
                <w:szCs w:val="17"/>
                <w:color w:val="auto"/>
              </w:rPr>
              <w:t>630,600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7,657,500</w:t>
            </w:r>
          </w:p>
        </w:tc>
        <w:tc>
          <w:tcPr>
            <w:tcW w:w="860" w:type="dxa"/>
            <w:vAlign w:val="bottom"/>
          </w:tcPr>
          <w:p>
            <w:pPr>
              <w:jc w:val="center"/>
              <w:spacing w:after="0"/>
              <w:rPr>
                <w:sz w:val="20"/>
                <w:szCs w:val="20"/>
                <w:color w:val="auto"/>
              </w:rPr>
            </w:pPr>
            <w:r>
              <w:rPr>
                <w:rFonts w:ascii="Arial" w:cs="Arial" w:eastAsia="Arial" w:hAnsi="Arial"/>
                <w:sz w:val="17"/>
                <w:szCs w:val="17"/>
                <w:color w:val="auto"/>
                <w:w w:val="87"/>
              </w:rPr>
              <w:t>4,409,700(4)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23,940(10)</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4"/>
              </w:rPr>
              <w:t>13,352,340</w:t>
            </w:r>
          </w:p>
        </w:tc>
      </w:tr>
      <w:tr>
        <w:trPr>
          <w:trHeight w:val="229"/>
        </w:trPr>
        <w:tc>
          <w:tcPr>
            <w:tcW w:w="5440" w:type="dxa"/>
            <w:vAlign w:val="bottom"/>
          </w:tcPr>
          <w:p>
            <w:pPr>
              <w:spacing w:after="0"/>
              <w:rPr>
                <w:sz w:val="20"/>
                <w:szCs w:val="20"/>
                <w:color w:val="auto"/>
              </w:rPr>
            </w:pPr>
            <w:r>
              <w:rPr>
                <w:rFonts w:ascii="Arial" w:cs="Arial" w:eastAsia="Arial" w:hAnsi="Arial"/>
                <w:sz w:val="17"/>
                <w:szCs w:val="17"/>
                <w:color w:val="auto"/>
              </w:rPr>
              <w:t>Vice President, Chief</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2009</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w w:val="84"/>
              </w:rPr>
              <w:t>609,900</w:t>
            </w:r>
          </w:p>
        </w:tc>
        <w:tc>
          <w:tcPr>
            <w:tcW w:w="980" w:type="dxa"/>
            <w:vAlign w:val="bottom"/>
            <w:gridSpan w:val="3"/>
          </w:tcPr>
          <w:p>
            <w:pPr>
              <w:jc w:val="right"/>
              <w:ind w:right="160"/>
              <w:spacing w:after="0"/>
              <w:rPr>
                <w:sz w:val="20"/>
                <w:szCs w:val="20"/>
                <w:color w:val="auto"/>
              </w:rPr>
            </w:pPr>
            <w:r>
              <w:rPr>
                <w:rFonts w:ascii="Arial" w:cs="Arial" w:eastAsia="Arial" w:hAnsi="Arial"/>
                <w:sz w:val="17"/>
                <w:szCs w:val="17"/>
                <w:color w:val="auto"/>
              </w:rPr>
              <w:t>1,709,900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87"/>
              </w:rPr>
              <w:t>2,764,860(5)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23,715(11)</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5,108,375</w:t>
            </w:r>
          </w:p>
        </w:tc>
      </w:tr>
      <w:tr>
        <w:trPr>
          <w:trHeight w:val="230"/>
        </w:trPr>
        <w:tc>
          <w:tcPr>
            <w:tcW w:w="5440" w:type="dxa"/>
            <w:vAlign w:val="bottom"/>
          </w:tcPr>
          <w:p>
            <w:pPr>
              <w:spacing w:after="0"/>
              <w:rPr>
                <w:sz w:val="20"/>
                <w:szCs w:val="20"/>
                <w:color w:val="auto"/>
              </w:rPr>
            </w:pPr>
            <w:r>
              <w:rPr>
                <w:rFonts w:ascii="Arial" w:cs="Arial" w:eastAsia="Arial" w:hAnsi="Arial"/>
                <w:sz w:val="17"/>
                <w:szCs w:val="17"/>
                <w:color w:val="auto"/>
              </w:rPr>
              <w:t>Scientific Officer and</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7"/>
                <w:szCs w:val="17"/>
                <w:color w:val="auto"/>
              </w:rPr>
              <w:t>President, Regeneron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6"/>
        </w:trPr>
        <w:tc>
          <w:tcPr>
            <w:tcW w:w="5440" w:type="dxa"/>
            <w:vAlign w:val="bottom"/>
          </w:tcPr>
          <w:p>
            <w:pPr>
              <w:spacing w:after="0"/>
              <w:rPr>
                <w:sz w:val="20"/>
                <w:szCs w:val="20"/>
                <w:color w:val="auto"/>
              </w:rPr>
            </w:pPr>
            <w:r>
              <w:rPr>
                <w:rFonts w:ascii="Arial" w:cs="Arial" w:eastAsia="Arial" w:hAnsi="Arial"/>
                <w:sz w:val="17"/>
                <w:szCs w:val="17"/>
                <w:color w:val="auto"/>
              </w:rPr>
              <w:t>Research Laboratories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Murray A. Goldberg</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2011</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448,800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363,528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2,262,866(3)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30,579(12)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3,105,773</w:t>
            </w: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433,600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351,216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918,900</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1,908,071(4)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26,232(13)</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3,638,019</w:t>
            </w: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Finance &amp; Administration,</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2009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w w:val="84"/>
              </w:rPr>
              <w:t>419,300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545,187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1,036,822(5)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13,540(14)</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2,014,849</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Treasurer, and Assistant</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Secretary</w:t>
            </w: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7"/>
                <w:szCs w:val="17"/>
                <w:color w:val="auto"/>
              </w:rPr>
              <w:t>Joseph J. LaRosa (17)</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2011</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w w:val="84"/>
              </w:rPr>
              <w:t>118,990</w:t>
            </w:r>
          </w:p>
        </w:tc>
        <w:tc>
          <w:tcPr>
            <w:tcW w:w="980" w:type="dxa"/>
            <w:vAlign w:val="bottom"/>
            <w:gridSpan w:val="3"/>
          </w:tcPr>
          <w:p>
            <w:pPr>
              <w:jc w:val="right"/>
              <w:ind w:right="160"/>
              <w:spacing w:after="0"/>
              <w:rPr>
                <w:sz w:val="20"/>
                <w:szCs w:val="20"/>
                <w:color w:val="auto"/>
              </w:rPr>
            </w:pPr>
            <w:r>
              <w:rPr>
                <w:rFonts w:ascii="Arial" w:cs="Arial" w:eastAsia="Arial" w:hAnsi="Arial"/>
                <w:sz w:val="17"/>
                <w:szCs w:val="17"/>
                <w:color w:val="auto"/>
              </w:rPr>
              <w:t>90,000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592,000</w:t>
            </w:r>
          </w:p>
        </w:tc>
        <w:tc>
          <w:tcPr>
            <w:tcW w:w="860" w:type="dxa"/>
            <w:vAlign w:val="bottom"/>
          </w:tcPr>
          <w:p>
            <w:pPr>
              <w:jc w:val="center"/>
              <w:spacing w:after="0"/>
              <w:rPr>
                <w:sz w:val="20"/>
                <w:szCs w:val="20"/>
                <w:color w:val="auto"/>
              </w:rPr>
            </w:pPr>
            <w:r>
              <w:rPr>
                <w:rFonts w:ascii="Arial" w:cs="Arial" w:eastAsia="Arial" w:hAnsi="Arial"/>
                <w:sz w:val="17"/>
                <w:szCs w:val="17"/>
                <w:color w:val="auto"/>
                <w:w w:val="87"/>
              </w:rPr>
              <w:t>2,580,127(3)</w:t>
            </w: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3,381,117</w:t>
            </w:r>
          </w:p>
        </w:tc>
      </w:tr>
      <w:tr>
        <w:trPr>
          <w:trHeight w:val="230"/>
        </w:trPr>
        <w:tc>
          <w:tcPr>
            <w:tcW w:w="5440" w:type="dxa"/>
            <w:vAlign w:val="bottom"/>
          </w:tcPr>
          <w:p>
            <w:pPr>
              <w:spacing w:after="0"/>
              <w:rPr>
                <w:sz w:val="20"/>
                <w:szCs w:val="20"/>
                <w:color w:val="auto"/>
              </w:rPr>
            </w:pPr>
            <w:r>
              <w:rPr>
                <w:rFonts w:ascii="Arial" w:cs="Arial" w:eastAsia="Arial" w:hAnsi="Arial"/>
                <w:sz w:val="17"/>
                <w:szCs w:val="17"/>
                <w:color w:val="auto"/>
              </w:rPr>
              <w:t>Senior Vice President,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6"/>
        </w:trPr>
        <w:tc>
          <w:tcPr>
            <w:tcW w:w="5440" w:type="dxa"/>
            <w:vAlign w:val="bottom"/>
          </w:tcPr>
          <w:p>
            <w:pPr>
              <w:spacing w:after="0"/>
              <w:rPr>
                <w:sz w:val="20"/>
                <w:szCs w:val="20"/>
                <w:color w:val="auto"/>
              </w:rPr>
            </w:pPr>
            <w:r>
              <w:rPr>
                <w:rFonts w:ascii="Arial" w:cs="Arial" w:eastAsia="Arial" w:hAnsi="Arial"/>
                <w:sz w:val="17"/>
                <w:szCs w:val="17"/>
                <w:color w:val="auto"/>
              </w:rPr>
              <w:t>General Counsel and Secretary</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Neil Stahl, Ph.D.</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2011</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445,100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360,531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2,328,187(3)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16,420(15)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3,150,238</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430,000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340,560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1,531,500</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2,204,850(4)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13,540(16)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4,520,450</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Research &amp; Development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2009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w w:val="84"/>
              </w:rPr>
              <w:t>390,400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1,081,088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1,382,430(5)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13,540(14)</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2,867,458</w:t>
            </w: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Sciences</w:t>
            </w: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60"/>
        </w:trPr>
        <w:tc>
          <w:tcPr>
            <w:tcW w:w="5440" w:type="dxa"/>
            <w:vAlign w:val="bottom"/>
          </w:tcPr>
          <w:p>
            <w:pPr>
              <w:spacing w:after="0"/>
              <w:rPr>
                <w:sz w:val="20"/>
                <w:szCs w:val="20"/>
                <w:color w:val="auto"/>
              </w:rPr>
            </w:pPr>
            <w:r>
              <w:rPr>
                <w:rFonts w:ascii="Arial" w:cs="Arial" w:eastAsia="Arial" w:hAnsi="Arial"/>
                <w:sz w:val="20"/>
                <w:szCs w:val="20"/>
                <w:color w:val="auto"/>
              </w:rPr>
              <w:t>____________________</w:t>
            </w: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spacing w:after="0" w:line="191" w:lineRule="exact"/>
        <w:rPr>
          <w:sz w:val="20"/>
          <w:szCs w:val="20"/>
          <w:color w:val="auto"/>
        </w:rPr>
      </w:pPr>
    </w:p>
    <w:p>
      <w:pPr>
        <w:ind w:left="460" w:hanging="458"/>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Bonuses are shown in the year in which they were accrued and earned. In each case, they were paid in January of the following year.</w:t>
      </w:r>
    </w:p>
    <w:p>
      <w:pPr>
        <w:spacing w:after="0" w:line="238" w:lineRule="exact"/>
        <w:rPr>
          <w:rFonts w:ascii="Arial" w:cs="Arial" w:eastAsia="Arial" w:hAnsi="Arial"/>
          <w:sz w:val="17"/>
          <w:szCs w:val="17"/>
          <w:color w:val="auto"/>
        </w:rPr>
      </w:pPr>
    </w:p>
    <w:p>
      <w:pPr>
        <w:ind w:left="460" w:right="200" w:hanging="458"/>
        <w:spacing w:after="0" w:line="302"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amounts in column (e) and (f) reflect the respective aggregate grant date fair values (disregarding estimated forfeitures) of stock and option awards granted in 2011, 2010, and 2009, respectively, pursuant to the Company’s Second Amended and Restated 2000 Long-Term Incentive Plan (or a predecessor version of the plan). Assumptions used in the calculation of these amounts are included in footnote 14 to the Company’s audited financial statements for the fiscal year ended December 31, 2011 included in the Company’s Annual Report on Form 10-K filed with the Securities and Exchange Commission on February 21, 2012.</w:t>
      </w:r>
    </w:p>
    <w:p>
      <w:pPr>
        <w:spacing w:after="0" w:line="177" w:lineRule="exact"/>
        <w:rPr>
          <w:rFonts w:ascii="Arial" w:cs="Arial" w:eastAsia="Arial" w:hAnsi="Arial"/>
          <w:sz w:val="15"/>
          <w:szCs w:val="15"/>
          <w:color w:val="auto"/>
        </w:rPr>
      </w:pPr>
    </w:p>
    <w:p>
      <w:pPr>
        <w:ind w:left="460" w:right="40" w:hanging="458"/>
        <w:spacing w:after="0" w:line="25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Reflects the aggregate grant date fair value of time based vesting option awards and performance based vesting option awards granted in 2011. At the time of grant of the performance based vesting options, the Company considered the attainment of 50.7% of the performance conditions to be probable, and therefore the aggregate grant date fair value of option awards granted in 2011 as reported in column (f) assumes the vesting of 50.7% of the performance based vesting options, resulting in respective grant date fair values for such awards as follow: Dr. Schleifer: $3,278,552; Dr. Yancopoulos: $3,278,552; Mr. Goldberg: $819,638; Mr. LaRosa: $81,964; and Dr. Stahl: $1,024,547. The grant date fair value of the performance based vesting options, assuming the highest level of performance conditions will be achieved (and thus 100% vesting), is as follows: Dr. Schleifer: $6,470,400; Dr. Yancopoulos: $6,470,400; Mr. Goldberg: $1,617,600; Mr. LaRosa: $161,760; and Dr. Stahl: $2,022,000.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38" w:name="page39"/>
    <w:bookmarkEnd w:id="38"/>
    <w:p>
      <w:pPr>
        <w:ind w:left="578" w:hanging="578"/>
        <w:spacing w:after="0" w:line="427" w:lineRule="auto"/>
        <w:tabs>
          <w:tab w:leader="none" w:pos="578"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Reflects the aggregate grant date fair value of time based vesting option awards and performance based vesting option awards granted in 2010. The grant fair value of the performance based vesting options included in such aggregate grant date fair value as reported in column (f) assumes the vesting of 100% of such options.</w:t>
      </w:r>
    </w:p>
    <w:p>
      <w:pPr>
        <w:spacing w:after="0" w:line="80" w:lineRule="exact"/>
        <w:rPr>
          <w:rFonts w:ascii="Arial" w:cs="Arial" w:eastAsia="Arial" w:hAnsi="Arial"/>
          <w:sz w:val="13"/>
          <w:szCs w:val="13"/>
          <w:color w:val="auto"/>
        </w:rPr>
      </w:pPr>
    </w:p>
    <w:p>
      <w:pPr>
        <w:ind w:left="578" w:hanging="578"/>
        <w:spacing w:after="0" w:line="294" w:lineRule="auto"/>
        <w:tabs>
          <w:tab w:leader="none" w:pos="578"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Reflects the aggregate grant date fair value of time based vesting option awards and performance based vesting option awards granted in 2009. At the time of grant of the performance based vesting options, the Company considered the attainment of 66.7% of the performance conditions to be probable, and, therefore, the aggregate grant date fair value of option awards granted in 2009 as reported in column (f) assumes the vesting of 66.7% of the performance based vesting options, resulting in respective grant date fair values for such awards as follow: Dr. Schleifer: $1,757,988, Dr. Yancopoulos: $1,406,390, Mr. Goldberg: $527,396, and Dr. Stahl: $703,195 The grant date fair value of the performance based vesting options, assuming the highest level of performance conditions will be achieved (and thus 100% vesting), is as follows: Dr. Schleifer: $2,636,850, Dr. Yancopoulos: $2,109,480, Mr. Goldberg: $791,055, and Dr. Stahl: $1,054,740.</w:t>
      </w:r>
    </w:p>
    <w:p>
      <w:pPr>
        <w:spacing w:after="0" w:line="160" w:lineRule="exact"/>
        <w:rPr>
          <w:rFonts w:ascii="Arial" w:cs="Arial" w:eastAsia="Arial" w:hAnsi="Arial"/>
          <w:sz w:val="15"/>
          <w:szCs w:val="15"/>
          <w:color w:val="auto"/>
        </w:rPr>
      </w:pPr>
    </w:p>
    <w:p>
      <w:pPr>
        <w:ind w:left="578" w:hanging="578"/>
        <w:spacing w:after="0"/>
        <w:tabs>
          <w:tab w:leader="none" w:pos="57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amount includes (i) $21,402 for a car allowance and related expenses, (ii) $23,957 for life insurance and long-term disability insurance premiums, (iii)</w:t>
      </w:r>
    </w:p>
    <w:p>
      <w:pPr>
        <w:spacing w:after="0" w:line="39" w:lineRule="exact"/>
        <w:rPr>
          <w:rFonts w:ascii="Arial" w:cs="Arial" w:eastAsia="Arial" w:hAnsi="Arial"/>
          <w:sz w:val="15"/>
          <w:szCs w:val="15"/>
          <w:color w:val="auto"/>
        </w:rPr>
      </w:pPr>
    </w:p>
    <w:p>
      <w:pPr>
        <w:ind w:left="578"/>
        <w:spacing w:after="0" w:line="255" w:lineRule="auto"/>
        <w:rPr>
          <w:rFonts w:ascii="Arial" w:cs="Arial" w:eastAsia="Arial" w:hAnsi="Arial"/>
          <w:sz w:val="15"/>
          <w:szCs w:val="15"/>
          <w:color w:val="auto"/>
        </w:rPr>
      </w:pPr>
      <w:r>
        <w:rPr>
          <w:rFonts w:ascii="Arial" w:cs="Arial" w:eastAsia="Arial" w:hAnsi="Arial"/>
          <w:sz w:val="17"/>
          <w:szCs w:val="17"/>
          <w:color w:val="auto"/>
        </w:rPr>
        <w:t>$14,879 for medical malpractice insurance premiums, (iv) $7,350 for 401(k) Savings Plan matching contributions in February 2012, (v) $18,500 for dues related to the Company’s club membership, (vi) $11,773 for legal, tax, and financial planning advisory services, (vii) $9,797 for tax gross-ups related to legal, tax, and financial planning advisory services, and (viii) $4,803 for certain other miscellaneous expenses.</w:t>
      </w:r>
    </w:p>
    <w:p>
      <w:pPr>
        <w:spacing w:after="0" w:line="185" w:lineRule="exact"/>
        <w:rPr>
          <w:rFonts w:ascii="Arial" w:cs="Arial" w:eastAsia="Arial" w:hAnsi="Arial"/>
          <w:sz w:val="15"/>
          <w:szCs w:val="15"/>
          <w:color w:val="auto"/>
        </w:rPr>
      </w:pPr>
    </w:p>
    <w:p>
      <w:pPr>
        <w:ind w:left="578" w:hanging="578"/>
        <w:spacing w:after="0"/>
        <w:tabs>
          <w:tab w:leader="none" w:pos="57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amount includes (i) $20,312 for a car allowance and related expenses, (ii) $20,401 for life insurance and long-term disability insurance premiums, (iii)</w:t>
      </w:r>
    </w:p>
    <w:p>
      <w:pPr>
        <w:spacing w:after="0" w:line="39" w:lineRule="exact"/>
        <w:rPr>
          <w:rFonts w:ascii="Arial" w:cs="Arial" w:eastAsia="Arial" w:hAnsi="Arial"/>
          <w:sz w:val="15"/>
          <w:szCs w:val="15"/>
          <w:color w:val="auto"/>
        </w:rPr>
      </w:pPr>
    </w:p>
    <w:p>
      <w:pPr>
        <w:ind w:left="578"/>
        <w:spacing w:after="0" w:line="255" w:lineRule="auto"/>
        <w:rPr>
          <w:rFonts w:ascii="Arial" w:cs="Arial" w:eastAsia="Arial" w:hAnsi="Arial"/>
          <w:sz w:val="15"/>
          <w:szCs w:val="15"/>
          <w:color w:val="auto"/>
        </w:rPr>
      </w:pPr>
      <w:r>
        <w:rPr>
          <w:rFonts w:ascii="Arial" w:cs="Arial" w:eastAsia="Arial" w:hAnsi="Arial"/>
          <w:sz w:val="17"/>
          <w:szCs w:val="17"/>
          <w:color w:val="auto"/>
        </w:rPr>
        <w:t>$16,061 for medical malpractice insurance premiums, (iv) $7,350 for 401(k) Savings Plan matching contributions in February 2011, (v) $17,500 for dues related to the Company’s club membership, (vi) $10,201 for legal, tax, and financial planning advisory services, (vii) $8,490 for tax gross-ups related to legal, tax, and financial planning advisory services, and (viii) $745 for certain other miscellaneous expenses.</w:t>
      </w:r>
    </w:p>
    <w:p>
      <w:pPr>
        <w:spacing w:after="0" w:line="185" w:lineRule="exact"/>
        <w:rPr>
          <w:rFonts w:ascii="Arial" w:cs="Arial" w:eastAsia="Arial" w:hAnsi="Arial"/>
          <w:sz w:val="15"/>
          <w:szCs w:val="15"/>
          <w:color w:val="auto"/>
        </w:rPr>
      </w:pPr>
    </w:p>
    <w:p>
      <w:pPr>
        <w:ind w:left="578" w:hanging="578"/>
        <w:spacing w:after="0"/>
        <w:tabs>
          <w:tab w:leader="none" w:pos="57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amount includes (i) $20,289 for a car allowance and related expenses, (ii) $20,401 for life insurance and long-term disability insurance premiums, (iii)</w:t>
      </w:r>
    </w:p>
    <w:p>
      <w:pPr>
        <w:spacing w:after="0" w:line="39" w:lineRule="exact"/>
        <w:rPr>
          <w:rFonts w:ascii="Arial" w:cs="Arial" w:eastAsia="Arial" w:hAnsi="Arial"/>
          <w:sz w:val="15"/>
          <w:szCs w:val="15"/>
          <w:color w:val="auto"/>
        </w:rPr>
      </w:pPr>
    </w:p>
    <w:p>
      <w:pPr>
        <w:ind w:left="578"/>
        <w:spacing w:after="0" w:line="255" w:lineRule="auto"/>
        <w:rPr>
          <w:rFonts w:ascii="Arial" w:cs="Arial" w:eastAsia="Arial" w:hAnsi="Arial"/>
          <w:sz w:val="15"/>
          <w:szCs w:val="15"/>
          <w:color w:val="auto"/>
        </w:rPr>
      </w:pPr>
      <w:r>
        <w:rPr>
          <w:rFonts w:ascii="Arial" w:cs="Arial" w:eastAsia="Arial" w:hAnsi="Arial"/>
          <w:sz w:val="17"/>
          <w:szCs w:val="17"/>
          <w:color w:val="auto"/>
        </w:rPr>
        <w:t>$16,423 for medical malpractice insurance premiums, (iv) $7,350 for 401(k) Savings Plan matching contributions in February 2010, (v) $17,500 for dues related to the Company’s club membership, (vi) $11,734 for legal, tax, and financial planning advisory services, (vii) $9,765 for tax gross-ups related to legal, tax, and financial planning advisory services, and (viii) $650 for certain other miscellaneous expenses.</w:t>
      </w:r>
    </w:p>
    <w:p>
      <w:pPr>
        <w:spacing w:after="0" w:line="185" w:lineRule="exact"/>
        <w:rPr>
          <w:rFonts w:ascii="Arial" w:cs="Arial" w:eastAsia="Arial" w:hAnsi="Arial"/>
          <w:sz w:val="15"/>
          <w:szCs w:val="15"/>
          <w:color w:val="auto"/>
        </w:rPr>
      </w:pPr>
    </w:p>
    <w:p>
      <w:pPr>
        <w:ind w:left="578" w:right="120" w:hanging="578"/>
        <w:spacing w:after="0" w:line="270" w:lineRule="auto"/>
        <w:tabs>
          <w:tab w:leader="none" w:pos="5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$7,350 for 401(k) Savings Plan matching contributions in February 2012, and (iii) $9,020 for tax and financial planning advisory services.</w:t>
      </w:r>
    </w:p>
    <w:p>
      <w:pPr>
        <w:spacing w:after="0" w:line="172" w:lineRule="exact"/>
        <w:rPr>
          <w:rFonts w:ascii="Arial" w:cs="Arial" w:eastAsia="Arial" w:hAnsi="Arial"/>
          <w:sz w:val="17"/>
          <w:szCs w:val="17"/>
          <w:color w:val="auto"/>
        </w:rPr>
      </w:pPr>
    </w:p>
    <w:p>
      <w:pPr>
        <w:ind w:left="578" w:right="140" w:hanging="578"/>
        <w:spacing w:after="0" w:line="270" w:lineRule="auto"/>
        <w:tabs>
          <w:tab w:leader="none" w:pos="5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$7,350 for 401(k) Savings Plan matching contributions in February 2011, and (iii) $6,190 for tax and financial planning advisory services.</w:t>
      </w:r>
    </w:p>
    <w:p>
      <w:pPr>
        <w:spacing w:after="0" w:line="172" w:lineRule="exact"/>
        <w:rPr>
          <w:rFonts w:ascii="Arial" w:cs="Arial" w:eastAsia="Arial" w:hAnsi="Arial"/>
          <w:sz w:val="17"/>
          <w:szCs w:val="17"/>
          <w:color w:val="auto"/>
        </w:rPr>
      </w:pPr>
    </w:p>
    <w:p>
      <w:pPr>
        <w:ind w:left="578" w:right="400" w:hanging="578"/>
        <w:spacing w:after="0" w:line="270" w:lineRule="auto"/>
        <w:tabs>
          <w:tab w:leader="none" w:pos="5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$7,350 for 401(k) Savings Plan matching contributions in February 2010, (iii) $5,965 for tax and financial planning advisory services.</w:t>
      </w:r>
    </w:p>
    <w:p>
      <w:pPr>
        <w:spacing w:after="0" w:line="172" w:lineRule="exact"/>
        <w:rPr>
          <w:rFonts w:ascii="Arial" w:cs="Arial" w:eastAsia="Arial" w:hAnsi="Arial"/>
          <w:sz w:val="17"/>
          <w:szCs w:val="17"/>
          <w:color w:val="auto"/>
        </w:rPr>
      </w:pPr>
    </w:p>
    <w:p>
      <w:pPr>
        <w:ind w:left="578" w:right="420" w:hanging="578"/>
        <w:spacing w:after="0" w:line="270" w:lineRule="auto"/>
        <w:tabs>
          <w:tab w:leader="none" w:pos="5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amount includes (i) $14,159 for a company-provided car service for commuting purposes, (ii) $7,350 for 401(k) Savings Plan matching contributions in February 2012, and (iii) $9,070 for tax and financial planning advisory services.</w:t>
      </w:r>
    </w:p>
    <w:p>
      <w:pPr>
        <w:spacing w:after="0" w:line="172" w:lineRule="exact"/>
        <w:rPr>
          <w:rFonts w:ascii="Arial" w:cs="Arial" w:eastAsia="Arial" w:hAnsi="Arial"/>
          <w:sz w:val="17"/>
          <w:szCs w:val="17"/>
          <w:color w:val="auto"/>
        </w:rPr>
      </w:pPr>
    </w:p>
    <w:p>
      <w:pPr>
        <w:ind w:left="578" w:right="420" w:hanging="578"/>
        <w:spacing w:after="0" w:line="270" w:lineRule="auto"/>
        <w:tabs>
          <w:tab w:leader="none" w:pos="5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amount includes (i) $12,692 for a company-provided car service for commuting purposes, (ii) $7,350 for 401(k) Savings Plan matching contributions in February 2011, and (iii) $6,190 for tax and financial planning advisory services.</w:t>
      </w:r>
    </w:p>
    <w:p>
      <w:pPr>
        <w:spacing w:after="0" w:line="172" w:lineRule="exact"/>
        <w:rPr>
          <w:rFonts w:ascii="Arial" w:cs="Arial" w:eastAsia="Arial" w:hAnsi="Arial"/>
          <w:sz w:val="17"/>
          <w:szCs w:val="17"/>
          <w:color w:val="auto"/>
        </w:rPr>
      </w:pPr>
    </w:p>
    <w:p>
      <w:pPr>
        <w:ind w:left="578" w:hanging="578"/>
        <w:spacing w:after="0"/>
        <w:tabs>
          <w:tab w:leader="none" w:pos="57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amount includes (i) $7,350 for 401(k) Savings Plan matching contributions in February 2010, and (ii) $6,190 for tax and financial planning advisory services.</w:t>
      </w:r>
    </w:p>
    <w:p>
      <w:pPr>
        <w:spacing w:after="0" w:line="235" w:lineRule="exact"/>
        <w:rPr>
          <w:rFonts w:ascii="Arial" w:cs="Arial" w:eastAsia="Arial" w:hAnsi="Arial"/>
          <w:sz w:val="15"/>
          <w:szCs w:val="15"/>
          <w:color w:val="auto"/>
        </w:rPr>
      </w:pPr>
    </w:p>
    <w:p>
      <w:pPr>
        <w:ind w:left="578" w:right="520" w:hanging="578"/>
        <w:spacing w:after="0" w:line="270" w:lineRule="auto"/>
        <w:tabs>
          <w:tab w:leader="none" w:pos="5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amount includes (i) $7,350 for 401(k) Savings Plan matching contributions in February 2012, and (ii) $9,070 $ for tax and financial planning advisory services.</w:t>
      </w:r>
    </w:p>
    <w:p>
      <w:pPr>
        <w:spacing w:after="0" w:line="172" w:lineRule="exact"/>
        <w:rPr>
          <w:rFonts w:ascii="Arial" w:cs="Arial" w:eastAsia="Arial" w:hAnsi="Arial"/>
          <w:sz w:val="17"/>
          <w:szCs w:val="17"/>
          <w:color w:val="auto"/>
        </w:rPr>
      </w:pPr>
    </w:p>
    <w:p>
      <w:pPr>
        <w:ind w:left="578" w:hanging="578"/>
        <w:spacing w:after="0"/>
        <w:tabs>
          <w:tab w:leader="none" w:pos="57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amount includes (i) $7,350 for 401(k) Savings Plan matching contributions in February 2011, and (ii) $6,190 for tax and financial planning advisory services.</w:t>
      </w:r>
    </w:p>
    <w:p>
      <w:pPr>
        <w:spacing w:after="0" w:line="235" w:lineRule="exact"/>
        <w:rPr>
          <w:rFonts w:ascii="Arial" w:cs="Arial" w:eastAsia="Arial" w:hAnsi="Arial"/>
          <w:sz w:val="15"/>
          <w:szCs w:val="15"/>
          <w:color w:val="auto"/>
        </w:rPr>
      </w:pPr>
    </w:p>
    <w:p>
      <w:pPr>
        <w:ind w:left="578" w:hanging="578"/>
        <w:spacing w:after="0"/>
        <w:tabs>
          <w:tab w:leader="none" w:pos="5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Mr. LaRosa joined the Company in September, 2011 and was not a Named Officer in 2009 or 2010.</w:t>
      </w:r>
    </w:p>
    <w:p>
      <w:pPr>
        <w:spacing w:after="0" w:line="213"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7519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98"/>
          </w:cols>
          <w:pgMar w:left="242" w:top="360" w:right="25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Grants of Plan-Based Awards</w:t>
      </w:r>
    </w:p>
    <w:p>
      <w:pPr>
        <w:spacing w:after="0" w:line="242" w:lineRule="exact"/>
        <w:rPr>
          <w:sz w:val="20"/>
          <w:szCs w:val="20"/>
          <w:color w:val="auto"/>
        </w:rPr>
      </w:pPr>
    </w:p>
    <w:p>
      <w:pPr>
        <w:ind w:right="500" w:firstLine="255"/>
        <w:spacing w:after="0" w:line="270" w:lineRule="auto"/>
        <w:rPr>
          <w:sz w:val="20"/>
          <w:szCs w:val="20"/>
          <w:color w:val="auto"/>
        </w:rPr>
      </w:pPr>
      <w:r>
        <w:rPr>
          <w:rFonts w:ascii="Arial" w:cs="Arial" w:eastAsia="Arial" w:hAnsi="Arial"/>
          <w:sz w:val="17"/>
          <w:szCs w:val="17"/>
          <w:color w:val="auto"/>
        </w:rPr>
        <w:t>The following table and explanatory footnotes sets forth each equity award granted to our Named Officers during 2011. There were no non-equity incentive plan awards granted in 2011.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PLAN-BASED AWARDS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All</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other</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All other</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option</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awards:</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awards: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number</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number</w:t>
            </w: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Exercise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r>
      <w:tr>
        <w:trPr>
          <w:trHeight w:val="230"/>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of</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of</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or base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date fair</w:t>
            </w:r>
          </w:p>
        </w:tc>
      </w:t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shares</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securities</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price of</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r>
      <w:tr>
        <w:trPr>
          <w:trHeight w:val="230"/>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of</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under-</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option</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stock and</w:t>
            </w:r>
          </w:p>
        </w:tc>
      </w:t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stock or</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lying</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awards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option</w:t>
            </w:r>
          </w:p>
        </w:tc>
      </w:t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Grant</w:t>
            </w: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units</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options</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($/Sh)</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r>
      <w:tr>
        <w:trPr>
          <w:trHeight w:val="230"/>
        </w:trPr>
        <w:tc>
          <w:tcPr>
            <w:tcW w:w="70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date</w:t>
            </w:r>
          </w:p>
        </w:tc>
        <w:tc>
          <w:tcPr>
            <w:tcW w:w="720" w:type="dxa"/>
            <w:vAlign w:val="bottom"/>
            <w:gridSpan w:val="2"/>
          </w:tcPr>
          <w:p>
            <w:pPr>
              <w:jc w:val="center"/>
              <w:ind w:left="16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 (5)</w:t>
            </w:r>
          </w:p>
        </w:tc>
      </w:tr>
      <w:tr>
        <w:trPr>
          <w:trHeight w:val="229"/>
        </w:trPr>
        <w:tc>
          <w:tcPr>
            <w:tcW w:w="7060" w:type="dxa"/>
            <w:vAlign w:val="bottom"/>
          </w:tcPr>
          <w:p>
            <w:pPr>
              <w:spacing w:after="0"/>
              <w:rPr>
                <w:sz w:val="20"/>
                <w:szCs w:val="20"/>
                <w:color w:val="auto"/>
              </w:rPr>
            </w:pPr>
            <w:r>
              <w:rPr>
                <w:rFonts w:ascii="Arial" w:cs="Arial" w:eastAsia="Arial" w:hAnsi="Arial"/>
                <w:sz w:val="13"/>
                <w:szCs w:val="13"/>
                <w:b w:val="1"/>
                <w:bCs w:val="1"/>
                <w:color w:val="auto"/>
              </w:rPr>
              <w:t>(a)</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60" w:type="dxa"/>
            <w:vAlign w:val="bottom"/>
          </w:tcPr>
          <w:p>
            <w:pPr>
              <w:spacing w:after="0"/>
              <w:rPr>
                <w:sz w:val="19"/>
                <w:szCs w:val="19"/>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(j)</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(k)</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(l)</w:t>
            </w:r>
          </w:p>
        </w:tc>
      </w:tr>
      <w:tr>
        <w:trPr>
          <w:trHeight w:val="38"/>
        </w:trPr>
        <w:tc>
          <w:tcPr>
            <w:tcW w:w="70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8"/>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Leonard S. Schleifer, M.D., Ph.D.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12/16/2011(2)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7"/>
              </w:rPr>
              <w:t>160,000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4,171,648</w:t>
            </w:r>
          </w:p>
        </w:tc>
      </w:tr>
      <w:tr>
        <w:trPr>
          <w:trHeight w:val="243"/>
        </w:trPr>
        <w:tc>
          <w:tcPr>
            <w:tcW w:w="70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12/16/2011(4)</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7"/>
              </w:rPr>
              <w:t>240,000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3,278.552</w:t>
            </w:r>
          </w:p>
        </w:tc>
      </w:tr>
      <w:tr>
        <w:trPr>
          <w:trHeight w:val="216"/>
        </w:trPr>
        <w:tc>
          <w:tcPr>
            <w:tcW w:w="706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12/16/2011(3)</w:t>
            </w:r>
          </w:p>
        </w:tc>
        <w:tc>
          <w:tcPr>
            <w:tcW w:w="2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160,000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4,171,648</w:t>
            </w:r>
          </w:p>
        </w:tc>
      </w:tr>
      <w:tr>
        <w:trPr>
          <w:trHeight w:val="236"/>
        </w:trPr>
        <w:tc>
          <w:tcPr>
            <w:tcW w:w="70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12/16/2011(4)</w:t>
            </w:r>
          </w:p>
        </w:tc>
        <w:tc>
          <w:tcPr>
            <w:tcW w:w="2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240,000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3,278,552</w:t>
            </w:r>
          </w:p>
        </w:tc>
      </w:tr>
      <w:tr>
        <w:trPr>
          <w:trHeight w:val="22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Murray A. Goldberg</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12/16/2011(3)</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40,000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1,042,912</w:t>
            </w:r>
          </w:p>
        </w:tc>
      </w:tr>
      <w:tr>
        <w:trPr>
          <w:trHeight w:val="229"/>
        </w:trPr>
        <w:tc>
          <w:tcPr>
            <w:tcW w:w="7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12/16/2011(4)</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60,000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819,638</w:t>
            </w:r>
          </w:p>
        </w:tc>
      </w:tr>
      <w:tr>
        <w:trPr>
          <w:trHeight w:val="229"/>
        </w:trPr>
        <w:tc>
          <w:tcPr>
            <w:tcW w:w="7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5"/>
              </w:rPr>
              <w:t>9/8/2011(6)</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4,168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72.60</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120,371</w:t>
            </w:r>
          </w:p>
        </w:tc>
      </w:tr>
      <w:tr>
        <w:trPr>
          <w:trHeight w:val="230"/>
        </w:trPr>
        <w:tc>
          <w:tcPr>
            <w:tcW w:w="7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5"/>
              </w:rPr>
              <w:t>9/6/2011(6)</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4,745</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65.76</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63,075</w:t>
            </w:r>
          </w:p>
        </w:tc>
      </w:tr>
      <w:tr>
        <w:trPr>
          <w:trHeight w:val="229"/>
        </w:trPr>
        <w:tc>
          <w:tcPr>
            <w:tcW w:w="7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5"/>
              </w:rPr>
              <w:t>9/6/2011(6)</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2,976</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65.76</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77,849</w:t>
            </w:r>
          </w:p>
        </w:tc>
      </w:tr>
      <w:tr>
        <w:trPr>
          <w:trHeight w:val="230"/>
        </w:trPr>
        <w:tc>
          <w:tcPr>
            <w:tcW w:w="7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76"/>
              </w:rPr>
              <w:t>8/15/2011(6)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3,084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56.61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68,293</w:t>
            </w:r>
          </w:p>
        </w:tc>
      </w:tr>
      <w:tr>
        <w:trPr>
          <w:trHeight w:val="243"/>
        </w:trPr>
        <w:tc>
          <w:tcPr>
            <w:tcW w:w="7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76"/>
              </w:rPr>
              <w:t>7/27/2011(6)</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3,919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53.18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70,728</w:t>
            </w:r>
          </w:p>
        </w:tc>
      </w:tr>
      <w:tr>
        <w:trPr>
          <w:trHeight w:val="216"/>
        </w:trPr>
        <w:tc>
          <w:tcPr>
            <w:tcW w:w="7060" w:type="dxa"/>
            <w:vAlign w:val="bottom"/>
          </w:tcPr>
          <w:p>
            <w:pPr>
              <w:spacing w:after="0"/>
              <w:rPr>
                <w:sz w:val="20"/>
                <w:szCs w:val="20"/>
                <w:color w:val="auto"/>
              </w:rPr>
            </w:pPr>
            <w:r>
              <w:rPr>
                <w:rFonts w:ascii="Arial" w:cs="Arial" w:eastAsia="Arial" w:hAnsi="Arial"/>
                <w:sz w:val="17"/>
                <w:szCs w:val="17"/>
                <w:color w:val="auto"/>
              </w:rPr>
              <w:t>Joseph J. LaRosa</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12/16/2011(2)</w:t>
            </w:r>
          </w:p>
        </w:tc>
        <w:tc>
          <w:tcPr>
            <w:tcW w:w="2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4,000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tcPr>
          <w:p>
            <w:pPr>
              <w:jc w:val="right"/>
              <w:spacing w:after="0"/>
              <w:rPr>
                <w:sz w:val="20"/>
                <w:szCs w:val="20"/>
                <w:color w:val="auto"/>
              </w:rPr>
            </w:pPr>
            <w:r>
              <w:rPr>
                <w:rFonts w:ascii="Arial" w:cs="Arial" w:eastAsia="Arial" w:hAnsi="Arial"/>
                <w:sz w:val="17"/>
                <w:szCs w:val="17"/>
                <w:color w:val="auto"/>
              </w:rPr>
              <w:t>104,291</w:t>
            </w:r>
          </w:p>
        </w:tc>
      </w:tr>
      <w:tr>
        <w:trPr>
          <w:trHeight w:val="230"/>
        </w:trPr>
        <w:tc>
          <w:tcPr>
            <w:tcW w:w="70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12/16/2011(4)</w:t>
            </w:r>
          </w:p>
        </w:tc>
        <w:tc>
          <w:tcPr>
            <w:tcW w:w="26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6,000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tcPr>
          <w:p>
            <w:pPr>
              <w:jc w:val="right"/>
              <w:spacing w:after="0"/>
              <w:rPr>
                <w:sz w:val="20"/>
                <w:szCs w:val="20"/>
                <w:color w:val="auto"/>
              </w:rPr>
            </w:pPr>
            <w:r>
              <w:rPr>
                <w:rFonts w:ascii="Arial" w:cs="Arial" w:eastAsia="Arial" w:hAnsi="Arial"/>
                <w:sz w:val="17"/>
                <w:szCs w:val="17"/>
                <w:color w:val="auto"/>
              </w:rPr>
              <w:t>81,964</w:t>
            </w:r>
          </w:p>
        </w:tc>
      </w:tr>
      <w:tr>
        <w:trPr>
          <w:trHeight w:val="230"/>
        </w:trPr>
        <w:tc>
          <w:tcPr>
            <w:tcW w:w="70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9/1/2011(7)</w:t>
            </w:r>
          </w:p>
        </w:tc>
        <w:tc>
          <w:tcPr>
            <w:tcW w:w="26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80,000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59.20</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2,393,872</w:t>
            </w:r>
          </w:p>
        </w:tc>
      </w:tr>
      <w:tr>
        <w:trPr>
          <w:trHeight w:val="236"/>
        </w:trPr>
        <w:tc>
          <w:tcPr>
            <w:tcW w:w="70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9/1/2011(8)</w:t>
            </w:r>
          </w:p>
        </w:tc>
        <w:tc>
          <w:tcPr>
            <w:tcW w:w="960" w:type="dxa"/>
            <w:vAlign w:val="bottom"/>
            <w:gridSpan w:val="3"/>
          </w:tcPr>
          <w:p>
            <w:pPr>
              <w:jc w:val="right"/>
              <w:ind w:right="240"/>
              <w:spacing w:after="0"/>
              <w:rPr>
                <w:sz w:val="20"/>
                <w:szCs w:val="20"/>
                <w:color w:val="auto"/>
              </w:rPr>
            </w:pPr>
            <w:r>
              <w:rPr>
                <w:rFonts w:ascii="Arial" w:cs="Arial" w:eastAsia="Arial" w:hAnsi="Arial"/>
                <w:sz w:val="17"/>
                <w:szCs w:val="17"/>
                <w:color w:val="auto"/>
              </w:rPr>
              <w:t>10,000</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592,000</w:t>
            </w:r>
          </w:p>
        </w:tc>
      </w:tr>
      <w:tr>
        <w:trPr>
          <w:trHeight w:val="22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Neil Stahl, Ph.D.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12/16/2011(3)</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50,000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1,303,640</w:t>
            </w:r>
          </w:p>
        </w:tc>
      </w:tr>
      <w:tr>
        <w:trPr>
          <w:trHeight w:val="243"/>
        </w:trPr>
        <w:tc>
          <w:tcPr>
            <w:tcW w:w="70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12/16/2011(4)</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75,000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52.03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1,024,547</w:t>
            </w:r>
          </w:p>
        </w:tc>
      </w:tr>
      <w:tr>
        <w:trPr>
          <w:trHeight w:val="260"/>
        </w:trPr>
        <w:tc>
          <w:tcPr>
            <w:tcW w:w="7060" w:type="dxa"/>
            <w:vAlign w:val="bottom"/>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91" w:lineRule="exact"/>
        <w:rPr>
          <w:sz w:val="20"/>
          <w:szCs w:val="20"/>
          <w:color w:val="auto"/>
        </w:rPr>
      </w:pPr>
    </w:p>
    <w:p>
      <w:pPr>
        <w:ind w:left="440" w:right="260" w:hanging="438"/>
        <w:spacing w:after="0" w:line="260"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options have an exercise price equal to the average of the high and low sales price per share of the Company’s common stock on the NASDAQ Global Select Market on the date of grant. On December 16, 2011, the average of the high and low sales price of the Company’s common stock was $52.03 per share, and the closing price was $53.00 per share.</w:t>
      </w:r>
    </w:p>
    <w:p>
      <w:pPr>
        <w:spacing w:after="0" w:line="180" w:lineRule="exact"/>
        <w:rPr>
          <w:rFonts w:ascii="Arial" w:cs="Arial" w:eastAsia="Arial" w:hAnsi="Arial"/>
          <w:sz w:val="17"/>
          <w:szCs w:val="17"/>
          <w:color w:val="auto"/>
        </w:rPr>
      </w:pPr>
    </w:p>
    <w:p>
      <w:pPr>
        <w:ind w:left="440" w:hanging="438"/>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Named Officer received a non-qualified stock option award that vests at a rate of 25% per year over the first four years of the ten-year option term.</w:t>
      </w:r>
    </w:p>
    <w:p>
      <w:pPr>
        <w:spacing w:after="0" w:line="224" w:lineRule="exact"/>
        <w:rPr>
          <w:rFonts w:ascii="Arial" w:cs="Arial" w:eastAsia="Arial" w:hAnsi="Arial"/>
          <w:sz w:val="16"/>
          <w:szCs w:val="16"/>
          <w:color w:val="auto"/>
        </w:rPr>
      </w:pPr>
    </w:p>
    <w:p>
      <w:pPr>
        <w:ind w:left="440" w:right="100" w:hanging="438"/>
        <w:spacing w:after="0" w:line="270"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Named Officer received an incentive stock option award and a non-qualified stock option award. The combined non-qualified and incentive stock option award vests at a rate of 25% per year over the first four years of the ten-year option term.</w:t>
      </w:r>
    </w:p>
    <w:p>
      <w:pPr>
        <w:spacing w:after="0" w:line="172" w:lineRule="exact"/>
        <w:rPr>
          <w:rFonts w:ascii="Arial" w:cs="Arial" w:eastAsia="Arial" w:hAnsi="Arial"/>
          <w:sz w:val="17"/>
          <w:szCs w:val="17"/>
          <w:color w:val="auto"/>
        </w:rPr>
      </w:pPr>
    </w:p>
    <w:p>
      <w:pPr>
        <w:ind w:left="440" w:right="240" w:hanging="438"/>
        <w:spacing w:after="0" w:line="260"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Named Officer received a non-qualified stock option award that is eligible to vest on December 31, 2014 depending upon the Company’s achievement of development and regulatory milestones related to its product candidates as described in the Compensation Discussion and Analysis on page 31. The non-qualified stock option award has a ten-year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40" w:name="page41"/>
    <w:bookmarkEnd w:id="40"/>
    <w:p>
      <w:pPr>
        <w:ind w:left="440" w:hanging="438"/>
        <w:spacing w:after="0" w:line="311" w:lineRule="auto"/>
        <w:tabs>
          <w:tab w:leader="none" w:pos="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amounts in column (1) represent the grant date fair value of the awards made pursuant to the Company’s Second Amended and Restated 2000 Long-Term Incentive Plan. The assumptions used in the calculation of these amounts are included in footnote 14 to the Company’s audited financial statements for the fiscal year ended December 31, 2011 included in the Company’s Annual Report on Form 10-K filed with the Securities and Exchange Commission on February 21, 2012.</w:t>
      </w:r>
    </w:p>
    <w:p>
      <w:pPr>
        <w:spacing w:after="0" w:line="145" w:lineRule="exact"/>
        <w:rPr>
          <w:rFonts w:ascii="Arial" w:cs="Arial" w:eastAsia="Arial" w:hAnsi="Arial"/>
          <w:sz w:val="15"/>
          <w:szCs w:val="15"/>
          <w:color w:val="auto"/>
        </w:rPr>
      </w:pPr>
    </w:p>
    <w:p>
      <w:pPr>
        <w:ind w:left="440" w:hanging="438"/>
        <w:spacing w:after="0" w:line="255"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Named Officer received a non-qualified stock option award for the number of shares surrendered by the officer as payment of the exercise price upon exercise of an option held by the officer, pursuant to the terms of such original option. The newly granted non-qualified stock option has an exercise price equal to the average of the high and low sales price per share of the Company’s common stock on the NASDAQ Global Select Market on the date of grant, becomes exercisable six months from the date of grant, expires on the date on which the original option would have expired, and is otherwise subject to the same terms and conditions as the original option.</w:t>
      </w:r>
    </w:p>
    <w:p>
      <w:pPr>
        <w:spacing w:after="0" w:line="185" w:lineRule="exact"/>
        <w:rPr>
          <w:rFonts w:ascii="Arial" w:cs="Arial" w:eastAsia="Arial" w:hAnsi="Arial"/>
          <w:sz w:val="17"/>
          <w:szCs w:val="17"/>
          <w:color w:val="auto"/>
        </w:rPr>
      </w:pPr>
    </w:p>
    <w:p>
      <w:pPr>
        <w:ind w:left="440" w:right="60" w:hanging="438"/>
        <w:spacing w:after="0" w:line="338" w:lineRule="auto"/>
        <w:tabs>
          <w:tab w:leader="none" w:pos="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Named Officer received an incentive stock option award and a non-qualified stock option award in connection with joining the Company on September 1, 2011. The combined non-qualified and incentive stock option award vests at a rate of 25% per year over the first four years of the ten-year option term.</w:t>
      </w:r>
    </w:p>
    <w:p>
      <w:pPr>
        <w:spacing w:after="0" w:line="126" w:lineRule="exact"/>
        <w:rPr>
          <w:rFonts w:ascii="Arial" w:cs="Arial" w:eastAsia="Arial" w:hAnsi="Arial"/>
          <w:sz w:val="15"/>
          <w:szCs w:val="15"/>
          <w:color w:val="auto"/>
        </w:rPr>
      </w:pPr>
    </w:p>
    <w:p>
      <w:pPr>
        <w:ind w:left="440" w:right="200" w:hanging="438"/>
        <w:spacing w:after="0" w:line="270"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Named Officer received a restricted stock award that vests 100% in five years from the date of grant in connection with joining the Company on September 1, 2011.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Outstanding Equity Awards</w:t>
      </w:r>
    </w:p>
    <w:p>
      <w:pPr>
        <w:spacing w:after="0" w:line="242" w:lineRule="exact"/>
        <w:rPr>
          <w:sz w:val="20"/>
          <w:szCs w:val="20"/>
          <w:color w:val="auto"/>
        </w:rPr>
      </w:pPr>
    </w:p>
    <w:p>
      <w:pPr>
        <w:ind w:right="600" w:firstLine="255"/>
        <w:spacing w:after="0" w:line="270" w:lineRule="auto"/>
        <w:rPr>
          <w:sz w:val="20"/>
          <w:szCs w:val="20"/>
          <w:color w:val="auto"/>
        </w:rPr>
      </w:pPr>
      <w:r>
        <w:rPr>
          <w:rFonts w:ascii="Arial" w:cs="Arial" w:eastAsia="Arial" w:hAnsi="Arial"/>
          <w:sz w:val="17"/>
          <w:szCs w:val="17"/>
          <w:color w:val="auto"/>
        </w:rPr>
        <w:t>The following table and explanatory footnotes provide information regarding unexercised stock options and unvested restricted stock awards held by our Named Officers as of December 31, 2011.</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w w:val="88"/>
              </w:rPr>
              <w:t>Option Awards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4"/>
          </w:tcPr>
          <w:p>
            <w:pPr>
              <w:ind w:left="200"/>
              <w:spacing w:after="0"/>
              <w:rPr>
                <w:sz w:val="20"/>
                <w:szCs w:val="20"/>
                <w:color w:val="auto"/>
              </w:rPr>
            </w:pPr>
            <w:r>
              <w:rPr>
                <w:rFonts w:ascii="Arial" w:cs="Arial" w:eastAsia="Arial" w:hAnsi="Arial"/>
                <w:sz w:val="13"/>
                <w:szCs w:val="13"/>
                <w:b w:val="1"/>
                <w:bCs w:val="1"/>
                <w:color w:val="auto"/>
              </w:rPr>
              <w:t>Stock Awards</w:t>
            </w:r>
          </w:p>
        </w:tc>
        <w:tc>
          <w:tcPr>
            <w:tcW w:w="560" w:type="dxa"/>
            <w:vAlign w:val="bottom"/>
          </w:tcPr>
          <w:p>
            <w:pPr>
              <w:spacing w:after="0"/>
              <w:rPr>
                <w:sz w:val="14"/>
                <w:szCs w:val="14"/>
                <w:color w:val="auto"/>
              </w:rPr>
            </w:pPr>
          </w:p>
        </w:tc>
      </w:tr>
      <w:tr>
        <w:trPr>
          <w:trHeight w:val="38"/>
        </w:trPr>
        <w:tc>
          <w:tcPr>
            <w:tcW w:w="2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4"/>
        </w:trPr>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229"/>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incentive</w:t>
            </w:r>
          </w:p>
        </w:tc>
      </w:tr>
      <w:tr>
        <w:trPr>
          <w:trHeight w:val="230"/>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Equity</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r>
      <w:tr>
        <w:trPr>
          <w:trHeight w:val="229"/>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incentive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r>
      <w:tr>
        <w:trPr>
          <w:trHeight w:val="230"/>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plan</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1"/>
              </w:rPr>
              <w:t>market or</w:t>
            </w:r>
          </w:p>
        </w:tc>
      </w:tr>
      <w:tr>
        <w:trPr>
          <w:trHeight w:val="229"/>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awards: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payout</w:t>
            </w:r>
          </w:p>
        </w:tc>
      </w:tr>
      <w:tr>
        <w:trPr>
          <w:trHeight w:val="229"/>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incentive</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Market</w:t>
            </w:r>
          </w:p>
        </w:tc>
        <w:tc>
          <w:tcPr>
            <w:tcW w:w="2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number of</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r>
      <w:tr>
        <w:trPr>
          <w:trHeight w:val="230"/>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plan awards: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value of</w:t>
            </w:r>
          </w:p>
        </w:tc>
        <w:tc>
          <w:tcPr>
            <w:tcW w:w="24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unearned</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r>
      <w:tr>
        <w:trPr>
          <w:trHeight w:val="229"/>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number of</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Number</w:t>
            </w: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shares or</w:t>
            </w:r>
          </w:p>
        </w:tc>
        <w:tc>
          <w:tcPr>
            <w:tcW w:w="2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shares,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r>
      <w:tr>
        <w:trPr>
          <w:trHeight w:val="229"/>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securities</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2"/>
              </w:rPr>
              <w:t>securities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of shares</w:t>
            </w: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units of</w:t>
            </w:r>
          </w:p>
        </w:tc>
        <w:tc>
          <w:tcPr>
            <w:tcW w:w="2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units 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units or</w:t>
            </w:r>
          </w:p>
        </w:tc>
      </w:tr>
      <w:tr>
        <w:trPr>
          <w:trHeight w:val="230"/>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underlying</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or units</w:t>
            </w: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2"/>
              </w:rPr>
              <w:t>stock</w:t>
            </w:r>
          </w:p>
        </w:tc>
        <w:tc>
          <w:tcPr>
            <w:tcW w:w="2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r>
      <w:tr>
        <w:trPr>
          <w:trHeight w:val="229"/>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unexercised</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2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of stock</w:t>
            </w: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that</w:t>
            </w:r>
          </w:p>
        </w:tc>
        <w:tc>
          <w:tcPr>
            <w:tcW w:w="24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rights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r>
      <w:tr>
        <w:trPr>
          <w:trHeight w:val="230"/>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c>
          <w:tcPr>
            <w:tcW w:w="2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0"/>
              </w:rPr>
              <w:t>exercise</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that have</w:t>
            </w: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have not</w:t>
            </w:r>
          </w:p>
        </w:tc>
        <w:tc>
          <w:tcPr>
            <w:tcW w:w="2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that have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that have</w:t>
            </w:r>
          </w:p>
        </w:tc>
      </w:tr>
      <w:tr>
        <w:trPr>
          <w:trHeight w:val="229"/>
        </w:trPr>
        <w:tc>
          <w:tcPr>
            <w:tcW w:w="2720" w:type="dxa"/>
            <w:vAlign w:val="bottom"/>
          </w:tcPr>
          <w:p>
            <w:pPr>
              <w:spacing w:after="0"/>
              <w:rPr>
                <w:sz w:val="19"/>
                <w:szCs w:val="19"/>
                <w:color w:val="auto"/>
              </w:rPr>
            </w:pPr>
          </w:p>
        </w:tc>
        <w:tc>
          <w:tcPr>
            <w:tcW w:w="900" w:type="dxa"/>
            <w:vAlign w:val="bottom"/>
            <w:gridSpan w:val="2"/>
          </w:tcPr>
          <w:p>
            <w:pPr>
              <w:jc w:val="center"/>
              <w:ind w:left="196"/>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920" w:type="dxa"/>
            <w:vAlign w:val="bottom"/>
            <w:gridSpan w:val="2"/>
          </w:tcPr>
          <w:p>
            <w:pPr>
              <w:jc w:val="center"/>
              <w:ind w:left="19"/>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2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3"/>
              </w:rPr>
              <w:t>price</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0"/>
              </w:rPr>
              <w:t>expiration</w:t>
            </w:r>
          </w:p>
        </w:tc>
        <w:tc>
          <w:tcPr>
            <w:tcW w:w="2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not vested</w:t>
            </w: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2"/>
              </w:rPr>
              <w:t>vested</w:t>
            </w:r>
          </w:p>
        </w:tc>
        <w:tc>
          <w:tcPr>
            <w:tcW w:w="2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not vested</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2"/>
              </w:rPr>
              <w:t>not vested</w:t>
            </w:r>
          </w:p>
        </w:tc>
      </w:tr>
      <w:tr>
        <w:trPr>
          <w:trHeight w:val="229"/>
        </w:trPr>
        <w:tc>
          <w:tcPr>
            <w:tcW w:w="27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exercisable</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5"/>
              </w:rPr>
              <w:t>unexercisable</w:t>
            </w:r>
          </w:p>
        </w:tc>
        <w:tc>
          <w:tcPr>
            <w:tcW w:w="1080" w:type="dxa"/>
            <w:vAlign w:val="bottom"/>
            <w:gridSpan w:val="3"/>
          </w:tcPr>
          <w:p>
            <w:pPr>
              <w:jc w:val="center"/>
              <w:ind w:left="296"/>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178"/>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date</w:t>
            </w:r>
          </w:p>
        </w:tc>
        <w:tc>
          <w:tcPr>
            <w:tcW w:w="800" w:type="dxa"/>
            <w:vAlign w:val="bottom"/>
            <w:gridSpan w:val="2"/>
          </w:tcPr>
          <w:p>
            <w:pPr>
              <w:jc w:val="center"/>
              <w:ind w:left="476"/>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9"/>
                <w:szCs w:val="19"/>
                <w:color w:val="auto"/>
              </w:rPr>
            </w:pPr>
          </w:p>
        </w:tc>
        <w:tc>
          <w:tcPr>
            <w:tcW w:w="860" w:type="dxa"/>
            <w:vAlign w:val="bottom"/>
            <w:gridSpan w:val="2"/>
          </w:tcPr>
          <w:p>
            <w:pPr>
              <w:jc w:val="center"/>
              <w:ind w:left="196"/>
              <w:spacing w:after="0"/>
              <w:rPr>
                <w:sz w:val="20"/>
                <w:szCs w:val="20"/>
                <w:color w:val="auto"/>
              </w:rPr>
            </w:pPr>
            <w:r>
              <w:rPr>
                <w:rFonts w:ascii="Arial" w:cs="Arial" w:eastAsia="Arial" w:hAnsi="Arial"/>
                <w:sz w:val="13"/>
                <w:szCs w:val="13"/>
                <w:b w:val="1"/>
                <w:bCs w:val="1"/>
                <w:color w:val="auto"/>
                <w:w w:val="93"/>
              </w:rPr>
              <w:t>($) (17)</w:t>
            </w:r>
          </w:p>
        </w:tc>
        <w:tc>
          <w:tcPr>
            <w:tcW w:w="820" w:type="dxa"/>
            <w:vAlign w:val="bottom"/>
            <w:gridSpan w:val="2"/>
          </w:tcPr>
          <w:p>
            <w:pPr>
              <w:jc w:val="center"/>
              <w:ind w:left="176"/>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r>
      <w:tr>
        <w:trPr>
          <w:trHeight w:val="230"/>
        </w:trPr>
        <w:tc>
          <w:tcPr>
            <w:tcW w:w="2720" w:type="dxa"/>
            <w:vAlign w:val="bottom"/>
          </w:tcPr>
          <w:p>
            <w:pPr>
              <w:spacing w:after="0"/>
              <w:rPr>
                <w:sz w:val="20"/>
                <w:szCs w:val="20"/>
                <w:color w:val="auto"/>
              </w:rPr>
            </w:pPr>
            <w:r>
              <w:rPr>
                <w:rFonts w:ascii="Arial" w:cs="Arial" w:eastAsia="Arial" w:hAnsi="Arial"/>
                <w:sz w:val="13"/>
                <w:szCs w:val="13"/>
                <w:b w:val="1"/>
                <w:bCs w:val="1"/>
                <w:color w:val="auto"/>
              </w:rPr>
              <w:t>(a)</w:t>
            </w:r>
          </w:p>
        </w:tc>
        <w:tc>
          <w:tcPr>
            <w:tcW w:w="2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(b)</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2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(f)</w:t>
            </w:r>
          </w:p>
        </w:tc>
        <w:tc>
          <w:tcPr>
            <w:tcW w:w="2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(g)</w:t>
            </w:r>
          </w:p>
        </w:tc>
        <w:tc>
          <w:tcPr>
            <w:tcW w:w="2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(h)</w:t>
            </w:r>
          </w:p>
        </w:tc>
        <w:tc>
          <w:tcPr>
            <w:tcW w:w="24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7"/>
              </w:rPr>
              <w:t>(j)</w:t>
            </w:r>
          </w:p>
        </w:tc>
      </w:tr>
      <w:tr>
        <w:trPr>
          <w:trHeight w:val="38"/>
        </w:trPr>
        <w:tc>
          <w:tcPr>
            <w:tcW w:w="27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8"/>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Leonard S. Schleifer, M.D., Ph.D.</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160,000(1)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240,000(2)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31,250</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93,750(3)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187,500(4)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62,500(5)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187,500(6)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16"/>
        </w:trPr>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8"/>
              </w:rPr>
              <w:t>31,250(7)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16.80</w:t>
            </w:r>
          </w:p>
        </w:tc>
        <w:tc>
          <w:tcPr>
            <w:tcW w:w="1220" w:type="dxa"/>
            <w:vAlign w:val="bottom"/>
            <w:gridSpan w:val="2"/>
          </w:tcPr>
          <w:p>
            <w:pPr>
              <w:jc w:val="right"/>
              <w:ind w:right="22"/>
              <w:spacing w:after="0"/>
              <w:rPr>
                <w:sz w:val="20"/>
                <w:szCs w:val="20"/>
                <w:color w:val="auto"/>
              </w:rPr>
            </w:pPr>
            <w:r>
              <w:rPr>
                <w:rFonts w:ascii="Arial" w:cs="Arial" w:eastAsia="Arial" w:hAnsi="Arial"/>
                <w:sz w:val="17"/>
                <w:szCs w:val="17"/>
                <w:color w:val="auto"/>
              </w:rPr>
              <w:t>12/17/2018</w:t>
            </w:r>
          </w:p>
        </w:tc>
        <w:tc>
          <w:tcPr>
            <w:tcW w:w="26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21.92</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12/17/2017</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20.32</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12/18/2016</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11.64</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12/19/2015</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218,389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9.49</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12/15/2014</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13.00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12/15/2013</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234,616</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13.00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12/15/2013</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19.43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12/20/2012</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9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w w:val="96"/>
              </w:rPr>
              <w:t>George D. Yancopoulos, M.D., Ph.D.</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158,079(8)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240,000(2)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71,736(9)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150,000(4)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16"/>
        </w:trPr>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4,705(10)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21.25</w:t>
            </w:r>
          </w:p>
        </w:tc>
        <w:tc>
          <w:tcPr>
            <w:tcW w:w="1220" w:type="dxa"/>
            <w:vAlign w:val="bottom"/>
            <w:gridSpan w:val="2"/>
          </w:tcPr>
          <w:p>
            <w:pPr>
              <w:jc w:val="right"/>
              <w:ind w:right="22"/>
              <w:spacing w:after="0"/>
              <w:rPr>
                <w:sz w:val="20"/>
                <w:szCs w:val="20"/>
                <w:color w:val="auto"/>
              </w:rPr>
            </w:pPr>
            <w:r>
              <w:rPr>
                <w:rFonts w:ascii="Arial" w:cs="Arial" w:eastAsia="Arial" w:hAnsi="Arial"/>
                <w:sz w:val="17"/>
                <w:szCs w:val="17"/>
                <w:color w:val="auto"/>
              </w:rPr>
              <w:t>12/18/2019</w:t>
            </w:r>
          </w:p>
        </w:tc>
        <w:tc>
          <w:tcPr>
            <w:tcW w:w="26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45,295(10)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87"/>
              </w:rPr>
              <w:t>150,000(6)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5,952(11)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19,048(11)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21.92</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12/17/2017</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195,438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21.92</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12/17/2017</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20.32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12/18/2016</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195,079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20.32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12/18/2016</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11.64</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12/19/2015</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182,818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11.64</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12/19/2015</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9.49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12/15/2014</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189,463</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9.49</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12/15/2014</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82"/>
              </w:rPr>
              <w:t>—</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13.00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12/15/2013</w:t>
            </w:r>
          </w:p>
        </w:tc>
        <w:tc>
          <w:tcPr>
            <w:tcW w:w="260" w:type="dxa"/>
            <w:vAlign w:val="bottom"/>
            <w:shd w:val="clear" w:color="auto" w:fill="CCEEFF"/>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7"/>
                <w:szCs w:val="17"/>
                <w:color w:val="auto"/>
                <w:w w:val="82"/>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16"/>
        </w:trPr>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13.00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12/15/2013</w:t>
            </w:r>
          </w:p>
        </w:tc>
        <w:tc>
          <w:tcPr>
            <w:tcW w:w="260" w:type="dxa"/>
            <w:vAlign w:val="bottom"/>
            <w:shd w:val="clear" w:color="auto" w:fill="CCEEFF"/>
          </w:tcPr>
          <w:p>
            <w:pPr>
              <w:spacing w:after="0"/>
              <w:rPr>
                <w:sz w:val="18"/>
                <w:szCs w:val="18"/>
                <w:color w:val="auto"/>
              </w:rPr>
            </w:pPr>
          </w:p>
        </w:tc>
        <w:tc>
          <w:tcPr>
            <w:tcW w:w="540" w:type="dxa"/>
            <w:vAlign w:val="bottom"/>
          </w:tcPr>
          <w:p>
            <w:pPr>
              <w:ind w:left="380"/>
              <w:spacing w:after="0"/>
              <w:rPr>
                <w:sz w:val="20"/>
                <w:szCs w:val="20"/>
                <w:color w:val="auto"/>
              </w:rPr>
            </w:pPr>
            <w:r>
              <w:rPr>
                <w:rFonts w:ascii="Arial" w:cs="Arial" w:eastAsia="Arial" w:hAnsi="Arial"/>
                <w:sz w:val="17"/>
                <w:szCs w:val="17"/>
                <w:color w:val="auto"/>
                <w:w w:val="82"/>
              </w:rPr>
              <w:t>—</w:t>
            </w:r>
          </w:p>
        </w:tc>
        <w:tc>
          <w:tcPr>
            <w:tcW w:w="2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w w:val="89"/>
              </w:rPr>
              <w:t>166,666(14)</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55.43</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87"/>
              </w:rPr>
              <w:t>129,902(12)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8.50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12/20/2012</w:t>
            </w:r>
          </w:p>
        </w:tc>
        <w:tc>
          <w:tcPr>
            <w:tcW w:w="260" w:type="dxa"/>
            <w:vAlign w:val="bottom"/>
            <w:shd w:val="clear" w:color="auto" w:fill="CCEEFF"/>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3,430(12)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8.50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98"/>
              </w:rPr>
              <w:t>12/20/2012</w:t>
            </w:r>
          </w:p>
        </w:tc>
        <w:tc>
          <w:tcPr>
            <w:tcW w:w="260" w:type="dxa"/>
            <w:vAlign w:val="bottom"/>
            <w:shd w:val="clear" w:color="auto" w:fill="CCEEFF"/>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w w:val="89"/>
              </w:rPr>
              <w:t>500,000(15)</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55.43</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-5391150</wp:posOffset>
            </wp:positionV>
            <wp:extent cx="4784725" cy="14573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84725" cy="1457325"/>
                    </a:xfrm>
                    <a:prstGeom prst="rect">
                      <a:avLst/>
                    </a:prstGeom>
                    <a:noFill/>
                  </pic:spPr>
                </pic:pic>
              </a:graphicData>
            </a:graphic>
          </wp:anchor>
        </w:drawing>
        <w:drawing>
          <wp:anchor simplePos="0" relativeHeight="251657728" behindDoc="1" locked="0" layoutInCell="0" allowOverlap="1">
            <wp:simplePos x="0" y="0"/>
            <wp:positionH relativeFrom="column">
              <wp:posOffset>2527300</wp:posOffset>
            </wp:positionH>
            <wp:positionV relativeFrom="paragraph">
              <wp:posOffset>-3059430</wp:posOffset>
            </wp:positionV>
            <wp:extent cx="4784725" cy="3060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84725" cy="3060065"/>
                    </a:xfrm>
                    <a:prstGeom prst="rect">
                      <a:avLst/>
                    </a:prstGeom>
                    <a:noFill/>
                  </pic:spPr>
                </pic:pic>
              </a:graphicData>
            </a:graphic>
          </wp:anchor>
        </w:drawing>
      </w:r>
    </w:p>
    <w:p>
      <w:pPr>
        <w:sectPr>
          <w:pgSz w:w="11900" w:h="16838" w:orient="portrait"/>
          <w:cols w:equalWidth="0" w:num="1">
            <w:col w:w="11520"/>
          </w:cols>
          <w:pgMar w:left="240" w:top="560" w:right="139" w:bottom="107"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519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560" w:right="139" w:bottom="107"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66"/>
        </w:trPr>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Option Awards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ind w:left="240"/>
              <w:spacing w:after="0"/>
              <w:rPr>
                <w:sz w:val="20"/>
                <w:szCs w:val="20"/>
                <w:color w:val="auto"/>
              </w:rPr>
            </w:pPr>
            <w:r>
              <w:rPr>
                <w:rFonts w:ascii="Arial" w:cs="Arial" w:eastAsia="Arial" w:hAnsi="Arial"/>
                <w:sz w:val="13"/>
                <w:szCs w:val="13"/>
                <w:b w:val="1"/>
                <w:bCs w:val="1"/>
                <w:color w:val="auto"/>
              </w:rPr>
              <w:t>Stock Awards</w:t>
            </w:r>
          </w:p>
        </w:tc>
        <w:tc>
          <w:tcPr>
            <w:tcW w:w="560" w:type="dxa"/>
            <w:vAlign w:val="bottom"/>
          </w:tcPr>
          <w:p>
            <w:pPr>
              <w:spacing w:after="0"/>
              <w:rPr>
                <w:sz w:val="14"/>
                <w:szCs w:val="14"/>
                <w:color w:val="auto"/>
              </w:rPr>
            </w:pPr>
          </w:p>
        </w:tc>
      </w:tr>
      <w:tr>
        <w:trPr>
          <w:trHeight w:val="38"/>
        </w:trPr>
        <w:tc>
          <w:tcPr>
            <w:tcW w:w="2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4"/>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r>
      <w:tr>
        <w:trPr>
          <w:trHeight w:val="229"/>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r>
      <w:tr>
        <w:trPr>
          <w:trHeight w:val="229"/>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incentive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plan</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1"/>
              </w:rPr>
              <w:t>market or</w:t>
            </w:r>
          </w:p>
        </w:tc>
      </w:tr>
      <w:tr>
        <w:trPr>
          <w:trHeight w:val="229"/>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awards: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payout</w:t>
            </w:r>
          </w:p>
        </w:tc>
      </w:tr>
      <w:tr>
        <w:trPr>
          <w:trHeight w:val="229"/>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incentive</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Market</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number of</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plan awards: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value of</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unearned</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r>
      <w:tr>
        <w:trPr>
          <w:trHeight w:val="229"/>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Number of</w:t>
            </w: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number of</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Number</w:t>
            </w:r>
          </w:p>
        </w:tc>
        <w:tc>
          <w:tcPr>
            <w:tcW w:w="2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shares or</w:t>
            </w: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shares,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2"/>
              </w:rPr>
              <w:t>securities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securities</w:t>
            </w: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securities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of shares</w:t>
            </w:r>
          </w:p>
        </w:tc>
        <w:tc>
          <w:tcPr>
            <w:tcW w:w="2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units of</w:t>
            </w: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units 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units or</w:t>
            </w:r>
          </w:p>
        </w:tc>
      </w:tr>
      <w:tr>
        <w:trPr>
          <w:trHeight w:val="229"/>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underlying</w:t>
            </w: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underlying</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or units</w:t>
            </w:r>
          </w:p>
        </w:tc>
        <w:tc>
          <w:tcPr>
            <w:tcW w:w="26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stock</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other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r>
      <w:tr>
        <w:trPr>
          <w:trHeight w:val="229"/>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unexercised</w:t>
            </w: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unexercised</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of stock</w:t>
            </w:r>
          </w:p>
        </w:tc>
        <w:tc>
          <w:tcPr>
            <w:tcW w:w="2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that</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rights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options</w:t>
            </w: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unearned</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0"/>
              </w:rPr>
              <w:t>exercise</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that have</w:t>
            </w:r>
          </w:p>
        </w:tc>
        <w:tc>
          <w:tcPr>
            <w:tcW w:w="2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have not</w:t>
            </w: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that have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that have</w:t>
            </w:r>
          </w:p>
        </w:tc>
      </w:tr>
      <w:tr>
        <w:trPr>
          <w:trHeight w:val="229"/>
        </w:trPr>
        <w:tc>
          <w:tcPr>
            <w:tcW w:w="2800" w:type="dxa"/>
            <w:vAlign w:val="bottom"/>
          </w:tcPr>
          <w:p>
            <w:pPr>
              <w:spacing w:after="0"/>
              <w:rPr>
                <w:sz w:val="19"/>
                <w:szCs w:val="19"/>
                <w:color w:val="auto"/>
              </w:rPr>
            </w:pPr>
          </w:p>
        </w:tc>
        <w:tc>
          <w:tcPr>
            <w:tcW w:w="920" w:type="dxa"/>
            <w:vAlign w:val="bottom"/>
            <w:gridSpan w:val="2"/>
          </w:tcPr>
          <w:p>
            <w:pPr>
              <w:jc w:val="center"/>
              <w:ind w:left="196"/>
              <w:spacing w:after="0"/>
              <w:rPr>
                <w:sz w:val="20"/>
                <w:szCs w:val="20"/>
                <w:color w:val="auto"/>
              </w:rPr>
            </w:pPr>
            <w:r>
              <w:rPr>
                <w:rFonts w:ascii="Arial" w:cs="Arial" w:eastAsia="Arial" w:hAnsi="Arial"/>
                <w:sz w:val="13"/>
                <w:szCs w:val="13"/>
                <w:b w:val="1"/>
                <w:bCs w:val="1"/>
                <w:color w:val="auto"/>
                <w:w w:val="87"/>
              </w:rPr>
              <w:t>(#)</w:t>
            </w:r>
          </w:p>
        </w:tc>
        <w:tc>
          <w:tcPr>
            <w:tcW w:w="800" w:type="dxa"/>
            <w:vAlign w:val="bottom"/>
            <w:gridSpan w:val="3"/>
          </w:tcPr>
          <w:p>
            <w:pPr>
              <w:jc w:val="center"/>
              <w:ind w:left="559"/>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options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3"/>
              </w:rPr>
              <w:t>price</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0"/>
              </w:rPr>
              <w:t>expiration</w:t>
            </w:r>
          </w:p>
        </w:tc>
        <w:tc>
          <w:tcPr>
            <w:tcW w:w="26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not vested</w:t>
            </w:r>
          </w:p>
        </w:tc>
        <w:tc>
          <w:tcPr>
            <w:tcW w:w="2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vested</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not vested</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2"/>
              </w:rPr>
              <w:t>not vested</w:t>
            </w:r>
          </w:p>
        </w:tc>
      </w:tr>
      <w:tr>
        <w:trPr>
          <w:trHeight w:val="229"/>
        </w:trPr>
        <w:tc>
          <w:tcPr>
            <w:tcW w:w="28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4"/>
              </w:rPr>
              <w:t>exercisable</w:t>
            </w:r>
          </w:p>
        </w:tc>
        <w:tc>
          <w:tcPr>
            <w:tcW w:w="240" w:type="dxa"/>
            <w:vAlign w:val="bottom"/>
          </w:tcPr>
          <w:p>
            <w:pPr>
              <w:spacing w:after="0"/>
              <w:rPr>
                <w:sz w:val="19"/>
                <w:szCs w:val="19"/>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5"/>
              </w:rPr>
              <w:t>unexercisable</w:t>
            </w:r>
          </w:p>
        </w:tc>
        <w:tc>
          <w:tcPr>
            <w:tcW w:w="960" w:type="dxa"/>
            <w:vAlign w:val="bottom"/>
            <w:gridSpan w:val="2"/>
          </w:tcPr>
          <w:p>
            <w:pPr>
              <w:jc w:val="center"/>
              <w:ind w:left="176"/>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date</w:t>
            </w:r>
          </w:p>
        </w:tc>
        <w:tc>
          <w:tcPr>
            <w:tcW w:w="720" w:type="dxa"/>
            <w:vAlign w:val="bottom"/>
            <w:gridSpan w:val="2"/>
          </w:tcPr>
          <w:p>
            <w:pPr>
              <w:jc w:val="center"/>
              <w:ind w:left="464"/>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 (17)</w:t>
            </w:r>
          </w:p>
        </w:tc>
        <w:tc>
          <w:tcPr>
            <w:tcW w:w="2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r>
      <w:tr>
        <w:trPr>
          <w:trHeight w:val="230"/>
        </w:trPr>
        <w:tc>
          <w:tcPr>
            <w:tcW w:w="2800" w:type="dxa"/>
            <w:vAlign w:val="bottom"/>
          </w:tcPr>
          <w:p>
            <w:pPr>
              <w:spacing w:after="0"/>
              <w:rPr>
                <w:sz w:val="20"/>
                <w:szCs w:val="20"/>
                <w:color w:val="auto"/>
              </w:rPr>
            </w:pPr>
            <w:r>
              <w:rPr>
                <w:rFonts w:ascii="Arial" w:cs="Arial" w:eastAsia="Arial" w:hAnsi="Arial"/>
                <w:sz w:val="13"/>
                <w:szCs w:val="13"/>
                <w:b w:val="1"/>
                <w:bCs w:val="1"/>
                <w:color w:val="auto"/>
              </w:rPr>
              <w:t>(a)</w:t>
            </w: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(c)</w:t>
            </w:r>
          </w:p>
        </w:tc>
        <w:tc>
          <w:tcPr>
            <w:tcW w:w="2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(d)</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(f)</w:t>
            </w:r>
          </w:p>
        </w:tc>
        <w:tc>
          <w:tcPr>
            <w:tcW w:w="26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(g)</w:t>
            </w:r>
          </w:p>
        </w:tc>
        <w:tc>
          <w:tcPr>
            <w:tcW w:w="2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(h)</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7"/>
              </w:rPr>
              <w:t>(j)</w:t>
            </w:r>
          </w:p>
        </w:tc>
      </w:tr>
      <w:tr>
        <w:trPr>
          <w:trHeight w:val="38"/>
        </w:trPr>
        <w:tc>
          <w:tcPr>
            <w:tcW w:w="28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8"/>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Murray A. Goldberg</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1,921(8)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38,079(8)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60,000(2)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26,736(9)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60,000(4)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Pr>
          <w:p>
            <w:pPr>
              <w:jc w:val="center"/>
              <w:ind w:left="220"/>
              <w:spacing w:after="0"/>
              <w:rPr>
                <w:sz w:val="20"/>
                <w:szCs w:val="20"/>
                <w:color w:val="auto"/>
              </w:rPr>
            </w:pPr>
            <w:r>
              <w:rPr>
                <w:rFonts w:ascii="Arial" w:cs="Arial" w:eastAsia="Arial" w:hAnsi="Arial"/>
                <w:sz w:val="17"/>
                <w:szCs w:val="17"/>
                <w:color w:val="auto"/>
                <w:w w:val="93"/>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24.86</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1/5/2020</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16"/>
        </w:trPr>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4,705(10)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87"/>
              </w:rPr>
              <w:t>14,045(10)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56,250(6)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5,952(11)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3,423(11)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70,438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21.92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12/17/2017</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21.92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12/17/2017</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70,079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20.32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12/18/2016</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20.32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12/18/2016</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11.64</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12/19/2015</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72.60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12/19/2015</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65.76</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12/19/2015</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56.61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12/19/2015</w:t>
            </w:r>
          </w:p>
        </w:tc>
        <w:tc>
          <w:tcPr>
            <w:tcW w:w="260" w:type="dxa"/>
            <w:vAlign w:val="bottom"/>
            <w:shd w:val="clear" w:color="auto" w:fill="CCEEFF"/>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16"/>
        </w:trPr>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53.18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12/15/2014</w:t>
            </w:r>
          </w:p>
        </w:tc>
        <w:tc>
          <w:tcPr>
            <w:tcW w:w="260" w:type="dxa"/>
            <w:vAlign w:val="bottom"/>
            <w:shd w:val="clear" w:color="auto" w:fill="CCEEFF"/>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87"/>
              </w:rPr>
              <w:t>20,000(14)</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55.43</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65.76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12/20/2012</w:t>
            </w:r>
          </w:p>
        </w:tc>
        <w:tc>
          <w:tcPr>
            <w:tcW w:w="26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3,431(12)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8.50</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12/20/2012</w:t>
            </w:r>
          </w:p>
        </w:tc>
        <w:tc>
          <w:tcPr>
            <w:tcW w:w="260" w:type="dxa"/>
            <w:vAlign w:val="bottom"/>
            <w:shd w:val="clear" w:color="auto" w:fill="CCEEFF"/>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gridSpan w:val="4"/>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Joseph J. LaRosa</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4,000(1)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6,000(2)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6,756(13)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59.20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9/1/2021</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9"/>
              </w:rPr>
              <w:t>73,244(13)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59.20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9/1/2021</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10,000(16)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55.43</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gridSpan w:val="4"/>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Neil Stahl, Ph.D.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1,921(8)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48,079(8)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75,000(2)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52.03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12/16/2021</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34,236(9)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75,000(4)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30.63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12/14/2020</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16"/>
        </w:trPr>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4,705(10)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tcPr>
          <w:p>
            <w:pPr>
              <w:jc w:val="right"/>
              <w:ind w:right="19"/>
              <w:spacing w:after="0"/>
              <w:rPr>
                <w:sz w:val="20"/>
                <w:szCs w:val="20"/>
                <w:color w:val="auto"/>
              </w:rPr>
            </w:pPr>
            <w:r>
              <w:rPr>
                <w:rFonts w:ascii="Arial" w:cs="Arial" w:eastAsia="Arial" w:hAnsi="Arial"/>
                <w:sz w:val="17"/>
                <w:szCs w:val="17"/>
                <w:color w:val="auto"/>
              </w:rPr>
              <w:t>21.25</w:t>
            </w:r>
          </w:p>
        </w:tc>
        <w:tc>
          <w:tcPr>
            <w:tcW w:w="1220" w:type="dxa"/>
            <w:vAlign w:val="bottom"/>
            <w:gridSpan w:val="2"/>
          </w:tcPr>
          <w:p>
            <w:pPr>
              <w:jc w:val="right"/>
              <w:ind w:right="21"/>
              <w:spacing w:after="0"/>
              <w:rPr>
                <w:sz w:val="20"/>
                <w:szCs w:val="20"/>
                <w:color w:val="auto"/>
              </w:rPr>
            </w:pPr>
            <w:r>
              <w:rPr>
                <w:rFonts w:ascii="Arial" w:cs="Arial" w:eastAsia="Arial" w:hAnsi="Arial"/>
                <w:sz w:val="17"/>
                <w:szCs w:val="17"/>
                <w:color w:val="auto"/>
              </w:rPr>
              <w:t>12/18/2019</w:t>
            </w:r>
          </w:p>
        </w:tc>
        <w:tc>
          <w:tcPr>
            <w:tcW w:w="2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87"/>
              </w:rPr>
              <w:t>20,295(10)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75,000(6)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21.25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12/18/2019</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5,952(11)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6,548(11)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12/17/2018</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21.92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12/17/2017</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95,438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21.92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12/17/2017</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20.32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12/18/2016</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95,079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20.32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12/18/2016</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33,333(14)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55.43</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87"/>
              </w:rPr>
              <w:t>63,234(12)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8.50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12/20/2012</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3,432(12)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8.50</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8"/>
              </w:rPr>
              <w:t>12/20/2012</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-6703060</wp:posOffset>
            </wp:positionV>
            <wp:extent cx="469265" cy="29146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9265" cy="291465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-4662805</wp:posOffset>
            </wp:positionV>
            <wp:extent cx="469900" cy="8743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69900" cy="87439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-2039620</wp:posOffset>
            </wp:positionV>
            <wp:extent cx="4671695" cy="2040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71695" cy="2040255"/>
                    </a:xfrm>
                    <a:prstGeom prst="rect">
                      <a:avLst/>
                    </a:prstGeom>
                    <a:noFill/>
                  </pic:spPr>
                </pic:pic>
              </a:graphicData>
            </a:graphic>
          </wp:anchor>
        </w:drawing>
      </w:r>
    </w:p>
    <w:p>
      <w:pPr>
        <w:sectPr>
          <w:pgSz w:w="11900" w:h="16838" w:orient="portrait"/>
          <w:cols w:equalWidth="0" w:num="1">
            <w:col w:w="11420"/>
          </w:cols>
          <w:pgMar w:left="240" w:top="394" w:right="239"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420"/>
          </w:cols>
          <w:pgMar w:left="240" w:top="394" w:right="239" w:bottom="0" w:gutter="0" w:footer="0" w:header="0"/>
          <w:type w:val="continuous"/>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519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____________________</w:t>
      </w:r>
    </w:p>
    <w:p>
      <w:pPr>
        <w:spacing w:after="0" w:line="242" w:lineRule="exact"/>
        <w:rPr>
          <w:sz w:val="20"/>
          <w:szCs w:val="20"/>
          <w:color w:val="auto"/>
        </w:rPr>
      </w:pPr>
    </w:p>
    <w:p>
      <w:pPr>
        <w:ind w:left="580" w:hanging="578"/>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16, 2011 and vests at a rate of 25% per year over the first four years of the option term.</w:t>
      </w:r>
    </w:p>
    <w:p>
      <w:pPr>
        <w:spacing w:after="0" w:line="235" w:lineRule="exact"/>
        <w:rPr>
          <w:rFonts w:ascii="Arial" w:cs="Arial" w:eastAsia="Arial" w:hAnsi="Arial"/>
          <w:sz w:val="15"/>
          <w:szCs w:val="15"/>
          <w:color w:val="auto"/>
        </w:rPr>
      </w:pPr>
    </w:p>
    <w:p>
      <w:pPr>
        <w:jc w:val="both"/>
        <w:ind w:left="580" w:right="260" w:hanging="578"/>
        <w:spacing w:after="0" w:line="260"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16, 2011 and is eligible to vest on December 31, 2014 depending upon the Company’s achievement of development and regulatory milestones related to its product candidates as described in the Compensation Discussion and Analysis on page 31. The non-qualified stock option award has a ten-year term.</w:t>
      </w:r>
    </w:p>
    <w:p>
      <w:pPr>
        <w:spacing w:after="0" w:line="180" w:lineRule="exact"/>
        <w:rPr>
          <w:rFonts w:ascii="Arial" w:cs="Arial" w:eastAsia="Arial" w:hAnsi="Arial"/>
          <w:sz w:val="17"/>
          <w:szCs w:val="17"/>
          <w:color w:val="auto"/>
        </w:rPr>
      </w:pPr>
    </w:p>
    <w:p>
      <w:pPr>
        <w:ind w:left="580" w:hanging="578"/>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14, 2010 and vests at a rate of 25% per year over the first four years of the option term.</w:t>
      </w:r>
    </w:p>
    <w:p>
      <w:pPr>
        <w:spacing w:after="0" w:line="235" w:lineRule="exact"/>
        <w:rPr>
          <w:rFonts w:ascii="Arial" w:cs="Arial" w:eastAsia="Arial" w:hAnsi="Arial"/>
          <w:sz w:val="15"/>
          <w:szCs w:val="15"/>
          <w:color w:val="auto"/>
        </w:rPr>
      </w:pPr>
    </w:p>
    <w:p>
      <w:pPr>
        <w:ind w:left="580" w:right="260" w:hanging="578"/>
        <w:spacing w:after="0" w:line="338"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14, 2010 and is eligible to vest on December 31, 2013 depending upon the Company’s achievement of development and regulatory milestones related to its product candidates. The non-qualified stock option award has a ten-year term.</w:t>
      </w:r>
    </w:p>
    <w:p>
      <w:pPr>
        <w:spacing w:after="0" w:line="126" w:lineRule="exact"/>
        <w:rPr>
          <w:rFonts w:ascii="Arial" w:cs="Arial" w:eastAsia="Arial" w:hAnsi="Arial"/>
          <w:sz w:val="15"/>
          <w:szCs w:val="15"/>
          <w:color w:val="auto"/>
        </w:rPr>
      </w:pPr>
    </w:p>
    <w:p>
      <w:pPr>
        <w:ind w:left="580" w:hanging="578"/>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18, 2009 and vests at a rate of 25% per year over the first four years of the option term.</w:t>
      </w:r>
    </w:p>
    <w:p>
      <w:pPr>
        <w:spacing w:after="0" w:line="235" w:lineRule="exact"/>
        <w:rPr>
          <w:rFonts w:ascii="Arial" w:cs="Arial" w:eastAsia="Arial" w:hAnsi="Arial"/>
          <w:sz w:val="15"/>
          <w:szCs w:val="15"/>
          <w:color w:val="auto"/>
        </w:rPr>
      </w:pPr>
    </w:p>
    <w:p>
      <w:pPr>
        <w:ind w:left="580" w:right="260" w:hanging="578"/>
        <w:spacing w:after="0" w:line="338"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18, 2009 and is eligible to vest on December 31, 2012 depending upon the Company’s achievement of development and regulatory milestones related to its product candidates. The non-qualified stock option award has a ten-year term.</w:t>
      </w:r>
    </w:p>
    <w:p>
      <w:pPr>
        <w:spacing w:after="0" w:line="151" w:lineRule="exact"/>
        <w:rPr>
          <w:rFonts w:ascii="Arial" w:cs="Arial" w:eastAsia="Arial" w:hAnsi="Arial"/>
          <w:sz w:val="15"/>
          <w:szCs w:val="15"/>
          <w:color w:val="auto"/>
        </w:rPr>
      </w:pPr>
    </w:p>
    <w:p>
      <w:pPr>
        <w:ind w:left="580" w:hanging="578"/>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17, 2008 and vests at a rate of 25% per year over the first four years of the option term.</w:t>
      </w:r>
    </w:p>
    <w:p>
      <w:pPr>
        <w:spacing w:after="0" w:line="261" w:lineRule="exact"/>
        <w:rPr>
          <w:rFonts w:ascii="Arial" w:cs="Arial" w:eastAsia="Arial" w:hAnsi="Arial"/>
          <w:sz w:val="15"/>
          <w:szCs w:val="15"/>
          <w:color w:val="auto"/>
        </w:rPr>
      </w:pPr>
    </w:p>
    <w:p>
      <w:pPr>
        <w:ind w:left="580" w:right="360" w:hanging="578"/>
        <w:spacing w:after="0" w:line="338"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16, 2011. The combined non-qualified and incentive stock option award vests at a rate of 25% per year over the first four years of the option term.</w:t>
      </w:r>
    </w:p>
    <w:p>
      <w:pPr>
        <w:spacing w:after="0" w:line="126" w:lineRule="exact"/>
        <w:rPr>
          <w:rFonts w:ascii="Arial" w:cs="Arial" w:eastAsia="Arial" w:hAnsi="Arial"/>
          <w:sz w:val="15"/>
          <w:szCs w:val="15"/>
          <w:color w:val="auto"/>
        </w:rPr>
      </w:pPr>
    </w:p>
    <w:p>
      <w:pPr>
        <w:ind w:left="580" w:right="360" w:hanging="578"/>
        <w:spacing w:after="0" w:line="338"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14, 2010. The combined non-qualified and incentive stock option award vests at a rate of 25% per year over the first four years of the option term.</w:t>
      </w:r>
    </w:p>
    <w:p>
      <w:pPr>
        <w:spacing w:after="0" w:line="126" w:lineRule="exact"/>
        <w:rPr>
          <w:rFonts w:ascii="Arial" w:cs="Arial" w:eastAsia="Arial" w:hAnsi="Arial"/>
          <w:sz w:val="15"/>
          <w:szCs w:val="15"/>
          <w:color w:val="auto"/>
        </w:rPr>
      </w:pPr>
    </w:p>
    <w:p>
      <w:pPr>
        <w:ind w:left="580" w:right="360" w:hanging="578"/>
        <w:spacing w:after="0" w:line="338"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18, 2009. The combined non-qualified and incentive stock option award vests at a rate of 25% per year over the first four years of the option term.</w:t>
      </w:r>
    </w:p>
    <w:p>
      <w:pPr>
        <w:spacing w:after="0" w:line="126" w:lineRule="exact"/>
        <w:rPr>
          <w:rFonts w:ascii="Arial" w:cs="Arial" w:eastAsia="Arial" w:hAnsi="Arial"/>
          <w:sz w:val="15"/>
          <w:szCs w:val="15"/>
          <w:color w:val="auto"/>
        </w:rPr>
      </w:pPr>
    </w:p>
    <w:p>
      <w:pPr>
        <w:ind w:left="580" w:right="360" w:hanging="578"/>
        <w:spacing w:after="0" w:line="338"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17, 2008. The combined non-qualified and incentive stock option award vests at a rate of 25% per year over the first four years of the option term.</w:t>
      </w:r>
    </w:p>
    <w:p>
      <w:pPr>
        <w:spacing w:after="0" w:line="126" w:lineRule="exact"/>
        <w:rPr>
          <w:rFonts w:ascii="Arial" w:cs="Arial" w:eastAsia="Arial" w:hAnsi="Arial"/>
          <w:sz w:val="15"/>
          <w:szCs w:val="15"/>
          <w:color w:val="auto"/>
        </w:rPr>
      </w:pPr>
    </w:p>
    <w:p>
      <w:pPr>
        <w:ind w:left="580" w:right="160" w:hanging="578"/>
        <w:spacing w:after="0" w:line="338"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stock option award was granted to the Named Officer on January 5, 2005, and vests 100% any time after January 5, 2008 if the Company’s products achieve gross sales of at least $100 million during any consecutive twelve-month period (either directly by the Company or through its licensees).</w:t>
      </w:r>
    </w:p>
    <w:p>
      <w:pPr>
        <w:spacing w:after="0" w:line="126" w:lineRule="exact"/>
        <w:rPr>
          <w:rFonts w:ascii="Arial" w:cs="Arial" w:eastAsia="Arial" w:hAnsi="Arial"/>
          <w:sz w:val="15"/>
          <w:szCs w:val="15"/>
          <w:color w:val="auto"/>
        </w:rPr>
      </w:pPr>
    </w:p>
    <w:p>
      <w:pPr>
        <w:ind w:left="580" w:hanging="578"/>
        <w:spacing w:after="0" w:line="338"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September 1, 2011. The combined non-qualified and incentive stock option award vests at a rate of 25% per year over the first four years of the option term.</w:t>
      </w:r>
    </w:p>
    <w:p>
      <w:pPr>
        <w:spacing w:after="0" w:line="126" w:lineRule="exact"/>
        <w:rPr>
          <w:rFonts w:ascii="Arial" w:cs="Arial" w:eastAsia="Arial" w:hAnsi="Arial"/>
          <w:sz w:val="15"/>
          <w:szCs w:val="15"/>
          <w:color w:val="auto"/>
        </w:rPr>
      </w:pPr>
    </w:p>
    <w:p>
      <w:pPr>
        <w:ind w:left="580" w:hanging="578"/>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stock award was granted to the Named Officer on December 14, 2010 and vests at a rate of 1/3 per year over the first three years of the award term.</w:t>
      </w:r>
    </w:p>
    <w:p>
      <w:pPr>
        <w:spacing w:after="0" w:line="224" w:lineRule="exact"/>
        <w:rPr>
          <w:rFonts w:ascii="Arial" w:cs="Arial" w:eastAsia="Arial" w:hAnsi="Arial"/>
          <w:sz w:val="16"/>
          <w:szCs w:val="16"/>
          <w:color w:val="auto"/>
        </w:rPr>
      </w:pPr>
    </w:p>
    <w:p>
      <w:pPr>
        <w:ind w:left="580" w:hanging="57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stock award was granted to the Named Officer on December 17, 2007 and vests 100% upon the fifth anniversary of the date of grant.</w:t>
      </w:r>
    </w:p>
    <w:p>
      <w:pPr>
        <w:spacing w:after="0" w:line="212" w:lineRule="exact"/>
        <w:rPr>
          <w:rFonts w:ascii="Arial" w:cs="Arial" w:eastAsia="Arial" w:hAnsi="Arial"/>
          <w:sz w:val="17"/>
          <w:szCs w:val="17"/>
          <w:color w:val="auto"/>
        </w:rPr>
      </w:pPr>
    </w:p>
    <w:p>
      <w:pPr>
        <w:ind w:left="580" w:hanging="57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stock award was granted to the Named Officer on September 1, 2011 and vests 100% upon the fifth anniversary of the date of grant.</w:t>
      </w:r>
    </w:p>
    <w:p>
      <w:pPr>
        <w:spacing w:after="0" w:line="212" w:lineRule="exact"/>
        <w:rPr>
          <w:rFonts w:ascii="Arial" w:cs="Arial" w:eastAsia="Arial" w:hAnsi="Arial"/>
          <w:sz w:val="17"/>
          <w:szCs w:val="17"/>
          <w:color w:val="auto"/>
        </w:rPr>
      </w:pPr>
    </w:p>
    <w:p>
      <w:pPr>
        <w:ind w:left="580" w:hanging="57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the closing price per share of the Company’s common stock on the NASDAQ Global Select Market on December 30, 2011.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42" w:lineRule="exact"/>
        <w:rPr>
          <w:sz w:val="20"/>
          <w:szCs w:val="20"/>
          <w:color w:val="auto"/>
        </w:rPr>
      </w:pPr>
    </w:p>
    <w:p>
      <w:pPr>
        <w:ind w:right="280" w:firstLine="255"/>
        <w:spacing w:after="0" w:line="270" w:lineRule="auto"/>
        <w:rPr>
          <w:sz w:val="20"/>
          <w:szCs w:val="20"/>
          <w:color w:val="auto"/>
        </w:rPr>
      </w:pPr>
      <w:r>
        <w:rPr>
          <w:rFonts w:ascii="Arial" w:cs="Arial" w:eastAsia="Arial" w:hAnsi="Arial"/>
          <w:sz w:val="17"/>
          <w:szCs w:val="17"/>
          <w:color w:val="auto"/>
        </w:rPr>
        <w:t>The following table and explanatory footnotes provide information with regard to amounts realized by our Named Officers during 2011 as a result of the exercise of stock options or the vesting of restricted stock awards.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EXERCISES AND STOCK VESTED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4"/>
          </w:tcPr>
          <w:p>
            <w:pPr>
              <w:ind w:left="340"/>
              <w:spacing w:after="0"/>
              <w:rPr>
                <w:sz w:val="20"/>
                <w:szCs w:val="20"/>
                <w:color w:val="auto"/>
              </w:rPr>
            </w:pPr>
            <w:r>
              <w:rPr>
                <w:rFonts w:ascii="Arial" w:cs="Arial" w:eastAsia="Arial" w:hAnsi="Arial"/>
                <w:sz w:val="13"/>
                <w:szCs w:val="13"/>
                <w:b w:val="1"/>
                <w:bCs w:val="1"/>
                <w:color w:val="auto"/>
              </w:rPr>
              <w:t>Option awards</w:t>
            </w:r>
          </w:p>
        </w:tc>
        <w:tc>
          <w:tcPr>
            <w:tcW w:w="1520" w:type="dxa"/>
            <w:vAlign w:val="bottom"/>
            <w:gridSpan w:val="3"/>
          </w:tcPr>
          <w:p>
            <w:pPr>
              <w:jc w:val="right"/>
              <w:ind w:right="308"/>
              <w:spacing w:after="0"/>
              <w:rPr>
                <w:sz w:val="20"/>
                <w:szCs w:val="20"/>
                <w:color w:val="auto"/>
              </w:rPr>
            </w:pPr>
            <w:r>
              <w:rPr>
                <w:rFonts w:ascii="Arial" w:cs="Arial" w:eastAsia="Arial" w:hAnsi="Arial"/>
                <w:sz w:val="13"/>
                <w:szCs w:val="13"/>
                <w:b w:val="1"/>
                <w:bCs w:val="1"/>
                <w:color w:val="auto"/>
              </w:rPr>
              <w:t>Stock awards</w:t>
            </w:r>
          </w:p>
        </w:tc>
      </w:tr>
      <w:tr>
        <w:trPr>
          <w:trHeight w:val="38"/>
        </w:trPr>
        <w:tc>
          <w:tcPr>
            <w:tcW w:w="7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4"/>
        </w:trPr>
        <w:tc>
          <w:tcPr>
            <w:tcW w:w="7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Number of</w:t>
            </w: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Value</w:t>
            </w: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Number of</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6"/>
              </w:rPr>
              <w:t>Value</w:t>
            </w:r>
          </w:p>
        </w:tc>
      </w:tr>
      <w:tr>
        <w:trPr>
          <w:trHeight w:val="229"/>
        </w:trPr>
        <w:tc>
          <w:tcPr>
            <w:tcW w:w="7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1"/>
              </w:rPr>
              <w:t>shares</w:t>
            </w: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realized</w:t>
            </w: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1"/>
              </w:rPr>
              <w:t>shares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6"/>
              </w:rPr>
              <w:t>realized</w:t>
            </w:r>
          </w:p>
        </w:tc>
      </w:tr>
      <w:tr>
        <w:trPr>
          <w:trHeight w:val="230"/>
        </w:trPr>
        <w:tc>
          <w:tcPr>
            <w:tcW w:w="7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acquired</w:t>
            </w: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5"/>
              </w:rPr>
              <w:t>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acquired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on</w:t>
            </w:r>
          </w:p>
        </w:tc>
      </w:tr>
      <w:tr>
        <w:trPr>
          <w:trHeight w:val="229"/>
        </w:trPr>
        <w:tc>
          <w:tcPr>
            <w:tcW w:w="7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on exercise</w:t>
            </w: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exercise</w:t>
            </w: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on vesting</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3"/>
              </w:rPr>
              <w:t>vesting</w:t>
            </w:r>
          </w:p>
        </w:tc>
      </w:tr>
      <w:tr>
        <w:trPr>
          <w:trHeight w:val="229"/>
        </w:trPr>
        <w:tc>
          <w:tcPr>
            <w:tcW w:w="81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00" w:type="dxa"/>
            <w:vAlign w:val="bottom"/>
          </w:tcPr>
          <w:p>
            <w:pPr>
              <w:jc w:val="right"/>
              <w:ind w:right="148"/>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 (1)</w:t>
            </w:r>
          </w:p>
        </w:tc>
        <w:tc>
          <w:tcPr>
            <w:tcW w:w="2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 (2)</w:t>
            </w:r>
          </w:p>
        </w:tc>
      </w:tr>
      <w:tr>
        <w:trPr>
          <w:trHeight w:val="230"/>
        </w:trPr>
        <w:tc>
          <w:tcPr>
            <w:tcW w:w="8140" w:type="dxa"/>
            <w:vAlign w:val="bottom"/>
            <w:gridSpan w:val="2"/>
          </w:tcPr>
          <w:p>
            <w:pPr>
              <w:spacing w:after="0"/>
              <w:rPr>
                <w:sz w:val="20"/>
                <w:szCs w:val="20"/>
                <w:color w:val="auto"/>
              </w:rPr>
            </w:pPr>
            <w:r>
              <w:rPr>
                <w:rFonts w:ascii="Arial" w:cs="Arial" w:eastAsia="Arial" w:hAnsi="Arial"/>
                <w:sz w:val="13"/>
                <w:szCs w:val="13"/>
                <w:b w:val="1"/>
                <w:bCs w:val="1"/>
                <w:color w:val="auto"/>
              </w:rPr>
              <w:t>(a)</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(b)</w:t>
            </w: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w:t>
            </w: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r>
      <w:tr>
        <w:trPr>
          <w:trHeight w:val="38"/>
        </w:trPr>
        <w:tc>
          <w:tcPr>
            <w:tcW w:w="78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22"/>
        </w:trPr>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Leonard S. Schleifer, M.D., Ph.D.</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250,000</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6,005,000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14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200,000</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6,036,000</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83,334</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4,265,034</w:t>
            </w:r>
          </w:p>
        </w:tc>
      </w:tr>
      <w:tr>
        <w:trPr>
          <w:trHeight w:val="236"/>
        </w:trPr>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Murray A. Goldberg</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166,941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6,593,127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511,800</w:t>
            </w:r>
          </w:p>
        </w:tc>
      </w:tr>
      <w:tr>
        <w:trPr>
          <w:trHeight w:val="223"/>
        </w:trPr>
        <w:tc>
          <w:tcPr>
            <w:tcW w:w="8140" w:type="dxa"/>
            <w:vAlign w:val="bottom"/>
            <w:gridSpan w:val="2"/>
          </w:tcPr>
          <w:p>
            <w:pPr>
              <w:spacing w:after="0"/>
              <w:rPr>
                <w:sz w:val="20"/>
                <w:szCs w:val="20"/>
                <w:color w:val="auto"/>
              </w:rPr>
            </w:pPr>
            <w:r>
              <w:rPr>
                <w:rFonts w:ascii="Arial" w:cs="Arial" w:eastAsia="Arial" w:hAnsi="Arial"/>
                <w:sz w:val="17"/>
                <w:szCs w:val="17"/>
                <w:color w:val="auto"/>
              </w:rPr>
              <w:t>Joseph J. LaRosa</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Neil Stahl, Ph.D.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200,000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8,460,925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16,667</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853,017</w:t>
            </w:r>
          </w:p>
        </w:tc>
      </w:tr>
      <w:tr>
        <w:trPr>
          <w:trHeight w:val="260"/>
        </w:trPr>
        <w:tc>
          <w:tcPr>
            <w:tcW w:w="7880" w:type="dxa"/>
            <w:vAlign w:val="bottom"/>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91" w:lineRule="exact"/>
        <w:rPr>
          <w:sz w:val="20"/>
          <w:szCs w:val="20"/>
          <w:color w:val="auto"/>
        </w:rPr>
      </w:pPr>
    </w:p>
    <w:p>
      <w:pPr>
        <w:ind w:left="500" w:right="20" w:hanging="498"/>
        <w:spacing w:after="0" w:line="270"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reflect the difference between the exercise price of the option(s) and the average of the high and low sales price per share of the Company’s common stock on the NASDAQ Global Select Market on the exercise date(s).</w:t>
      </w:r>
    </w:p>
    <w:p>
      <w:pPr>
        <w:spacing w:after="0" w:line="172" w:lineRule="exact"/>
        <w:rPr>
          <w:rFonts w:ascii="Arial" w:cs="Arial" w:eastAsia="Arial" w:hAnsi="Arial"/>
          <w:sz w:val="17"/>
          <w:szCs w:val="17"/>
          <w:color w:val="auto"/>
        </w:rPr>
      </w:pPr>
    </w:p>
    <w:p>
      <w:pPr>
        <w:ind w:left="500" w:right="500" w:hanging="498"/>
        <w:spacing w:after="0" w:line="270"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reflect the average of the high and low sales price per share of the Company’s common stock on the NASDAQ Global Select Market on the vesting date(s).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Post-Employment Compensation</w:t>
      </w:r>
    </w:p>
    <w:p>
      <w:pPr>
        <w:spacing w:after="0" w:line="242" w:lineRule="exact"/>
        <w:rPr>
          <w:sz w:val="20"/>
          <w:szCs w:val="20"/>
          <w:color w:val="auto"/>
        </w:rPr>
      </w:pPr>
    </w:p>
    <w:p>
      <w:pPr>
        <w:ind w:right="140" w:firstLine="255"/>
        <w:spacing w:after="0" w:line="278" w:lineRule="auto"/>
        <w:rPr>
          <w:sz w:val="20"/>
          <w:szCs w:val="20"/>
          <w:color w:val="auto"/>
        </w:rPr>
      </w:pPr>
      <w:r>
        <w:rPr>
          <w:rFonts w:ascii="Arial" w:cs="Arial" w:eastAsia="Arial" w:hAnsi="Arial"/>
          <w:sz w:val="16"/>
          <w:szCs w:val="16"/>
          <w:color w:val="auto"/>
        </w:rPr>
        <w:t>The tables on pages 43 and 45 reflect the severance benefits available to our Named Officers. For our Chief Executive Officer, we show the amounts payable upon his involuntary or not-for-cause termination, termination in connection with a corporate change of control, and in the event of his disability or death. For the other Named Officers, the only post-termination compensation arrangement is through our change of control severance plan. Consequently, the only amounts payable to them are upon an involuntary or not-for-cause termination in connection with a corporate change of control.</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Leonard S. Schleifer, M.D., Ph.D., Employment Agreement</w:t>
      </w:r>
    </w:p>
    <w:p>
      <w:pPr>
        <w:spacing w:after="0" w:line="238" w:lineRule="exact"/>
        <w:rPr>
          <w:sz w:val="20"/>
          <w:szCs w:val="20"/>
          <w:color w:val="auto"/>
        </w:rPr>
      </w:pPr>
    </w:p>
    <w:p>
      <w:pPr>
        <w:ind w:right="40" w:firstLine="255"/>
        <w:spacing w:after="0" w:line="290" w:lineRule="auto"/>
        <w:rPr>
          <w:sz w:val="20"/>
          <w:szCs w:val="20"/>
          <w:color w:val="auto"/>
        </w:rPr>
      </w:pPr>
      <w:r>
        <w:rPr>
          <w:rFonts w:ascii="Arial" w:cs="Arial" w:eastAsia="Arial" w:hAnsi="Arial"/>
          <w:sz w:val="15"/>
          <w:szCs w:val="15"/>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of 1986, as amended.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46" w:name="page47"/>
    <w:bookmarkEnd w:id="46"/>
    <w:p>
      <w:pPr>
        <w:ind w:right="100" w:firstLine="255"/>
        <w:spacing w:after="0" w:line="271" w:lineRule="auto"/>
        <w:rPr>
          <w:sz w:val="20"/>
          <w:szCs w:val="20"/>
          <w:color w:val="auto"/>
        </w:rPr>
      </w:pPr>
      <w:r>
        <w:rPr>
          <w:rFonts w:ascii="Arial" w:cs="Arial" w:eastAsia="Arial" w:hAnsi="Arial"/>
          <w:sz w:val="16"/>
          <w:szCs w:val="16"/>
          <w:color w:val="auto"/>
        </w:rPr>
        <w:t>Upon an involuntary termination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 percent, in which case such benefits and payments will be reduced accordingly.</w:t>
      </w:r>
    </w:p>
    <w:p>
      <w:pPr>
        <w:spacing w:after="0" w:line="199" w:lineRule="exact"/>
        <w:rPr>
          <w:sz w:val="20"/>
          <w:szCs w:val="20"/>
          <w:color w:val="auto"/>
        </w:rPr>
      </w:pPr>
    </w:p>
    <w:p>
      <w:pPr>
        <w:ind w:right="540" w:firstLine="255"/>
        <w:spacing w:after="0" w:line="270" w:lineRule="auto"/>
        <w:rPr>
          <w:sz w:val="20"/>
          <w:szCs w:val="20"/>
          <w:color w:val="auto"/>
        </w:rPr>
      </w:pPr>
      <w:r>
        <w:rPr>
          <w:rFonts w:ascii="Arial" w:cs="Arial" w:eastAsia="Arial" w:hAnsi="Arial"/>
          <w:sz w:val="17"/>
          <w:szCs w:val="17"/>
          <w:color w:val="auto"/>
        </w:rPr>
        <w:t>The following table reflects the potential payments to our Chief Executive Officer upon his termination, effective December 31, 2011, under different scenarios, including following a change of control, as well as upon death or disability.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Severance Payments Under Dr. Schleifer’s Employment Agreement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Value of</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9"/>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Accelerated</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67"/>
              <w:spacing w:after="0"/>
              <w:rPr>
                <w:sz w:val="20"/>
                <w:szCs w:val="20"/>
                <w:color w:val="auto"/>
              </w:rPr>
            </w:pPr>
            <w:r>
              <w:rPr>
                <w:rFonts w:ascii="Arial" w:cs="Arial" w:eastAsia="Arial" w:hAnsi="Arial"/>
                <w:sz w:val="13"/>
                <w:szCs w:val="13"/>
                <w:b w:val="1"/>
                <w:bCs w:val="1"/>
                <w:color w:val="auto"/>
              </w:rPr>
              <w:t>Cash</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Benefits</w:t>
            </w:r>
          </w:p>
        </w:tc>
        <w:tc>
          <w:tcPr>
            <w:tcW w:w="640" w:type="dxa"/>
            <w:vAlign w:val="bottom"/>
          </w:tcPr>
          <w:p>
            <w:pPr>
              <w:jc w:val="right"/>
              <w:ind w:right="84"/>
              <w:spacing w:after="0"/>
              <w:rPr>
                <w:sz w:val="20"/>
                <w:szCs w:val="20"/>
                <w:color w:val="auto"/>
              </w:rPr>
            </w:pPr>
            <w:r>
              <w:rPr>
                <w:rFonts w:ascii="Arial" w:cs="Arial" w:eastAsia="Arial" w:hAnsi="Arial"/>
                <w:sz w:val="13"/>
                <w:szCs w:val="13"/>
                <w:b w:val="1"/>
                <w:bCs w:val="1"/>
                <w:color w:val="auto"/>
              </w:rPr>
              <w:t>Death</w:t>
            </w:r>
          </w:p>
        </w:tc>
        <w:tc>
          <w:tcPr>
            <w:tcW w:w="240" w:type="dxa"/>
            <w:vAlign w:val="bottom"/>
          </w:tcPr>
          <w:p>
            <w:pPr>
              <w:spacing w:after="0"/>
              <w:rPr>
                <w:sz w:val="19"/>
                <w:szCs w:val="19"/>
                <w:color w:val="auto"/>
              </w:rPr>
            </w:pPr>
          </w:p>
        </w:tc>
        <w:tc>
          <w:tcPr>
            <w:tcW w:w="860" w:type="dxa"/>
            <w:vAlign w:val="bottom"/>
          </w:tcPr>
          <w:p>
            <w:pPr>
              <w:jc w:val="right"/>
              <w:ind w:right="85"/>
              <w:spacing w:after="0"/>
              <w:rPr>
                <w:sz w:val="20"/>
                <w:szCs w:val="20"/>
                <w:color w:val="auto"/>
              </w:rPr>
            </w:pPr>
            <w:r>
              <w:rPr>
                <w:rFonts w:ascii="Arial" w:cs="Arial" w:eastAsia="Arial" w:hAnsi="Arial"/>
                <w:sz w:val="13"/>
                <w:szCs w:val="13"/>
                <w:b w:val="1"/>
                <w:bCs w:val="1"/>
                <w:color w:val="auto"/>
              </w:rPr>
              <w:t>Disability</w:t>
            </w:r>
          </w:p>
        </w:tc>
        <w:tc>
          <w:tcPr>
            <w:tcW w:w="2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9"/>
                <w:szCs w:val="19"/>
                <w:color w:val="auto"/>
              </w:rPr>
            </w:pPr>
          </w:p>
        </w:tc>
        <w:tc>
          <w:tcPr>
            <w:tcW w:w="760" w:type="dxa"/>
            <w:vAlign w:val="bottom"/>
          </w:tcPr>
          <w:p>
            <w:pPr>
              <w:jc w:val="right"/>
              <w:ind w:right="204"/>
              <w:spacing w:after="0"/>
              <w:rPr>
                <w:sz w:val="20"/>
                <w:szCs w:val="20"/>
                <w:color w:val="auto"/>
              </w:rPr>
            </w:pPr>
            <w:r>
              <w:rPr>
                <w:rFonts w:ascii="Arial" w:cs="Arial" w:eastAsia="Arial" w:hAnsi="Arial"/>
                <w:sz w:val="13"/>
                <w:szCs w:val="13"/>
                <w:b w:val="1"/>
                <w:bCs w:val="1"/>
                <w:color w:val="auto"/>
              </w:rPr>
              <w:t>Total</w:t>
            </w:r>
          </w:p>
        </w:tc>
      </w:tr>
      <w:tr>
        <w:trPr>
          <w:trHeight w:val="229"/>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27"/>
              <w:spacing w:after="0"/>
              <w:rPr>
                <w:sz w:val="20"/>
                <w:szCs w:val="20"/>
                <w:color w:val="auto"/>
              </w:rPr>
            </w:pPr>
            <w:r>
              <w:rPr>
                <w:rFonts w:ascii="Arial" w:cs="Arial" w:eastAsia="Arial" w:hAnsi="Arial"/>
                <w:sz w:val="13"/>
                <w:szCs w:val="13"/>
                <w:b w:val="1"/>
                <w:bCs w:val="1"/>
                <w:color w:val="auto"/>
              </w:rPr>
              <w:t>Severance</w:t>
            </w:r>
          </w:p>
        </w:tc>
        <w:tc>
          <w:tcPr>
            <w:tcW w:w="260" w:type="dxa"/>
            <w:vAlign w:val="bottom"/>
          </w:tcPr>
          <w:p>
            <w:pPr>
              <w:spacing w:after="0"/>
              <w:rPr>
                <w:sz w:val="19"/>
                <w:szCs w:val="19"/>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Continuation</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87"/>
              </w:rPr>
              <w:t>Benefits (7)</w:t>
            </w:r>
          </w:p>
        </w:tc>
        <w:tc>
          <w:tcPr>
            <w:tcW w:w="240" w:type="dxa"/>
            <w:vAlign w:val="bottom"/>
          </w:tcPr>
          <w:p>
            <w:pPr>
              <w:spacing w:after="0"/>
              <w:rPr>
                <w:sz w:val="19"/>
                <w:szCs w:val="19"/>
                <w:color w:val="auto"/>
              </w:rPr>
            </w:pPr>
          </w:p>
        </w:tc>
        <w:tc>
          <w:tcPr>
            <w:tcW w:w="860" w:type="dxa"/>
            <w:vAlign w:val="bottom"/>
          </w:tcPr>
          <w:p>
            <w:pPr>
              <w:jc w:val="right"/>
              <w:ind w:right="125"/>
              <w:spacing w:after="0"/>
              <w:rPr>
                <w:sz w:val="20"/>
                <w:szCs w:val="20"/>
                <w:color w:val="auto"/>
              </w:rPr>
            </w:pPr>
            <w:r>
              <w:rPr>
                <w:rFonts w:ascii="Arial" w:cs="Arial" w:eastAsia="Arial" w:hAnsi="Arial"/>
                <w:sz w:val="13"/>
                <w:szCs w:val="13"/>
                <w:b w:val="1"/>
                <w:bCs w:val="1"/>
                <w:color w:val="auto"/>
              </w:rPr>
              <w:t>Benefits</w:t>
            </w:r>
          </w:p>
        </w:tc>
        <w:tc>
          <w:tcPr>
            <w:tcW w:w="2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9"/>
                <w:szCs w:val="19"/>
                <w:color w:val="auto"/>
              </w:rPr>
            </w:pPr>
          </w:p>
        </w:tc>
        <w:tc>
          <w:tcPr>
            <w:tcW w:w="760" w:type="dxa"/>
            <w:vAlign w:val="bottom"/>
          </w:tcPr>
          <w:p>
            <w:pPr>
              <w:jc w:val="right"/>
              <w:ind w:right="124"/>
              <w:spacing w:after="0"/>
              <w:rPr>
                <w:sz w:val="20"/>
                <w:szCs w:val="20"/>
                <w:color w:val="auto"/>
              </w:rPr>
            </w:pPr>
            <w:r>
              <w:rPr>
                <w:rFonts w:ascii="Arial" w:cs="Arial" w:eastAsia="Arial" w:hAnsi="Arial"/>
                <w:sz w:val="13"/>
                <w:szCs w:val="13"/>
                <w:b w:val="1"/>
                <w:bCs w:val="1"/>
                <w:color w:val="auto"/>
              </w:rPr>
              <w:t>Amount</w:t>
            </w:r>
          </w:p>
        </w:tc>
      </w:tr>
      <w:tr>
        <w:trPr>
          <w:trHeight w:val="38"/>
        </w:trPr>
        <w:tc>
          <w:tcPr>
            <w:tcW w:w="46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8"/>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Involuntary Termination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$ 6,098,000(2)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163,632(3)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$ 18,087,188(4)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24,348,819</w:t>
            </w:r>
          </w:p>
        </w:tc>
      </w:tr>
      <w:tr>
        <w:trPr>
          <w:trHeight w:val="22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Following a Change of</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Control (1)</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7"/>
                <w:szCs w:val="17"/>
                <w:color w:val="auto"/>
              </w:rPr>
              <w:t>Involuntary Termination</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$ 2,540,833(5)</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8"/>
              </w:rPr>
              <w:t>81,816(6)</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ind w:right="12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2,622,649</w:t>
            </w:r>
          </w:p>
        </w:tc>
      </w:tr>
      <w:tr>
        <w:trPr>
          <w:trHeight w:val="23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Death</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7"/>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81,816(6)</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81,816</w:t>
            </w:r>
          </w:p>
        </w:tc>
      </w:tr>
      <w:tr>
        <w:trPr>
          <w:trHeight w:val="208"/>
        </w:trPr>
        <w:tc>
          <w:tcPr>
            <w:tcW w:w="4680" w:type="dxa"/>
            <w:vAlign w:val="bottom"/>
          </w:tcPr>
          <w:p>
            <w:pPr>
              <w:spacing w:after="0"/>
              <w:rPr>
                <w:sz w:val="20"/>
                <w:szCs w:val="20"/>
                <w:color w:val="auto"/>
              </w:rPr>
            </w:pPr>
            <w:r>
              <w:rPr>
                <w:rFonts w:ascii="Arial" w:cs="Arial" w:eastAsia="Arial" w:hAnsi="Arial"/>
                <w:sz w:val="17"/>
                <w:szCs w:val="17"/>
                <w:color w:val="auto"/>
              </w:rPr>
              <w:t>Disability</w:t>
            </w:r>
          </w:p>
        </w:tc>
        <w:tc>
          <w:tcPr>
            <w:tcW w:w="260" w:type="dxa"/>
            <w:vAlign w:val="bottom"/>
          </w:tcPr>
          <w:p>
            <w:pPr>
              <w:spacing w:after="0"/>
              <w:rPr>
                <w:sz w:val="18"/>
                <w:szCs w:val="18"/>
                <w:color w:val="auto"/>
              </w:rPr>
            </w:pPr>
          </w:p>
        </w:tc>
        <w:tc>
          <w:tcPr>
            <w:tcW w:w="960" w:type="dxa"/>
            <w:vAlign w:val="bottom"/>
          </w:tcPr>
          <w:p>
            <w:pPr>
              <w:jc w:val="right"/>
              <w:ind w:right="127"/>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8"/>
              </w:rPr>
              <w:t>81,816(6)</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$ 412,598(8)</w:t>
            </w:r>
          </w:p>
        </w:tc>
        <w:tc>
          <w:tcPr>
            <w:tcW w:w="26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494,414</w:t>
            </w:r>
          </w:p>
        </w:tc>
      </w:tr>
      <w:tr>
        <w:trPr>
          <w:trHeight w:val="260"/>
        </w:trPr>
        <w:tc>
          <w:tcPr>
            <w:tcW w:w="4680" w:type="dxa"/>
            <w:vAlign w:val="bottom"/>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12" w:lineRule="exact"/>
        <w:rPr>
          <w:sz w:val="20"/>
          <w:szCs w:val="20"/>
          <w:color w:val="auto"/>
        </w:rPr>
      </w:pPr>
    </w:p>
    <w:p>
      <w:pPr>
        <w:ind w:left="500" w:right="100" w:hanging="498"/>
        <w:spacing w:after="0" w:line="289" w:lineRule="auto"/>
        <w:tabs>
          <w:tab w:leader="none" w:pos="5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For purposes of these calculations, (i) we used Dr. Schleifer’s 2011 base salary and the bonuses paid to Dr. Schleifer in 2009, 2010, and 2011, for performance in 2008, 2009, and 2010, respectively, (ii) we assumed that Dr. Schleifer received his bonus that was earned in 2011 and paid in 2012 which is described in the Summary Compensation Table on page 35,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an involuntary termination (other than in connection with a change of control), (iv) we assumed an 12% annual increase in medical, dental, and life insurance premiums for 2012, 2013, and 2014, (v) we assumed that the medical insurance benefits received in 2012, 2013 and 2014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67" w:lineRule="exact"/>
        <w:rPr>
          <w:rFonts w:ascii="Arial" w:cs="Arial" w:eastAsia="Arial" w:hAnsi="Arial"/>
          <w:sz w:val="15"/>
          <w:szCs w:val="15"/>
          <w:color w:val="auto"/>
        </w:rPr>
      </w:pPr>
    </w:p>
    <w:p>
      <w:pPr>
        <w:ind w:left="500" w:hanging="498"/>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Equal to three times the sum of (a) Dr. Schleifer’s 2011 base salary and (b) the average bonus paid to Dr. Schleifer over the prior three years.</w:t>
      </w:r>
    </w:p>
    <w:p>
      <w:pPr>
        <w:spacing w:after="0" w:line="212" w:lineRule="exact"/>
        <w:rPr>
          <w:rFonts w:ascii="Arial" w:cs="Arial" w:eastAsia="Arial" w:hAnsi="Arial"/>
          <w:sz w:val="17"/>
          <w:szCs w:val="17"/>
          <w:color w:val="auto"/>
        </w:rPr>
      </w:pPr>
    </w:p>
    <w:p>
      <w:pPr>
        <w:ind w:left="500" w:hanging="498"/>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thirty-six months.</w:t>
      </w:r>
    </w:p>
    <w:p>
      <w:pPr>
        <w:spacing w:after="0" w:line="212" w:lineRule="exact"/>
        <w:rPr>
          <w:rFonts w:ascii="Arial" w:cs="Arial" w:eastAsia="Arial" w:hAnsi="Arial"/>
          <w:sz w:val="17"/>
          <w:szCs w:val="17"/>
          <w:color w:val="auto"/>
        </w:rPr>
      </w:pPr>
    </w:p>
    <w:p>
      <w:pPr>
        <w:ind w:left="500" w:right="100" w:hanging="498"/>
        <w:spacing w:after="0" w:line="270"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Equal to the aggregate amount of the differences between the exercise prices of Dr. Schleifer’s accelerated stock options and the closing sales price per share of the Company’s common stock on the NASDAQ Global Select Market on December 31, 2011.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left="500" w:right="260" w:hanging="498"/>
        <w:spacing w:after="0" w:line="270"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Equal to 1.25 times the sum of (a) Dr. Schleifer’s 2011 base salary and (b) the average bonus paid to Dr. Schleifer over the past three years. For purposes of this calculation, we used Dr. Schleifer’s bonuses paid in 2009, 2010, and 2011 for performance in 2008, 2009, and 2010.</w:t>
      </w:r>
    </w:p>
    <w:p>
      <w:pPr>
        <w:spacing w:after="0" w:line="172" w:lineRule="exact"/>
        <w:rPr>
          <w:rFonts w:ascii="Arial" w:cs="Arial" w:eastAsia="Arial" w:hAnsi="Arial"/>
          <w:sz w:val="17"/>
          <w:szCs w:val="17"/>
          <w:color w:val="auto"/>
        </w:rPr>
      </w:pPr>
    </w:p>
    <w:p>
      <w:pPr>
        <w:ind w:left="500" w:hanging="498"/>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eighteen months.</w:t>
      </w:r>
    </w:p>
    <w:p>
      <w:pPr>
        <w:spacing w:after="0" w:line="212" w:lineRule="exact"/>
        <w:rPr>
          <w:rFonts w:ascii="Arial" w:cs="Arial" w:eastAsia="Arial" w:hAnsi="Arial"/>
          <w:sz w:val="17"/>
          <w:szCs w:val="17"/>
          <w:color w:val="auto"/>
        </w:rPr>
      </w:pPr>
    </w:p>
    <w:p>
      <w:pPr>
        <w:ind w:left="500" w:hanging="498"/>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maintain $1 million of term life insurance covering Dr. Schleifer payable to his designated beneficiary.</w:t>
      </w:r>
    </w:p>
    <w:p>
      <w:pPr>
        <w:spacing w:after="0" w:line="212" w:lineRule="exact"/>
        <w:rPr>
          <w:rFonts w:ascii="Arial" w:cs="Arial" w:eastAsia="Arial" w:hAnsi="Arial"/>
          <w:sz w:val="17"/>
          <w:szCs w:val="17"/>
          <w:color w:val="auto"/>
        </w:rPr>
      </w:pPr>
    </w:p>
    <w:p>
      <w:pPr>
        <w:ind w:left="500" w:right="100" w:hanging="498"/>
        <w:spacing w:after="0" w:line="270"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35% of Dr. Schleifer’s 2011 salary over a period of eighteen months. We have assumed long-term disability coverage exists pursuant to Dr. Schleifer’s employment agreement for the remaining 65% of Dr. Schleifer’s salary.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Change in Control Severance Plan</w:t>
      </w:r>
    </w:p>
    <w:p>
      <w:pPr>
        <w:spacing w:after="0" w:line="238" w:lineRule="exact"/>
        <w:rPr>
          <w:sz w:val="20"/>
          <w:szCs w:val="20"/>
          <w:color w:val="auto"/>
        </w:rPr>
      </w:pPr>
    </w:p>
    <w:p>
      <w:pPr>
        <w:ind w:firstLine="255"/>
        <w:spacing w:after="0" w:line="297" w:lineRule="auto"/>
        <w:rPr>
          <w:sz w:val="20"/>
          <w:szCs w:val="20"/>
          <w:color w:val="auto"/>
        </w:rPr>
      </w:pPr>
      <w:r>
        <w:rPr>
          <w:rFonts w:ascii="Arial" w:cs="Arial" w:eastAsia="Arial" w:hAnsi="Arial"/>
          <w:sz w:val="15"/>
          <w:szCs w:val="15"/>
          <w:color w:val="auto"/>
        </w:rPr>
        <w:t>Each of the Named Officers, other than our Chief Executive Officer,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of control severance plan was amended and restated to bring it into compliance with Section 409A of the Internal Revenue Code of 1986, as amended.</w:t>
      </w:r>
    </w:p>
    <w:p>
      <w:pPr>
        <w:spacing w:after="0" w:line="182" w:lineRule="exact"/>
        <w:rPr>
          <w:sz w:val="20"/>
          <w:szCs w:val="20"/>
          <w:color w:val="auto"/>
        </w:rPr>
      </w:pPr>
    </w:p>
    <w:p>
      <w:pPr>
        <w:ind w:right="60" w:firstLine="255"/>
        <w:spacing w:after="0" w:line="271" w:lineRule="auto"/>
        <w:rPr>
          <w:sz w:val="20"/>
          <w:szCs w:val="20"/>
          <w:color w:val="auto"/>
        </w:rPr>
      </w:pPr>
      <w:r>
        <w:rPr>
          <w:rFonts w:ascii="Arial" w:cs="Arial" w:eastAsia="Arial" w:hAnsi="Arial"/>
          <w:sz w:val="16"/>
          <w:szCs w:val="16"/>
          <w:color w:val="auto"/>
        </w:rPr>
        <w:t>Under the plan, each participant is entitled to receive a cash severance payment in an amount equal to one, or in designated cases, including with respect to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99" w:lineRule="exact"/>
        <w:rPr>
          <w:sz w:val="20"/>
          <w:szCs w:val="20"/>
          <w:color w:val="auto"/>
        </w:rPr>
      </w:pPr>
    </w:p>
    <w:p>
      <w:pPr>
        <w:ind w:right="80" w:firstLine="255"/>
        <w:spacing w:after="0" w:line="285" w:lineRule="auto"/>
        <w:rPr>
          <w:sz w:val="20"/>
          <w:szCs w:val="20"/>
          <w:color w:val="auto"/>
        </w:rPr>
      </w:pPr>
      <w:r>
        <w:rPr>
          <w:rFonts w:ascii="Arial" w:cs="Arial" w:eastAsia="Arial" w:hAnsi="Arial"/>
          <w:sz w:val="15"/>
          <w:szCs w:val="15"/>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twenty-four months after or six months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w:t>
      </w:r>
    </w:p>
    <w:p>
      <w:pPr>
        <w:spacing w:after="0" w:line="4" w:lineRule="exact"/>
        <w:rPr>
          <w:sz w:val="20"/>
          <w:szCs w:val="20"/>
          <w:color w:val="auto"/>
        </w:rPr>
      </w:pPr>
    </w:p>
    <w:p>
      <w:pPr>
        <w:jc w:val="both"/>
        <w:ind w:right="100" w:firstLine="2"/>
        <w:spacing w:after="0" w:line="255" w:lineRule="auto"/>
        <w:tabs>
          <w:tab w:leader="none" w:pos="2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211" w:lineRule="exact"/>
        <w:rPr>
          <w:sz w:val="20"/>
          <w:szCs w:val="20"/>
          <w:color w:val="auto"/>
        </w:rPr>
      </w:pPr>
    </w:p>
    <w:p>
      <w:pPr>
        <w:ind w:right="180" w:firstLine="255"/>
        <w:spacing w:after="0" w:line="257" w:lineRule="auto"/>
        <w:rPr>
          <w:sz w:val="20"/>
          <w:szCs w:val="20"/>
          <w:color w:val="auto"/>
        </w:rPr>
      </w:pPr>
      <w:r>
        <w:rPr>
          <w:rFonts w:ascii="Arial" w:cs="Arial" w:eastAsia="Arial" w:hAnsi="Arial"/>
          <w:sz w:val="17"/>
          <w:szCs w:val="17"/>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48" w:name="page49"/>
    <w:bookmarkEnd w:id="48"/>
    <w:p>
      <w:pPr>
        <w:ind w:right="180" w:firstLine="255"/>
        <w:spacing w:after="0" w:line="260" w:lineRule="auto"/>
        <w:rPr>
          <w:sz w:val="20"/>
          <w:szCs w:val="20"/>
          <w:color w:val="auto"/>
        </w:rPr>
      </w:pPr>
      <w:r>
        <w:rPr>
          <w:rFonts w:ascii="Arial" w:cs="Arial" w:eastAsia="Arial" w:hAnsi="Arial"/>
          <w:sz w:val="17"/>
          <w:szCs w:val="17"/>
          <w:color w:val="auto"/>
        </w:rPr>
        <w:t>The following table shows the potential payments to our Named Officers (other than our Chief Executive Officer), upon their termination (other than for Cause) or resignation for Good Reason, in the two years following, or the six months prior to, a change of control. The table assumes an effective termination or resignation date of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Under Change of Control Severance Plan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Value of</w:t>
            </w:r>
          </w:p>
        </w:tc>
        <w:tc>
          <w:tcPr>
            <w:tcW w:w="840" w:type="dxa"/>
            <w:vAlign w:val="bottom"/>
          </w:tcPr>
          <w:p>
            <w:pPr>
              <w:spacing w:after="0"/>
              <w:rPr>
                <w:sz w:val="14"/>
                <w:szCs w:val="14"/>
                <w:color w:val="auto"/>
              </w:rPr>
            </w:pPr>
          </w:p>
        </w:tc>
      </w:tr>
      <w:tr>
        <w:trPr>
          <w:trHeight w:val="229"/>
        </w:trPr>
        <w:tc>
          <w:tcPr>
            <w:tcW w:w="6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Medical</w:t>
            </w: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Accelerated Stock</w:t>
            </w:r>
          </w:p>
        </w:tc>
        <w:tc>
          <w:tcPr>
            <w:tcW w:w="840" w:type="dxa"/>
            <w:vAlign w:val="bottom"/>
          </w:tcPr>
          <w:p>
            <w:pPr>
              <w:spacing w:after="0"/>
              <w:rPr>
                <w:sz w:val="19"/>
                <w:szCs w:val="19"/>
                <w:color w:val="auto"/>
              </w:rPr>
            </w:pPr>
          </w:p>
        </w:tc>
      </w:tr>
      <w:tr>
        <w:trPr>
          <w:trHeight w:val="230"/>
        </w:trPr>
        <w:tc>
          <w:tcPr>
            <w:tcW w:w="67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Cash</w:t>
            </w: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Insurance</w:t>
            </w: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Options/Restricted</w:t>
            </w:r>
          </w:p>
        </w:tc>
        <w:tc>
          <w:tcPr>
            <w:tcW w:w="840" w:type="dxa"/>
            <w:vAlign w:val="bottom"/>
          </w:tcPr>
          <w:p>
            <w:pPr>
              <w:jc w:val="right"/>
              <w:ind w:right="204"/>
              <w:spacing w:after="0"/>
              <w:rPr>
                <w:sz w:val="20"/>
                <w:szCs w:val="20"/>
                <w:color w:val="auto"/>
              </w:rPr>
            </w:pPr>
            <w:r>
              <w:rPr>
                <w:rFonts w:ascii="Arial" w:cs="Arial" w:eastAsia="Arial" w:hAnsi="Arial"/>
                <w:sz w:val="13"/>
                <w:szCs w:val="13"/>
                <w:b w:val="1"/>
                <w:bCs w:val="1"/>
                <w:color w:val="auto"/>
              </w:rPr>
              <w:t>Total</w:t>
            </w:r>
          </w:p>
        </w:tc>
      </w:tr>
      <w:tr>
        <w:trPr>
          <w:trHeight w:val="229"/>
        </w:trPr>
        <w:tc>
          <w:tcPr>
            <w:tcW w:w="67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Severance (1)</w:t>
            </w: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Continuation (2)</w:t>
            </w: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Stock (3)</w:t>
            </w:r>
          </w:p>
        </w:tc>
        <w:tc>
          <w:tcPr>
            <w:tcW w:w="840" w:type="dxa"/>
            <w:vAlign w:val="bottom"/>
          </w:tcPr>
          <w:p>
            <w:pPr>
              <w:jc w:val="right"/>
              <w:ind w:right="24"/>
              <w:spacing w:after="0"/>
              <w:rPr>
                <w:sz w:val="20"/>
                <w:szCs w:val="20"/>
                <w:color w:val="auto"/>
              </w:rPr>
            </w:pPr>
            <w:r>
              <w:rPr>
                <w:rFonts w:ascii="Arial" w:cs="Arial" w:eastAsia="Arial" w:hAnsi="Arial"/>
                <w:sz w:val="13"/>
                <w:szCs w:val="13"/>
                <w:b w:val="1"/>
                <w:bCs w:val="1"/>
                <w:color w:val="auto"/>
              </w:rPr>
              <w:t>Amount (4)</w:t>
            </w:r>
          </w:p>
        </w:tc>
      </w:tr>
      <w:tr>
        <w:trPr>
          <w:trHeight w:val="38"/>
        </w:trPr>
        <w:tc>
          <w:tcPr>
            <w:tcW w:w="67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2"/>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George D. Yancopoulos, M.D., Ph.D. (4)</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w w:val="91"/>
              </w:rPr>
              <w:t>$ 3,082,837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5"/>
              <w:spacing w:after="0"/>
              <w:rPr>
                <w:sz w:val="20"/>
                <w:szCs w:val="20"/>
                <w:color w:val="auto"/>
              </w:rPr>
            </w:pPr>
            <w:r>
              <w:rPr>
                <w:rFonts w:ascii="Arial" w:cs="Arial" w:eastAsia="Arial" w:hAnsi="Arial"/>
                <w:sz w:val="17"/>
                <w:szCs w:val="17"/>
                <w:color w:val="auto"/>
              </w:rPr>
              <w:t>$ 96,446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7"/>
              <w:spacing w:after="0"/>
              <w:rPr>
                <w:sz w:val="20"/>
                <w:szCs w:val="20"/>
                <w:color w:val="auto"/>
              </w:rPr>
            </w:pPr>
            <w:r>
              <w:rPr>
                <w:rFonts w:ascii="Arial" w:cs="Arial" w:eastAsia="Arial" w:hAnsi="Arial"/>
                <w:sz w:val="17"/>
                <w:szCs w:val="17"/>
                <w:color w:val="auto"/>
                <w:w w:val="98"/>
              </w:rPr>
              <w:t>$ 57,952,317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$ 61,131,600</w:t>
            </w:r>
          </w:p>
        </w:tc>
      </w:tr>
      <w:tr>
        <w:trPr>
          <w:trHeight w:val="223"/>
        </w:trPr>
        <w:tc>
          <w:tcPr>
            <w:tcW w:w="6760" w:type="dxa"/>
            <w:vAlign w:val="bottom"/>
          </w:tcPr>
          <w:p>
            <w:pPr>
              <w:spacing w:after="0"/>
              <w:rPr>
                <w:sz w:val="20"/>
                <w:szCs w:val="20"/>
                <w:color w:val="auto"/>
              </w:rPr>
            </w:pPr>
            <w:r>
              <w:rPr>
                <w:rFonts w:ascii="Arial" w:cs="Arial" w:eastAsia="Arial" w:hAnsi="Arial"/>
                <w:sz w:val="17"/>
                <w:szCs w:val="17"/>
                <w:color w:val="auto"/>
              </w:rPr>
              <w:t>Murray A. Goldberg (4)</w:t>
            </w:r>
          </w:p>
        </w:tc>
        <w:tc>
          <w:tcPr>
            <w:tcW w:w="920" w:type="dxa"/>
            <w:vAlign w:val="bottom"/>
          </w:tcPr>
          <w:p>
            <w:pPr>
              <w:jc w:val="right"/>
              <w:ind w:right="4"/>
              <w:spacing w:after="0"/>
              <w:rPr>
                <w:sz w:val="20"/>
                <w:szCs w:val="20"/>
                <w:color w:val="auto"/>
              </w:rPr>
            </w:pPr>
            <w:r>
              <w:rPr>
                <w:rFonts w:ascii="Arial" w:cs="Arial" w:eastAsia="Arial" w:hAnsi="Arial"/>
                <w:sz w:val="17"/>
                <w:szCs w:val="17"/>
                <w:color w:val="auto"/>
              </w:rPr>
              <w:t>1,626,559</w:t>
            </w:r>
          </w:p>
        </w:tc>
        <w:tc>
          <w:tcPr>
            <w:tcW w:w="260" w:type="dxa"/>
            <w:vAlign w:val="bottom"/>
          </w:tcPr>
          <w:p>
            <w:pPr>
              <w:spacing w:after="0"/>
              <w:rPr>
                <w:sz w:val="19"/>
                <w:szCs w:val="19"/>
                <w:color w:val="auto"/>
              </w:rPr>
            </w:pPr>
          </w:p>
        </w:tc>
        <w:tc>
          <w:tcPr>
            <w:tcW w:w="960" w:type="dxa"/>
            <w:vAlign w:val="bottom"/>
          </w:tcPr>
          <w:p>
            <w:pPr>
              <w:jc w:val="right"/>
              <w:ind w:right="125"/>
              <w:spacing w:after="0"/>
              <w:rPr>
                <w:sz w:val="20"/>
                <w:szCs w:val="20"/>
                <w:color w:val="auto"/>
              </w:rPr>
            </w:pPr>
            <w:r>
              <w:rPr>
                <w:rFonts w:ascii="Arial" w:cs="Arial" w:eastAsia="Arial" w:hAnsi="Arial"/>
                <w:sz w:val="17"/>
                <w:szCs w:val="17"/>
                <w:color w:val="auto"/>
              </w:rPr>
              <w:t>74,337</w:t>
            </w:r>
          </w:p>
        </w:tc>
        <w:tc>
          <w:tcPr>
            <w:tcW w:w="260" w:type="dxa"/>
            <w:vAlign w:val="bottom"/>
          </w:tcPr>
          <w:p>
            <w:pPr>
              <w:spacing w:after="0"/>
              <w:rPr>
                <w:sz w:val="19"/>
                <w:szCs w:val="19"/>
                <w:color w:val="auto"/>
              </w:rPr>
            </w:pPr>
          </w:p>
        </w:tc>
        <w:tc>
          <w:tcPr>
            <w:tcW w:w="1160" w:type="dxa"/>
            <w:vAlign w:val="bottom"/>
          </w:tcPr>
          <w:p>
            <w:pPr>
              <w:jc w:val="right"/>
              <w:ind w:right="87"/>
              <w:spacing w:after="0"/>
              <w:rPr>
                <w:sz w:val="20"/>
                <w:szCs w:val="20"/>
                <w:color w:val="auto"/>
              </w:rPr>
            </w:pPr>
            <w:r>
              <w:rPr>
                <w:rFonts w:ascii="Arial" w:cs="Arial" w:eastAsia="Arial" w:hAnsi="Arial"/>
                <w:sz w:val="17"/>
                <w:szCs w:val="17"/>
                <w:color w:val="auto"/>
              </w:rPr>
              <w:t>6,776,091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8,476,987</w:t>
            </w:r>
          </w:p>
        </w:tc>
      </w:tr>
      <w:tr>
        <w:trPr>
          <w:trHeight w:val="236"/>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Joseph J. LaRosa (4)</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1,573,105</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5"/>
              <w:spacing w:after="0"/>
              <w:rPr>
                <w:sz w:val="20"/>
                <w:szCs w:val="20"/>
                <w:color w:val="auto"/>
              </w:rPr>
            </w:pPr>
            <w:r>
              <w:rPr>
                <w:rFonts w:ascii="Arial" w:cs="Arial" w:eastAsia="Arial" w:hAnsi="Arial"/>
                <w:sz w:val="17"/>
                <w:szCs w:val="17"/>
                <w:color w:val="auto"/>
              </w:rPr>
              <w:t>96,585</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87"/>
              <w:spacing w:after="0"/>
              <w:rPr>
                <w:sz w:val="20"/>
                <w:szCs w:val="20"/>
                <w:color w:val="auto"/>
              </w:rPr>
            </w:pPr>
            <w:r>
              <w:rPr>
                <w:rFonts w:ascii="Arial" w:cs="Arial" w:eastAsia="Arial" w:hAnsi="Arial"/>
                <w:sz w:val="17"/>
                <w:szCs w:val="17"/>
                <w:color w:val="auto"/>
              </w:rPr>
              <w:t>588,300</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2,257,990</w:t>
            </w:r>
          </w:p>
        </w:tc>
      </w:tr>
      <w:tr>
        <w:trPr>
          <w:trHeight w:val="208"/>
        </w:trPr>
        <w:tc>
          <w:tcPr>
            <w:tcW w:w="6760" w:type="dxa"/>
            <w:vAlign w:val="bottom"/>
          </w:tcPr>
          <w:p>
            <w:pPr>
              <w:spacing w:after="0"/>
              <w:rPr>
                <w:sz w:val="20"/>
                <w:szCs w:val="20"/>
                <w:color w:val="auto"/>
              </w:rPr>
            </w:pPr>
            <w:r>
              <w:rPr>
                <w:rFonts w:ascii="Arial" w:cs="Arial" w:eastAsia="Arial" w:hAnsi="Arial"/>
                <w:sz w:val="17"/>
                <w:szCs w:val="17"/>
                <w:color w:val="auto"/>
              </w:rPr>
              <w:t>Neil Stahl, Ph.D. (4)</w:t>
            </w:r>
          </w:p>
        </w:tc>
        <w:tc>
          <w:tcPr>
            <w:tcW w:w="920" w:type="dxa"/>
            <w:vAlign w:val="bottom"/>
          </w:tcPr>
          <w:p>
            <w:pPr>
              <w:jc w:val="right"/>
              <w:ind w:right="4"/>
              <w:spacing w:after="0"/>
              <w:rPr>
                <w:sz w:val="20"/>
                <w:szCs w:val="20"/>
                <w:color w:val="auto"/>
              </w:rPr>
            </w:pPr>
            <w:r>
              <w:rPr>
                <w:rFonts w:ascii="Arial" w:cs="Arial" w:eastAsia="Arial" w:hAnsi="Arial"/>
                <w:sz w:val="17"/>
                <w:szCs w:val="17"/>
                <w:color w:val="auto"/>
              </w:rPr>
              <w:t>1,976,932</w:t>
            </w:r>
          </w:p>
        </w:tc>
        <w:tc>
          <w:tcPr>
            <w:tcW w:w="260" w:type="dxa"/>
            <w:vAlign w:val="bottom"/>
          </w:tcPr>
          <w:p>
            <w:pPr>
              <w:spacing w:after="0"/>
              <w:rPr>
                <w:sz w:val="18"/>
                <w:szCs w:val="18"/>
                <w:color w:val="auto"/>
              </w:rPr>
            </w:pPr>
          </w:p>
        </w:tc>
        <w:tc>
          <w:tcPr>
            <w:tcW w:w="960" w:type="dxa"/>
            <w:vAlign w:val="bottom"/>
          </w:tcPr>
          <w:p>
            <w:pPr>
              <w:jc w:val="right"/>
              <w:ind w:right="125"/>
              <w:spacing w:after="0"/>
              <w:rPr>
                <w:sz w:val="20"/>
                <w:szCs w:val="20"/>
                <w:color w:val="auto"/>
              </w:rPr>
            </w:pPr>
            <w:r>
              <w:rPr>
                <w:rFonts w:ascii="Arial" w:cs="Arial" w:eastAsia="Arial" w:hAnsi="Arial"/>
                <w:sz w:val="17"/>
                <w:szCs w:val="17"/>
                <w:color w:val="auto"/>
              </w:rPr>
              <w:t>48,241</w:t>
            </w:r>
          </w:p>
        </w:tc>
        <w:tc>
          <w:tcPr>
            <w:tcW w:w="260" w:type="dxa"/>
            <w:vAlign w:val="bottom"/>
          </w:tcPr>
          <w:p>
            <w:pPr>
              <w:spacing w:after="0"/>
              <w:rPr>
                <w:sz w:val="18"/>
                <w:szCs w:val="18"/>
                <w:color w:val="auto"/>
              </w:rPr>
            </w:pPr>
          </w:p>
        </w:tc>
        <w:tc>
          <w:tcPr>
            <w:tcW w:w="1160" w:type="dxa"/>
            <w:vAlign w:val="bottom"/>
          </w:tcPr>
          <w:p>
            <w:pPr>
              <w:jc w:val="right"/>
              <w:ind w:right="87"/>
              <w:spacing w:after="0"/>
              <w:rPr>
                <w:sz w:val="20"/>
                <w:szCs w:val="20"/>
                <w:color w:val="auto"/>
              </w:rPr>
            </w:pPr>
            <w:r>
              <w:rPr>
                <w:rFonts w:ascii="Arial" w:cs="Arial" w:eastAsia="Arial" w:hAnsi="Arial"/>
                <w:sz w:val="17"/>
                <w:szCs w:val="17"/>
                <w:color w:val="auto"/>
              </w:rPr>
              <w:t>12,092,159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14,117,332</w:t>
            </w:r>
          </w:p>
        </w:tc>
      </w:tr>
      <w:tr>
        <w:trPr>
          <w:trHeight w:val="260"/>
        </w:trPr>
        <w:tc>
          <w:tcPr>
            <w:tcW w:w="6760" w:type="dxa"/>
            <w:vAlign w:val="bottom"/>
          </w:tcPr>
          <w:p>
            <w:pPr>
              <w:spacing w:after="0"/>
              <w:rPr>
                <w:sz w:val="20"/>
                <w:szCs w:val="20"/>
                <w:color w:val="auto"/>
              </w:rPr>
            </w:pPr>
            <w:r>
              <w:rPr>
                <w:rFonts w:ascii="Arial" w:cs="Arial" w:eastAsia="Arial" w:hAnsi="Arial"/>
                <w:sz w:val="20"/>
                <w:szCs w:val="20"/>
                <w:color w:val="auto"/>
              </w:rPr>
              <w:t>____________________</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12" w:lineRule="exact"/>
        <w:rPr>
          <w:sz w:val="20"/>
          <w:szCs w:val="20"/>
          <w:color w:val="auto"/>
        </w:rPr>
      </w:pPr>
    </w:p>
    <w:p>
      <w:pPr>
        <w:jc w:val="both"/>
        <w:ind w:left="500" w:right="260" w:hanging="498"/>
        <w:spacing w:after="0" w:line="260"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Equal to two times the sum of (a) the Named Officer’s 2011 base salary and (b) the average bonus paid to the Named Officer over the prior three years or, in the case of Mr. LaRosa, given that he joined the Company in 2011, the average bonus paid over the prior three years to eligible executives in the group of which Mr. LaRosa is now a member under the change in control severance plan.</w:t>
      </w:r>
    </w:p>
    <w:p>
      <w:pPr>
        <w:spacing w:after="0" w:line="180" w:lineRule="exact"/>
        <w:rPr>
          <w:rFonts w:ascii="Arial" w:cs="Arial" w:eastAsia="Arial" w:hAnsi="Arial"/>
          <w:sz w:val="17"/>
          <w:szCs w:val="17"/>
          <w:color w:val="auto"/>
        </w:rPr>
      </w:pPr>
    </w:p>
    <w:p>
      <w:pPr>
        <w:ind w:left="500" w:hanging="498"/>
        <w:spacing w:after="0" w:line="270"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Equal to the estimated cost of providing each Named Officer and his dependents medical, dental, disability, and life insurance coverage for twenty-four months, plus the estimated cost of providing each Named Officer tax and financial planning advisory services for twenty-four months.</w:t>
      </w:r>
    </w:p>
    <w:p>
      <w:pPr>
        <w:spacing w:after="0" w:line="172" w:lineRule="exact"/>
        <w:rPr>
          <w:rFonts w:ascii="Arial" w:cs="Arial" w:eastAsia="Arial" w:hAnsi="Arial"/>
          <w:sz w:val="17"/>
          <w:szCs w:val="17"/>
          <w:color w:val="auto"/>
        </w:rPr>
      </w:pPr>
    </w:p>
    <w:p>
      <w:pPr>
        <w:ind w:left="500" w:right="20" w:hanging="498"/>
        <w:spacing w:after="0" w:line="27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30, 2011 of $55.43. The amounts include the acceleration of the stock options granted to the Named Officers (other than Mr. LaRosa) in January 2005 as part of a stock option exchange program and the performance based stock options granted to the Named Officers in December 2009, December 2010, and December 2011. The amounts also include the value as of December 31, 2011 of unvested restricted stock.</w:t>
      </w:r>
    </w:p>
    <w:p>
      <w:pPr>
        <w:spacing w:after="0" w:line="169" w:lineRule="exact"/>
        <w:rPr>
          <w:rFonts w:ascii="Arial" w:cs="Arial" w:eastAsia="Arial" w:hAnsi="Arial"/>
          <w:sz w:val="16"/>
          <w:szCs w:val="16"/>
          <w:color w:val="auto"/>
        </w:rPr>
      </w:pPr>
    </w:p>
    <w:p>
      <w:pPr>
        <w:ind w:left="500" w:right="20" w:hanging="498"/>
        <w:spacing w:after="0" w:line="269"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purposes of these calculations, (i) we used base salaries as of December 31, 2011, and bonuses paid to the Named Officers in 2009, 2010, and 2011, for performance in 2008, 2009, and 2010, respectively, or, in the case of Mr. LaRosa, the average bonus paid over the prior three years to eligible executives in the group of which Mr. LaRosa is a now member under the change in control severance plan, (ii) we assumed that each Named Officer received his bonus that was earned in 2011 and paid in 2012 which is described in the Summary Compensation Table on page 35, (iii) we took into consideration, for purposes of determining whether each Named Officer was subject to a reduction under the terms of the change in control severance plan, the fact that each Named Officer’s stock options vest following an involuntary termination without Cause or termination for Good Reason following a change in control (parachute payments for time vesting stock options and restricted stock were valued using Internal Revenue Code Treas. Reg. Section 1.28G-1 Q&amp;A 24(c)), (iv) we assumed an 12% annual increase in medical, dental, disability, and life insurance premiums and employer cost of tax and financial planning advisory services for 2012 and 2013, (v) we assumed that the medical insurance benefits received in 2012 and 2013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 Section 409A of the Internal Revenue Code, we did not attempt to determine which, if any, payments would be delayed.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2" w:lineRule="exact"/>
        <w:rPr>
          <w:sz w:val="20"/>
          <w:szCs w:val="20"/>
          <w:color w:val="auto"/>
        </w:rPr>
      </w:pPr>
    </w:p>
    <w:p>
      <w:pPr>
        <w:ind w:right="560" w:firstLine="255"/>
        <w:spacing w:after="0" w:line="270" w:lineRule="auto"/>
        <w:rPr>
          <w:sz w:val="20"/>
          <w:szCs w:val="20"/>
          <w:color w:val="auto"/>
        </w:rPr>
      </w:pPr>
      <w:r>
        <w:rPr>
          <w:rFonts w:ascii="Arial" w:cs="Arial" w:eastAsia="Arial" w:hAnsi="Arial"/>
          <w:sz w:val="17"/>
          <w:szCs w:val="17"/>
          <w:color w:val="auto"/>
        </w:rPr>
        <w:t>The following table shows information with respect to securities authorized for issuance under the equity compensation plans maintained by the Company as of December 31, 2011.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7"/>
              </w:rPr>
              <w:t>(a)</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6"/>
              </w:rPr>
              <w:t>(b)</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r>
      <w:tr>
        <w:trPr>
          <w:trHeight w:val="230"/>
        </w:trPr>
        <w:tc>
          <w:tcPr>
            <w:tcW w:w="7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Number of securities</w:t>
            </w:r>
          </w:p>
        </w:tc>
      </w:tr>
      <w:tr>
        <w:trPr>
          <w:trHeight w:val="229"/>
        </w:trPr>
        <w:tc>
          <w:tcPr>
            <w:tcW w:w="70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8"/>
              </w:rPr>
              <w:t>Number of securities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remaining available for</w:t>
            </w:r>
          </w:p>
        </w:tc>
      </w:tr>
      <w:tr>
        <w:trPr>
          <w:trHeight w:val="229"/>
        </w:trPr>
        <w:tc>
          <w:tcPr>
            <w:tcW w:w="70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4"/>
              </w:rPr>
              <w:t>to be issued</w:t>
            </w:r>
          </w:p>
        </w:tc>
        <w:tc>
          <w:tcPr>
            <w:tcW w:w="260" w:type="dxa"/>
            <w:vAlign w:val="bottom"/>
          </w:tcPr>
          <w:p>
            <w:pPr>
              <w:spacing w:after="0"/>
              <w:rPr>
                <w:sz w:val="19"/>
                <w:szCs w:val="19"/>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Weighted-average</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6"/>
              </w:rPr>
              <w:t>future issuance under</w:t>
            </w:r>
          </w:p>
        </w:tc>
      </w:tr>
      <w:tr>
        <w:trPr>
          <w:trHeight w:val="230"/>
        </w:trPr>
        <w:tc>
          <w:tcPr>
            <w:tcW w:w="70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5"/>
              </w:rPr>
              <w:t>upon exercise of</w:t>
            </w:r>
          </w:p>
        </w:tc>
        <w:tc>
          <w:tcPr>
            <w:tcW w:w="260" w:type="dxa"/>
            <w:vAlign w:val="bottom"/>
          </w:tcPr>
          <w:p>
            <w:pPr>
              <w:spacing w:after="0"/>
              <w:rPr>
                <w:sz w:val="19"/>
                <w:szCs w:val="19"/>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5"/>
              </w:rPr>
              <w:t>exercise price of</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6"/>
              </w:rPr>
              <w:t>equity compensation</w:t>
            </w:r>
          </w:p>
        </w:tc>
      </w:tr>
      <w:tr>
        <w:trPr>
          <w:trHeight w:val="229"/>
        </w:trPr>
        <w:tc>
          <w:tcPr>
            <w:tcW w:w="70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5"/>
              </w:rPr>
              <w:t>outstanding options,</w:t>
            </w:r>
          </w:p>
        </w:tc>
        <w:tc>
          <w:tcPr>
            <w:tcW w:w="260" w:type="dxa"/>
            <w:vAlign w:val="bottom"/>
          </w:tcPr>
          <w:p>
            <w:pPr>
              <w:spacing w:after="0"/>
              <w:rPr>
                <w:sz w:val="19"/>
                <w:szCs w:val="19"/>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5"/>
              </w:rPr>
              <w:t>outstanding options,</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5"/>
              </w:rPr>
              <w:t>plans (excluding securities</w:t>
            </w:r>
          </w:p>
        </w:tc>
      </w:tr>
      <w:tr>
        <w:trPr>
          <w:trHeight w:val="230"/>
        </w:trPr>
        <w:tc>
          <w:tcPr>
            <w:tcW w:w="702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9"/>
              </w:rPr>
              <w:t>warrants and rights</w:t>
            </w:r>
          </w:p>
        </w:tc>
        <w:tc>
          <w:tcPr>
            <w:tcW w:w="260" w:type="dxa"/>
            <w:vAlign w:val="bottom"/>
          </w:tcPr>
          <w:p>
            <w:pPr>
              <w:spacing w:after="0"/>
              <w:rPr>
                <w:sz w:val="19"/>
                <w:szCs w:val="19"/>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warrants and rights</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reflected in column (a))</w:t>
            </w:r>
          </w:p>
        </w:tc>
      </w:tr>
      <w:tr>
        <w:trPr>
          <w:trHeight w:val="38"/>
        </w:trPr>
        <w:tc>
          <w:tcPr>
            <w:tcW w:w="70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plans</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22,326,361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w w:val="84"/>
              </w:rPr>
              <w:t>26.40</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10,244,318 shares of</w:t>
            </w:r>
          </w:p>
        </w:tc>
      </w:tr>
      <w:tr>
        <w:trPr>
          <w:trHeight w:val="229"/>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approved by security holders (1)</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shares of</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common stock (3)</w:t>
            </w:r>
          </w:p>
        </w:tc>
      </w:tr>
      <w:tr>
        <w:trPr>
          <w:trHeight w:val="243"/>
        </w:trPr>
        <w:tc>
          <w:tcPr>
            <w:tcW w:w="70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common stock</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7"/>
                <w:szCs w:val="17"/>
                <w:color w:val="auto"/>
              </w:rPr>
              <w:t>Equity compensation plans not</w:t>
            </w:r>
          </w:p>
        </w:tc>
        <w:tc>
          <w:tcPr>
            <w:tcW w:w="11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282"/>
              <w:spacing w:after="0"/>
              <w:rPr>
                <w:sz w:val="20"/>
                <w:szCs w:val="20"/>
                <w:color w:val="auto"/>
              </w:rPr>
            </w:pPr>
            <w:r>
              <w:rPr>
                <w:rFonts w:ascii="Arial" w:cs="Arial" w:eastAsia="Arial" w:hAnsi="Arial"/>
                <w:sz w:val="17"/>
                <w:szCs w:val="17"/>
                <w:color w:val="auto"/>
              </w:rPr>
              <w:t>0.00</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w w:val="86"/>
              </w:rPr>
              <w:t>44,246 shares of</w:t>
            </w:r>
          </w:p>
        </w:tc>
      </w:tr>
      <w:tr>
        <w:trPr>
          <w:trHeight w:val="236"/>
        </w:trPr>
        <w:tc>
          <w:tcPr>
            <w:tcW w:w="7020" w:type="dxa"/>
            <w:vAlign w:val="bottom"/>
          </w:tcPr>
          <w:p>
            <w:pPr>
              <w:spacing w:after="0"/>
              <w:rPr>
                <w:sz w:val="20"/>
                <w:szCs w:val="20"/>
                <w:color w:val="auto"/>
              </w:rPr>
            </w:pPr>
            <w:r>
              <w:rPr>
                <w:rFonts w:ascii="Arial" w:cs="Arial" w:eastAsia="Arial" w:hAnsi="Arial"/>
                <w:sz w:val="17"/>
                <w:szCs w:val="17"/>
                <w:color w:val="auto"/>
              </w:rPr>
              <w:t>approved by security holders (2)</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Class A Stock</w:t>
            </w: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22,326,361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w w:val="84"/>
              </w:rPr>
              <w:t>26.40</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10,288,564 shares</w:t>
            </w:r>
          </w:p>
        </w:tc>
      </w:tr>
      <w:tr>
        <w:trPr>
          <w:trHeight w:val="230"/>
        </w:trPr>
        <w:tc>
          <w:tcPr>
            <w:tcW w:w="70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shares of</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of common stock</w:t>
            </w:r>
          </w:p>
        </w:tc>
      </w:tr>
      <w:tr>
        <w:trPr>
          <w:trHeight w:val="243"/>
        </w:trPr>
        <w:tc>
          <w:tcPr>
            <w:tcW w:w="70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common stock</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and Class A Stock</w:t>
            </w:r>
          </w:p>
        </w:tc>
      </w:tr>
      <w:tr>
        <w:trPr>
          <w:trHeight w:val="260"/>
        </w:trPr>
        <w:tc>
          <w:tcPr>
            <w:tcW w:w="7020" w:type="dxa"/>
            <w:vAlign w:val="bottom"/>
          </w:tcPr>
          <w:p>
            <w:pPr>
              <w:spacing w:after="0"/>
              <w:rPr>
                <w:sz w:val="20"/>
                <w:szCs w:val="20"/>
                <w:color w:val="auto"/>
              </w:rPr>
            </w:pPr>
            <w:r>
              <w:rPr>
                <w:rFonts w:ascii="Arial" w:cs="Arial" w:eastAsia="Arial" w:hAnsi="Arial"/>
                <w:sz w:val="20"/>
                <w:szCs w:val="20"/>
                <w:color w:val="auto"/>
              </w:rPr>
              <w:t>____________________</w:t>
            </w: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191" w:lineRule="exact"/>
        <w:rPr>
          <w:sz w:val="20"/>
          <w:szCs w:val="20"/>
          <w:color w:val="auto"/>
        </w:rPr>
      </w:pPr>
    </w:p>
    <w:p>
      <w:pPr>
        <w:ind w:left="500" w:hanging="498"/>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equity compensation plan approved by the security holders is the Second Amended and Restated 2000 Long-Term Incentive Plan.</w:t>
      </w:r>
    </w:p>
    <w:p>
      <w:pPr>
        <w:spacing w:after="0" w:line="212" w:lineRule="exact"/>
        <w:rPr>
          <w:rFonts w:ascii="Arial" w:cs="Arial" w:eastAsia="Arial" w:hAnsi="Arial"/>
          <w:sz w:val="17"/>
          <w:szCs w:val="17"/>
          <w:color w:val="auto"/>
        </w:rPr>
      </w:pPr>
    </w:p>
    <w:p>
      <w:pPr>
        <w:ind w:left="500" w:right="500" w:hanging="498"/>
        <w:spacing w:after="0" w:line="270"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equity compensation plan not approved by security holders is the Executive Stock Purchase Plan which is described in note 14 to the Company’s audited financial statements for the fiscal year ended December 31, 2011.</w:t>
      </w:r>
    </w:p>
    <w:p>
      <w:pPr>
        <w:spacing w:after="0" w:line="172" w:lineRule="exact"/>
        <w:rPr>
          <w:rFonts w:ascii="Arial" w:cs="Arial" w:eastAsia="Arial" w:hAnsi="Arial"/>
          <w:sz w:val="17"/>
          <w:szCs w:val="17"/>
          <w:color w:val="auto"/>
        </w:rPr>
      </w:pPr>
    </w:p>
    <w:p>
      <w:pPr>
        <w:ind w:left="500" w:right="700" w:hanging="498"/>
        <w:spacing w:after="0" w:line="270"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There is no restriction to the number of shares that may be issued under the Second Amended and Restated 2000 Long-Term Incentive Plan in the form of Restricted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50" w:name="page51"/>
    <w:bookmarkEnd w:id="50"/>
    <w:p>
      <w:pPr>
        <w:ind w:left="5000"/>
        <w:spacing w:after="0"/>
        <w:rPr>
          <w:sz w:val="20"/>
          <w:szCs w:val="20"/>
          <w:color w:val="auto"/>
        </w:rPr>
      </w:pPr>
      <w:r>
        <w:rPr>
          <w:rFonts w:ascii="Arial" w:cs="Arial" w:eastAsia="Arial" w:hAnsi="Arial"/>
          <w:sz w:val="17"/>
          <w:szCs w:val="17"/>
          <w:b w:val="1"/>
          <w:bCs w:val="1"/>
          <w:color w:val="auto"/>
        </w:rPr>
        <w:t>OTHER MATTERS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are shareholder proposals due for the 2013 Annual Meeting of Shareholders?</w:t>
      </w:r>
    </w:p>
    <w:p>
      <w:pPr>
        <w:spacing w:after="0" w:line="242" w:lineRule="exact"/>
        <w:rPr>
          <w:sz w:val="20"/>
          <w:szCs w:val="20"/>
          <w:color w:val="auto"/>
        </w:rPr>
      </w:pPr>
    </w:p>
    <w:p>
      <w:pPr>
        <w:ind w:right="60" w:firstLine="255"/>
        <w:spacing w:after="0" w:line="257" w:lineRule="auto"/>
        <w:rPr>
          <w:sz w:val="20"/>
          <w:szCs w:val="20"/>
          <w:color w:val="auto"/>
        </w:rPr>
      </w:pPr>
      <w:r>
        <w:rPr>
          <w:rFonts w:ascii="Arial" w:cs="Arial" w:eastAsia="Arial" w:hAnsi="Arial"/>
          <w:sz w:val="17"/>
          <w:szCs w:val="17"/>
          <w:color w:val="auto"/>
        </w:rPr>
        <w:t>A shareholder wishing to present a proposal at the 2013 Annual Meeting of Shareholders must submit the proposal in writing and it must be received by the Company at its principal executive offices at 777 Old Saw Mill River Road, Tarrytown, New York 10591 by December 27, 2012, and must satisfy the other conditions established by the Securities and Exchange Commission, in order for such proposal to be considered for inclusion in the Company’s proxy statement and form of proxy relating to that meeting.</w:t>
      </w:r>
    </w:p>
    <w:p>
      <w:pPr>
        <w:spacing w:after="0" w:line="208" w:lineRule="exact"/>
        <w:rPr>
          <w:sz w:val="20"/>
          <w:szCs w:val="20"/>
          <w:color w:val="auto"/>
        </w:rPr>
      </w:pPr>
    </w:p>
    <w:p>
      <w:pPr>
        <w:ind w:right="40" w:firstLine="255"/>
        <w:spacing w:after="0" w:line="290"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2013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2013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2013 Annual Meeting is held on June 14, 2013 in accordance with the Company’s past practice, and at least 70 days’ notice or prior public disclosure of the date of the 2013 Annual Meeting is given or made to shareholders, notice of such proposals would need to be given no earlier than March 16, 2013 and no later than April 15, 2013. Any proposal received outside of such dates will not be considered “timely” under the federal proxy rules for purposes of determining whether we may use discretionary authority to vote on such proposal.</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multiple shareholders share an address?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Applicable rules permit brokerage firms and the Company to send one Notice of Internet Availability of Proxy Materials (or one annual report, proxy statement, and Notice of Internet Availability of Proxy Materials in</w:t>
      </w:r>
    </w:p>
    <w:p>
      <w:pPr>
        <w:spacing w:after="0" w:line="39" w:lineRule="exact"/>
        <w:rPr>
          <w:sz w:val="20"/>
          <w:szCs w:val="20"/>
          <w:color w:val="auto"/>
        </w:rPr>
      </w:pPr>
    </w:p>
    <w:p>
      <w:pPr>
        <w:spacing w:after="0" w:line="275" w:lineRule="auto"/>
        <w:rPr>
          <w:sz w:val="20"/>
          <w:szCs w:val="20"/>
          <w:color w:val="auto"/>
        </w:rPr>
      </w:pPr>
      <w:r>
        <w:rPr>
          <w:rFonts w:ascii="Arial" w:cs="Arial" w:eastAsia="Arial" w:hAnsi="Arial"/>
          <w:sz w:val="11"/>
          <w:szCs w:val="11"/>
          <w:color w:val="auto"/>
        </w:rPr>
        <w:t>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2012 Annual Meeting, the 2011 annual report, or the Notice of Internet Availability of Proxy Materials, you may find these materials at our internet website (</w:t>
      </w:r>
      <w:r>
        <w:rPr>
          <w:rFonts w:ascii="Arial" w:cs="Arial" w:eastAsia="Arial" w:hAnsi="Arial"/>
          <w:sz w:val="11"/>
          <w:szCs w:val="11"/>
          <w:u w:val="single" w:color="auto"/>
          <w:color w:val="auto"/>
        </w:rPr>
        <w:t>www.regeneron.com</w:t>
      </w:r>
      <w:r>
        <w:rPr>
          <w:rFonts w:ascii="Arial" w:cs="Arial" w:eastAsia="Arial" w:hAnsi="Arial"/>
          <w:sz w:val="11"/>
          <w:szCs w:val="11"/>
          <w:color w:val="auto"/>
        </w:rPr>
        <w:t>) or you may stop householding for your account and receive separate printed copies of these materials by contacting our Investor Relations Department, at Regeneron Pharmaceuticals, Inc., 777 Old Saw Mill River Road, Tarrytown, New York 10591,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there any other matters to be addressed at the Annual Meeting?</w:t>
      </w:r>
    </w:p>
    <w:p>
      <w:pPr>
        <w:spacing w:after="0" w:line="242" w:lineRule="exact"/>
        <w:rPr>
          <w:sz w:val="20"/>
          <w:szCs w:val="20"/>
          <w:color w:val="auto"/>
        </w:rPr>
      </w:pPr>
    </w:p>
    <w:p>
      <w:pPr>
        <w:ind w:firstLine="255"/>
        <w:spacing w:after="0" w:line="311" w:lineRule="auto"/>
        <w:rPr>
          <w:sz w:val="20"/>
          <w:szCs w:val="20"/>
          <w:color w:val="auto"/>
        </w:rPr>
      </w:pPr>
      <w:r>
        <w:rPr>
          <w:rFonts w:ascii="Arial" w:cs="Arial" w:eastAsia="Arial" w:hAnsi="Arial"/>
          <w:sz w:val="15"/>
          <w:szCs w:val="15"/>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Who will pay the costs related to this proxy statement and the Annual Meeting?</w:t>
      </w:r>
    </w:p>
    <w:p>
      <w:pPr>
        <w:spacing w:after="0" w:line="242" w:lineRule="exact"/>
        <w:rPr>
          <w:sz w:val="20"/>
          <w:szCs w:val="20"/>
          <w:color w:val="auto"/>
        </w:rPr>
      </w:pPr>
    </w:p>
    <w:p>
      <w:pPr>
        <w:ind w:right="20" w:firstLine="255"/>
        <w:spacing w:after="0" w:line="255" w:lineRule="auto"/>
        <w:rPr>
          <w:sz w:val="20"/>
          <w:szCs w:val="20"/>
          <w:color w:val="auto"/>
        </w:rPr>
      </w:pPr>
      <w:r>
        <w:rPr>
          <w:rFonts w:ascii="Arial" w:cs="Arial" w:eastAsia="Arial" w:hAnsi="Arial"/>
          <w:sz w:val="17"/>
          <w:szCs w:val="17"/>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 In addition to the solicitation by use of the mails and the Internet, certain of our officers, directors, and employees may solicit the return of proxies by telephone, email or personal interviews.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you receive a printed copy of the Company’s Annual Report on Form 10-K?</w:t>
      </w:r>
    </w:p>
    <w:p>
      <w:pPr>
        <w:spacing w:after="0" w:line="238" w:lineRule="exact"/>
        <w:rPr>
          <w:sz w:val="20"/>
          <w:szCs w:val="20"/>
          <w:color w:val="auto"/>
        </w:rPr>
      </w:pPr>
    </w:p>
    <w:p>
      <w:pPr>
        <w:ind w:right="80" w:firstLine="255"/>
        <w:spacing w:after="0" w:line="258" w:lineRule="auto"/>
        <w:rPr>
          <w:sz w:val="20"/>
          <w:szCs w:val="20"/>
          <w:color w:val="auto"/>
        </w:rPr>
      </w:pPr>
      <w:r>
        <w:rPr>
          <w:rFonts w:ascii="Arial" w:cs="Arial" w:eastAsia="Arial" w:hAnsi="Arial"/>
          <w:sz w:val="17"/>
          <w:szCs w:val="17"/>
          <w:b w:val="1"/>
          <w:bCs w:val="1"/>
          <w:color w:val="auto"/>
        </w:rPr>
        <w:t>Interested shareholders may obtain without charge a copy of our Annual Report on Form 10-K (without exhibits), which includes our audited financial statements for the fiscal year ended December 31, 2011, required to be filed with the Securities and Exchange Commission, by making a written request to Regeneron Pharmaceuticals, Inc., 777 Old Saw Mill River Road, Tarrytown, New York 10591, Attention: Investor Relations, or by calling our Investor Relations Department at (914) 847-7000.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you elect to receive future proxy materials electronically?</w:t>
      </w:r>
    </w:p>
    <w:p>
      <w:pPr>
        <w:spacing w:after="0" w:line="242" w:lineRule="exact"/>
        <w:rPr>
          <w:sz w:val="20"/>
          <w:szCs w:val="20"/>
          <w:color w:val="auto"/>
        </w:rPr>
      </w:pPr>
    </w:p>
    <w:p>
      <w:pPr>
        <w:ind w:right="40" w:firstLine="255"/>
        <w:spacing w:after="0" w:line="255" w:lineRule="auto"/>
        <w:rPr>
          <w:sz w:val="20"/>
          <w:szCs w:val="20"/>
          <w:color w:val="auto"/>
        </w:rPr>
      </w:pPr>
      <w:r>
        <w:rPr>
          <w:rFonts w:ascii="Arial" w:cs="Arial" w:eastAsia="Arial" w:hAnsi="Arial"/>
          <w:sz w:val="17"/>
          <w:szCs w:val="17"/>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211" w:lineRule="exact"/>
        <w:rPr>
          <w:sz w:val="20"/>
          <w:szCs w:val="20"/>
          <w:color w:val="auto"/>
        </w:rPr>
      </w:pPr>
    </w:p>
    <w:p>
      <w:pPr>
        <w:ind w:firstLine="255"/>
        <w:spacing w:after="0" w:line="302" w:lineRule="auto"/>
        <w:rPr>
          <w:sz w:val="20"/>
          <w:szCs w:val="20"/>
          <w:color w:val="auto"/>
        </w:rPr>
      </w:pPr>
      <w:r>
        <w:rPr>
          <w:rFonts w:ascii="Arial" w:cs="Arial" w:eastAsia="Arial" w:hAnsi="Arial"/>
          <w:sz w:val="15"/>
          <w:szCs w:val="15"/>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60" w:right="259" w:bottom="1440" w:gutter="0" w:footer="0" w:header="0"/>
        </w:sectPr>
      </w:pPr>
    </w:p>
    <w:bookmarkStart w:id="52" w:name="page53"/>
    <w:bookmarkEnd w:id="52"/>
    <w:p>
      <w:pPr>
        <w:spacing w:after="0" w:line="200" w:lineRule="exact"/>
        <w:rPr>
          <w:sz w:val="20"/>
          <w:szCs w:val="20"/>
          <w:color w:val="auto"/>
        </w:rPr>
      </w:pPr>
    </w:p>
    <w:p>
      <w:pPr>
        <w:spacing w:after="0" w:line="212" w:lineRule="exact"/>
        <w:rPr>
          <w:sz w:val="20"/>
          <w:szCs w:val="20"/>
          <w:color w:val="auto"/>
        </w:rPr>
      </w:pPr>
    </w:p>
    <w:p>
      <w:pPr>
        <w:ind w:left="700"/>
        <w:spacing w:after="0"/>
        <w:rPr>
          <w:sz w:val="20"/>
          <w:szCs w:val="20"/>
          <w:color w:val="auto"/>
        </w:rPr>
      </w:pPr>
      <w:r>
        <w:rPr>
          <w:rFonts w:ascii="Arial" w:cs="Arial" w:eastAsia="Arial" w:hAnsi="Arial"/>
          <w:sz w:val="12"/>
          <w:szCs w:val="12"/>
          <w:b w:val="1"/>
          <w:bCs w:val="1"/>
          <w:i w:val="1"/>
          <w:iCs w:val="1"/>
          <w:color w:val="auto"/>
        </w:rPr>
        <w:t>REGENERON PHARMACEUTICALS, INC.</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777 OLD SAW MILL RIVER ROAD</w:t>
      </w:r>
    </w:p>
    <w:p>
      <w:pPr>
        <w:ind w:left="700"/>
        <w:spacing w:after="0"/>
        <w:rPr>
          <w:sz w:val="20"/>
          <w:szCs w:val="20"/>
          <w:color w:val="auto"/>
        </w:rPr>
      </w:pPr>
      <w:r>
        <w:rPr>
          <w:rFonts w:ascii="Arial" w:cs="Arial" w:eastAsia="Arial" w:hAnsi="Arial"/>
          <w:sz w:val="13"/>
          <w:szCs w:val="13"/>
          <w:b w:val="1"/>
          <w:bCs w:val="1"/>
          <w:i w:val="1"/>
          <w:iCs w:val="1"/>
          <w:color w:val="auto"/>
        </w:rPr>
        <w:t>TARRYTOWN, NY 10591-6707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VOTE BY INTERNET - www.proxyvote.com</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 Time the day before the cut-off date or meeting date. Have your proxy card in hand when you access the web site and follow the instructions to obtain your records and to create an electronic voting instruction form.</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future proxy statements, proxy cards and annual reports electronically via e-mail or the Internet. To sign up for electron delivery, please follow the instructions above to vote using the Internet and, when prompted, indicate that you agree to receive or access proxy materials electronically in future years.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5" w:lineRule="exact"/>
        <w:rPr>
          <w:sz w:val="20"/>
          <w:szCs w:val="20"/>
          <w:color w:val="auto"/>
        </w:rPr>
      </w:pPr>
    </w:p>
    <w:p>
      <w:pPr>
        <w:ind w:right="40"/>
        <w:spacing w:after="0" w:line="267"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off date or meeting date. Have your proxy card in hand when you call and then follow the instructions.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5" w:lineRule="exact"/>
        <w:rPr>
          <w:sz w:val="20"/>
          <w:szCs w:val="20"/>
          <w:color w:val="auto"/>
        </w:rPr>
      </w:pPr>
    </w:p>
    <w:p>
      <w:pPr>
        <w:ind w:right="140"/>
        <w:spacing w:after="0" w:line="234"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400" w:space="720"/>
            <w:col w:w="6060"/>
          </w:cols>
          <w:pgMar w:left="580" w:top="356" w:right="139" w:bottom="1440" w:gutter="0" w:footer="0" w:header="0"/>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40" w:type="dxa"/>
            <w:vAlign w:val="bottom"/>
            <w:gridSpan w:val="5"/>
          </w:tcPr>
          <w:p>
            <w:pPr>
              <w:spacing w:after="0"/>
              <w:rPr>
                <w:sz w:val="20"/>
                <w:szCs w:val="20"/>
                <w:color w:val="auto"/>
              </w:rPr>
            </w:pPr>
            <w:r>
              <w:rPr>
                <w:rFonts w:ascii="Arial" w:cs="Arial" w:eastAsia="Arial" w:hAnsi="Arial"/>
                <w:sz w:val="13"/>
                <w:szCs w:val="13"/>
                <w:color w:val="auto"/>
                <w:w w:val="96"/>
              </w:rPr>
              <w:t>TO VOTE, MARK BLOCKS BELOW IN BLUE OR BLACK INK AS FOLLOWS:</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20" w:type="dxa"/>
            <w:vAlign w:val="bottom"/>
            <w:gridSpan w:val="7"/>
          </w:tcPr>
          <w:p>
            <w:pPr>
              <w:ind w:left="220"/>
              <w:spacing w:after="0"/>
              <w:rPr>
                <w:sz w:val="20"/>
                <w:szCs w:val="20"/>
                <w:color w:val="auto"/>
              </w:rPr>
            </w:pPr>
            <w:r>
              <w:rPr>
                <w:rFonts w:ascii="Arial" w:cs="Arial" w:eastAsia="Arial" w:hAnsi="Arial"/>
                <w:sz w:val="13"/>
                <w:szCs w:val="13"/>
                <w:color w:val="auto"/>
                <w:w w:val="94"/>
              </w:rPr>
              <w:t>KEEP THIS PORTION FOR YOUR RECORDS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0" w:type="dxa"/>
            <w:vAlign w:val="bottom"/>
            <w:gridSpan w:val="7"/>
            <w:vMerge w:val="restart"/>
          </w:tcPr>
          <w:p>
            <w:pPr>
              <w:ind w:left="162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2820" w:type="dxa"/>
            <w:vAlign w:val="bottom"/>
            <w:gridSpan w:val="7"/>
          </w:tcPr>
          <w:p>
            <w:pPr>
              <w:jc w:val="center"/>
              <w:spacing w:after="0"/>
              <w:rPr>
                <w:sz w:val="20"/>
                <w:szCs w:val="20"/>
                <w:color w:val="auto"/>
              </w:rPr>
            </w:pPr>
            <w:r>
              <w:rPr>
                <w:rFonts w:ascii="Arial" w:cs="Arial" w:eastAsia="Arial" w:hAnsi="Arial"/>
                <w:sz w:val="13"/>
                <w:szCs w:val="13"/>
                <w:color w:val="auto"/>
                <w:w w:val="94"/>
              </w:rPr>
              <w:t>DETACH AND RETURN THIS PORTION ONLY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gridSpan w:val="7"/>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center"/>
              <w:ind w:right="91"/>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Withhold</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For All</w:t>
            </w:r>
          </w:p>
        </w:tc>
        <w:tc>
          <w:tcPr>
            <w:tcW w:w="220" w:type="dxa"/>
            <w:vAlign w:val="bottom"/>
          </w:tcPr>
          <w:p>
            <w:pPr>
              <w:spacing w:after="0"/>
              <w:rPr>
                <w:sz w:val="17"/>
                <w:szCs w:val="17"/>
                <w:color w:val="auto"/>
              </w:rPr>
            </w:pPr>
          </w:p>
        </w:tc>
        <w:tc>
          <w:tcPr>
            <w:tcW w:w="3800" w:type="dxa"/>
            <w:vAlign w:val="bottom"/>
            <w:gridSpan w:val="4"/>
          </w:tcPr>
          <w:p>
            <w:pPr>
              <w:spacing w:after="0"/>
              <w:rPr>
                <w:sz w:val="20"/>
                <w:szCs w:val="20"/>
                <w:color w:val="auto"/>
              </w:rPr>
            </w:pPr>
            <w:r>
              <w:rPr>
                <w:rFonts w:ascii="Arial" w:cs="Arial" w:eastAsia="Arial" w:hAnsi="Arial"/>
                <w:sz w:val="13"/>
                <w:szCs w:val="13"/>
                <w:color w:val="auto"/>
              </w:rPr>
              <w:t>To withhold authority to vote for any individual nominee(s),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The Board of Directors recommends you vote</w:t>
            </w:r>
          </w:p>
        </w:tc>
        <w:tc>
          <w:tcPr>
            <w:tcW w:w="200" w:type="dxa"/>
            <w:vAlign w:val="bottom"/>
          </w:tcPr>
          <w:p>
            <w:pPr>
              <w:spacing w:after="0"/>
              <w:rPr>
                <w:sz w:val="12"/>
                <w:szCs w:val="12"/>
                <w:color w:val="auto"/>
              </w:rPr>
            </w:pPr>
          </w:p>
        </w:tc>
        <w:tc>
          <w:tcPr>
            <w:tcW w:w="360" w:type="dxa"/>
            <w:vAlign w:val="bottom"/>
          </w:tcPr>
          <w:p>
            <w:pPr>
              <w:jc w:val="center"/>
              <w:ind w:right="91"/>
              <w:spacing w:after="0" w:line="144" w:lineRule="exact"/>
              <w:rPr>
                <w:sz w:val="20"/>
                <w:szCs w:val="20"/>
                <w:color w:val="auto"/>
              </w:rPr>
            </w:pPr>
            <w:r>
              <w:rPr>
                <w:rFonts w:ascii="Arial" w:cs="Arial" w:eastAsia="Arial" w:hAnsi="Arial"/>
                <w:sz w:val="13"/>
                <w:szCs w:val="13"/>
                <w:b w:val="1"/>
                <w:bCs w:val="1"/>
                <w:color w:val="auto"/>
                <w:w w:val="96"/>
              </w:rPr>
              <w:t>All</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All</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Except</w:t>
            </w:r>
          </w:p>
        </w:tc>
        <w:tc>
          <w:tcPr>
            <w:tcW w:w="220" w:type="dxa"/>
            <w:vAlign w:val="bottom"/>
          </w:tcPr>
          <w:p>
            <w:pPr>
              <w:spacing w:after="0"/>
              <w:rPr>
                <w:sz w:val="12"/>
                <w:szCs w:val="12"/>
                <w:color w:val="auto"/>
              </w:rPr>
            </w:pPr>
          </w:p>
        </w:tc>
        <w:tc>
          <w:tcPr>
            <w:tcW w:w="2160" w:type="dxa"/>
            <w:vAlign w:val="bottom"/>
          </w:tcPr>
          <w:p>
            <w:pPr>
              <w:spacing w:after="0" w:line="144" w:lineRule="exact"/>
              <w:rPr>
                <w:sz w:val="20"/>
                <w:szCs w:val="20"/>
                <w:color w:val="auto"/>
              </w:rPr>
            </w:pPr>
            <w:r>
              <w:rPr>
                <w:rFonts w:ascii="Arial" w:cs="Arial" w:eastAsia="Arial" w:hAnsi="Arial"/>
                <w:sz w:val="13"/>
                <w:szCs w:val="13"/>
                <w:color w:val="auto"/>
              </w:rPr>
              <w:t>mark “For All Except” and write the</w:t>
            </w:r>
          </w:p>
        </w:tc>
        <w:tc>
          <w:tcPr>
            <w:tcW w:w="740" w:type="dxa"/>
            <w:vAlign w:val="bottom"/>
          </w:tcPr>
          <w:p>
            <w:pPr>
              <w:jc w:val="right"/>
              <w:spacing w:after="0" w:line="144" w:lineRule="exact"/>
              <w:rPr>
                <w:sz w:val="20"/>
                <w:szCs w:val="20"/>
                <w:color w:val="auto"/>
              </w:rPr>
            </w:pPr>
            <w:r>
              <w:rPr>
                <w:rFonts w:ascii="Arial" w:cs="Arial" w:eastAsia="Arial" w:hAnsi="Arial"/>
                <w:sz w:val="13"/>
                <w:szCs w:val="13"/>
                <w:color w:val="auto"/>
                <w:w w:val="97"/>
              </w:rPr>
              <w:t>number(s) of</w:t>
            </w:r>
          </w:p>
        </w:tc>
        <w:tc>
          <w:tcPr>
            <w:tcW w:w="90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the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20" w:type="dxa"/>
            <w:vAlign w:val="bottom"/>
            <w:gridSpan w:val="3"/>
            <w:vMerge w:val="continue"/>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tcPr>
          <w:p>
            <w:pPr>
              <w:spacing w:after="0" w:line="104" w:lineRule="exact"/>
              <w:rPr>
                <w:sz w:val="20"/>
                <w:szCs w:val="20"/>
                <w:color w:val="auto"/>
              </w:rPr>
            </w:pPr>
            <w:r>
              <w:rPr>
                <w:rFonts w:ascii="Arial" w:cs="Arial" w:eastAsia="Arial" w:hAnsi="Arial"/>
                <w:sz w:val="12"/>
                <w:szCs w:val="12"/>
                <w:color w:val="auto"/>
              </w:rPr>
              <w:t>nominee(s) on the line below.</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40" w:type="dxa"/>
            <w:vAlign w:val="bottom"/>
            <w:gridSpan w:val="2"/>
          </w:tcPr>
          <w:p>
            <w:pPr>
              <w:ind w:left="240"/>
              <w:spacing w:after="0"/>
              <w:rPr>
                <w:sz w:val="20"/>
                <w:szCs w:val="20"/>
                <w:color w:val="auto"/>
              </w:rPr>
            </w:pPr>
            <w:r>
              <w:rPr>
                <w:rFonts w:ascii="Arial" w:cs="Arial" w:eastAsia="Arial" w:hAnsi="Arial"/>
                <w:sz w:val="13"/>
                <w:szCs w:val="13"/>
                <w:b w:val="1"/>
                <w:bCs w:val="1"/>
                <w:color w:val="auto"/>
              </w:rPr>
              <w:t>FOR the following:</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20" w:type="dxa"/>
            <w:vAlign w:val="bottom"/>
            <w:gridSpan w:val="2"/>
          </w:tcPr>
          <w:p>
            <w:pPr>
              <w:ind w:left="260"/>
              <w:spacing w:after="0"/>
              <w:rPr>
                <w:sz w:val="20"/>
                <w:szCs w:val="20"/>
                <w:color w:val="auto"/>
              </w:rPr>
            </w:pPr>
            <w:r>
              <w:rPr>
                <w:rFonts w:ascii="Arial" w:cs="Arial" w:eastAsia="Arial" w:hAnsi="Arial"/>
                <w:sz w:val="13"/>
                <w:szCs w:val="13"/>
                <w:b w:val="1"/>
                <w:bCs w:val="1"/>
                <w:color w:val="auto"/>
              </w:rPr>
              <w:t>1.</w:t>
            </w:r>
          </w:p>
        </w:tc>
        <w:tc>
          <w:tcPr>
            <w:tcW w:w="1540" w:type="dxa"/>
            <w:vAlign w:val="bottom"/>
          </w:tcPr>
          <w:p>
            <w:pPr>
              <w:ind w:left="60"/>
              <w:spacing w:after="0"/>
              <w:rPr>
                <w:sz w:val="20"/>
                <w:szCs w:val="20"/>
                <w:color w:val="auto"/>
              </w:rPr>
            </w:pPr>
            <w:r>
              <w:rPr>
                <w:rFonts w:ascii="Arial" w:cs="Arial" w:eastAsia="Arial" w:hAnsi="Arial"/>
                <w:sz w:val="13"/>
                <w:szCs w:val="13"/>
                <w:color w:val="auto"/>
              </w:rPr>
              <w:t>Election of Directors</w:t>
            </w:r>
          </w:p>
        </w:tc>
        <w:tc>
          <w:tcPr>
            <w:tcW w:w="2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jc w:val="center"/>
              <w:ind w:right="91"/>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spacing w:after="0"/>
              <w:rPr>
                <w:sz w:val="20"/>
                <w:szCs w:val="20"/>
                <w:color w:val="auto"/>
              </w:rPr>
            </w:pPr>
            <w:r>
              <w:rPr>
                <w:rFonts w:ascii="Arial" w:cs="Arial" w:eastAsia="Arial" w:hAnsi="Arial"/>
                <w:sz w:val="17"/>
                <w:szCs w:val="17"/>
                <w:color w:val="auto"/>
              </w:rPr>
              <w:t>o</w:t>
            </w:r>
          </w:p>
        </w:tc>
        <w:tc>
          <w:tcPr>
            <w:tcW w:w="220" w:type="dxa"/>
            <w:vAlign w:val="bottom"/>
          </w:tcPr>
          <w:p>
            <w:pPr>
              <w:spacing w:after="0"/>
              <w:rPr>
                <w:sz w:val="23"/>
                <w:szCs w:val="23"/>
                <w:color w:val="auto"/>
              </w:rPr>
            </w:pPr>
          </w:p>
        </w:tc>
        <w:tc>
          <w:tcPr>
            <w:tcW w:w="2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ind w:left="60"/>
              <w:spacing w:after="0"/>
              <w:rPr>
                <w:sz w:val="20"/>
                <w:szCs w:val="20"/>
                <w:color w:val="auto"/>
              </w:rPr>
            </w:pPr>
            <w:r>
              <w:rPr>
                <w:rFonts w:ascii="Arial" w:cs="Arial" w:eastAsia="Arial" w:hAnsi="Arial"/>
                <w:sz w:val="13"/>
                <w:szCs w:val="13"/>
                <w:b w:val="1"/>
                <w:bCs w:val="1"/>
                <w:color w:val="auto"/>
              </w:rPr>
              <w:t>Nominees</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0" w:type="dxa"/>
            <w:vAlign w:val="bottom"/>
            <w:gridSpan w:val="2"/>
          </w:tcPr>
          <w:p>
            <w:pPr>
              <w:ind w:left="260"/>
              <w:spacing w:after="0"/>
              <w:rPr>
                <w:sz w:val="20"/>
                <w:szCs w:val="20"/>
                <w:color w:val="auto"/>
              </w:rPr>
            </w:pPr>
            <w:r>
              <w:rPr>
                <w:rFonts w:ascii="Arial" w:cs="Arial" w:eastAsia="Arial" w:hAnsi="Arial"/>
                <w:sz w:val="13"/>
                <w:szCs w:val="13"/>
                <w:color w:val="auto"/>
                <w:w w:val="96"/>
              </w:rPr>
              <w:t>01</w:t>
            </w:r>
          </w:p>
        </w:tc>
        <w:tc>
          <w:tcPr>
            <w:tcW w:w="1540" w:type="dxa"/>
            <w:vAlign w:val="bottom"/>
          </w:tcPr>
          <w:p>
            <w:pPr>
              <w:ind w:left="60"/>
              <w:spacing w:after="0"/>
              <w:rPr>
                <w:sz w:val="20"/>
                <w:szCs w:val="20"/>
                <w:color w:val="auto"/>
              </w:rPr>
            </w:pPr>
            <w:r>
              <w:rPr>
                <w:rFonts w:ascii="Arial" w:cs="Arial" w:eastAsia="Arial" w:hAnsi="Arial"/>
                <w:sz w:val="13"/>
                <w:szCs w:val="13"/>
                <w:color w:val="auto"/>
              </w:rPr>
              <w:t>Charles A. Baker</w:t>
            </w:r>
          </w:p>
        </w:tc>
        <w:tc>
          <w:tcPr>
            <w:tcW w:w="2380" w:type="dxa"/>
            <w:vAlign w:val="bottom"/>
            <w:gridSpan w:val="2"/>
          </w:tcPr>
          <w:p>
            <w:pPr>
              <w:ind w:left="400"/>
              <w:spacing w:after="0"/>
              <w:rPr>
                <w:sz w:val="20"/>
                <w:szCs w:val="20"/>
                <w:color w:val="auto"/>
              </w:rPr>
            </w:pPr>
            <w:r>
              <w:rPr>
                <w:rFonts w:ascii="Arial" w:cs="Arial" w:eastAsia="Arial" w:hAnsi="Arial"/>
                <w:sz w:val="13"/>
                <w:szCs w:val="13"/>
                <w:color w:val="auto"/>
              </w:rPr>
              <w:t>02   Michael S. Brown, M.D.</w:t>
            </w:r>
          </w:p>
        </w:tc>
        <w:tc>
          <w:tcPr>
            <w:tcW w:w="360" w:type="dxa"/>
            <w:vAlign w:val="bottom"/>
          </w:tcPr>
          <w:p>
            <w:pPr>
              <w:jc w:val="right"/>
              <w:ind w:right="11"/>
              <w:spacing w:after="0"/>
              <w:rPr>
                <w:sz w:val="20"/>
                <w:szCs w:val="20"/>
                <w:color w:val="auto"/>
              </w:rPr>
            </w:pPr>
            <w:r>
              <w:rPr>
                <w:rFonts w:ascii="Arial" w:cs="Arial" w:eastAsia="Arial" w:hAnsi="Arial"/>
                <w:sz w:val="13"/>
                <w:szCs w:val="13"/>
                <w:color w:val="auto"/>
              </w:rPr>
              <w:t>03</w:t>
            </w:r>
          </w:p>
        </w:tc>
        <w:tc>
          <w:tcPr>
            <w:tcW w:w="1280" w:type="dxa"/>
            <w:vAlign w:val="bottom"/>
            <w:gridSpan w:val="2"/>
          </w:tcPr>
          <w:p>
            <w:pPr>
              <w:ind w:left="80"/>
              <w:spacing w:after="0"/>
              <w:rPr>
                <w:sz w:val="20"/>
                <w:szCs w:val="20"/>
                <w:color w:val="auto"/>
              </w:rPr>
            </w:pPr>
            <w:r>
              <w:rPr>
                <w:rFonts w:ascii="Arial" w:cs="Arial" w:eastAsia="Arial" w:hAnsi="Arial"/>
                <w:sz w:val="13"/>
                <w:szCs w:val="13"/>
                <w:color w:val="auto"/>
              </w:rPr>
              <w:t>Arthur F. Ryan</w:t>
            </w:r>
          </w:p>
        </w:tc>
        <w:tc>
          <w:tcPr>
            <w:tcW w:w="220" w:type="dxa"/>
            <w:vAlign w:val="bottom"/>
          </w:tcPr>
          <w:p>
            <w:pPr>
              <w:spacing w:after="0"/>
              <w:rPr>
                <w:sz w:val="14"/>
                <w:szCs w:val="14"/>
                <w:color w:val="auto"/>
              </w:rPr>
            </w:pPr>
          </w:p>
        </w:tc>
        <w:tc>
          <w:tcPr>
            <w:tcW w:w="2160" w:type="dxa"/>
            <w:vAlign w:val="bottom"/>
          </w:tcPr>
          <w:p>
            <w:pPr>
              <w:ind w:left="520"/>
              <w:spacing w:after="0"/>
              <w:rPr>
                <w:sz w:val="20"/>
                <w:szCs w:val="20"/>
                <w:color w:val="auto"/>
              </w:rPr>
            </w:pPr>
            <w:r>
              <w:rPr>
                <w:rFonts w:ascii="Arial" w:cs="Arial" w:eastAsia="Arial" w:hAnsi="Arial"/>
                <w:sz w:val="13"/>
                <w:szCs w:val="13"/>
                <w:color w:val="auto"/>
              </w:rPr>
              <w:t>04   George L. Sing</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05</w:t>
            </w:r>
          </w:p>
        </w:tc>
        <w:tc>
          <w:tcPr>
            <w:tcW w:w="1520" w:type="dxa"/>
            <w:vAlign w:val="bottom"/>
            <w:gridSpan w:val="4"/>
          </w:tcPr>
          <w:p>
            <w:pPr>
              <w:ind w:left="20"/>
              <w:spacing w:after="0"/>
              <w:rPr>
                <w:sz w:val="20"/>
                <w:szCs w:val="20"/>
                <w:color w:val="auto"/>
              </w:rPr>
            </w:pPr>
            <w:r>
              <w:rPr>
                <w:rFonts w:ascii="Arial" w:cs="Arial" w:eastAsia="Arial" w:hAnsi="Arial"/>
                <w:sz w:val="13"/>
                <w:szCs w:val="13"/>
                <w:color w:val="auto"/>
              </w:rPr>
              <w:t>Marc Tessier-Lavigne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320" w:type="dxa"/>
            <w:vAlign w:val="bottom"/>
            <w:gridSpan w:val="4"/>
          </w:tcPr>
          <w:p>
            <w:pPr>
              <w:ind w:left="240"/>
              <w:spacing w:after="0"/>
              <w:rPr>
                <w:sz w:val="20"/>
                <w:szCs w:val="20"/>
                <w:color w:val="auto"/>
              </w:rPr>
            </w:pPr>
            <w:r>
              <w:rPr>
                <w:rFonts w:ascii="Arial" w:cs="Arial" w:eastAsia="Arial" w:hAnsi="Arial"/>
                <w:sz w:val="13"/>
                <w:szCs w:val="13"/>
                <w:b w:val="1"/>
                <w:bCs w:val="1"/>
                <w:color w:val="auto"/>
              </w:rPr>
              <w:t>The Board of Directors recommends you vote FOR proposal 2:</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center"/>
              <w:ind w:left="167"/>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340" w:type="dxa"/>
            <w:vAlign w:val="bottom"/>
            <w:gridSpan w:val="9"/>
          </w:tcPr>
          <w:p>
            <w:pPr>
              <w:ind w:left="240"/>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color w:val="auto"/>
              </w:rPr>
              <w:t>Proposal to ratify the appointment of PricewaterhouseCoopers LLP as the Company's independent registered public accounting</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center"/>
              <w:ind w:left="167"/>
              <w:spacing w:after="0"/>
              <w:rPr>
                <w:sz w:val="20"/>
                <w:szCs w:val="20"/>
                <w:color w:val="auto"/>
              </w:rPr>
            </w:pPr>
            <w:r>
              <w:rPr>
                <w:rFonts w:ascii="Arial" w:cs="Arial" w:eastAsia="Arial" w:hAnsi="Arial"/>
                <w:sz w:val="17"/>
                <w:szCs w:val="17"/>
                <w:color w:val="auto"/>
                <w:w w:val="84"/>
              </w:rPr>
              <w:t>o</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84"/>
              </w:rPr>
              <w:t>o</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20" w:type="dxa"/>
            <w:vAlign w:val="bottom"/>
            <w:gridSpan w:val="3"/>
          </w:tcPr>
          <w:p>
            <w:pPr>
              <w:ind w:left="80"/>
              <w:spacing w:after="0"/>
              <w:rPr>
                <w:sz w:val="20"/>
                <w:szCs w:val="20"/>
                <w:color w:val="auto"/>
              </w:rPr>
            </w:pPr>
            <w:r>
              <w:rPr>
                <w:rFonts w:ascii="Arial" w:cs="Arial" w:eastAsia="Arial" w:hAnsi="Arial"/>
                <w:sz w:val="13"/>
                <w:szCs w:val="13"/>
                <w:color w:val="auto"/>
              </w:rPr>
              <w:t>firm for the fiscal year ending December 31, 2012.</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-1475740</wp:posOffset>
            </wp:positionV>
            <wp:extent cx="7089775" cy="35286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9775" cy="3528695"/>
                    </a:xfrm>
                    <a:prstGeom prst="rect">
                      <a:avLst/>
                    </a:prstGeom>
                    <a:noFill/>
                  </pic:spPr>
                </pic:pic>
              </a:graphicData>
            </a:graphic>
          </wp:anchor>
        </w:drawing>
      </w:r>
    </w:p>
    <w:p>
      <w:pPr>
        <w:spacing w:after="0" w:line="85" w:lineRule="exact"/>
        <w:rPr>
          <w:sz w:val="20"/>
          <w:szCs w:val="20"/>
          <w:color w:val="auto"/>
        </w:rPr>
      </w:pPr>
    </w:p>
    <w:p>
      <w:pPr>
        <w:ind w:left="260" w:right="2220"/>
        <w:spacing w:after="0" w:line="251"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the named proxies may vote on such other business as may properly come before the Annual Meeting or at any adjourned or postponed session</w:t>
      </w:r>
      <w:r>
        <w:rPr>
          <w:rFonts w:ascii="Arial" w:cs="Arial" w:eastAsia="Arial" w:hAnsi="Arial"/>
          <w:sz w:val="13"/>
          <w:szCs w:val="13"/>
          <w:b w:val="1"/>
          <w:bCs w:val="1"/>
          <w:color w:val="auto"/>
        </w:rPr>
        <w:t xml:space="preserve"> </w:t>
      </w:r>
      <w:r>
        <w:rPr>
          <w:rFonts w:ascii="Arial" w:cs="Arial" w:eastAsia="Arial" w:hAnsi="Arial"/>
          <w:sz w:val="13"/>
          <w:szCs w:val="13"/>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805180</wp:posOffset>
            </wp:positionV>
            <wp:extent cx="129540" cy="1084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9540" cy="108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 or</w:t>
      </w:r>
    </w:p>
    <w:p>
      <w:pPr>
        <w:ind w:left="260"/>
        <w:spacing w:after="0" w:line="226" w:lineRule="auto"/>
        <w:rPr>
          <w:sz w:val="20"/>
          <w:szCs w:val="20"/>
          <w:color w:val="auto"/>
        </w:rPr>
      </w:pPr>
      <w:r>
        <w:rPr>
          <w:rFonts w:ascii="Arial" w:cs="Arial" w:eastAsia="Arial" w:hAnsi="Arial"/>
          <w:sz w:val="13"/>
          <w:szCs w:val="13"/>
          <w:color w:val="auto"/>
        </w:rPr>
        <w:t>other fiduciary, please give full title as such. Joint owners should each sign personally. All holders must sign.</w:t>
      </w:r>
    </w:p>
    <w:p>
      <w:pPr>
        <w:ind w:left="260"/>
        <w:spacing w:after="0"/>
        <w:rPr>
          <w:sz w:val="20"/>
          <w:szCs w:val="20"/>
          <w:color w:val="auto"/>
        </w:rPr>
      </w:pPr>
      <w:r>
        <w:rPr>
          <w:rFonts w:ascii="Arial" w:cs="Arial" w:eastAsia="Arial" w:hAnsi="Arial"/>
          <w:sz w:val="13"/>
          <w:szCs w:val="13"/>
          <w:color w:val="auto"/>
        </w:rPr>
        <w:t>If a corporation or partnership, please sign in full corporate or partnership name, by authorized officer.</w:t>
      </w:r>
    </w:p>
    <w:p>
      <w:pPr>
        <w:spacing w:after="0" w:line="200" w:lineRule="exact"/>
        <w:rPr>
          <w:sz w:val="20"/>
          <w:szCs w:val="20"/>
          <w:color w:val="auto"/>
        </w:rPr>
      </w:pPr>
    </w:p>
    <w:p>
      <w:pPr>
        <w:spacing w:after="0" w:line="278" w:lineRule="exact"/>
        <w:rPr>
          <w:sz w:val="20"/>
          <w:szCs w:val="20"/>
          <w:color w:val="auto"/>
        </w:rPr>
      </w:pPr>
    </w:p>
    <w:p>
      <w:pPr>
        <w:ind w:left="260"/>
        <w:spacing w:after="0"/>
        <w:tabs>
          <w:tab w:leader="none" w:pos="3300" w:val="left"/>
          <w:tab w:leader="none" w:pos="5680" w:val="left"/>
          <w:tab w:leader="none" w:pos="88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515620</wp:posOffset>
            </wp:positionV>
            <wp:extent cx="727519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80"/>
          </w:cols>
          <w:pgMar w:left="580" w:top="356" w:right="139" w:bottom="144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w:t>
      </w:r>
      <w:r>
        <w:rPr>
          <w:rFonts w:ascii="Arial" w:cs="Arial" w:eastAsia="Arial" w:hAnsi="Arial"/>
          <w:sz w:val="17"/>
          <w:szCs w:val="17"/>
          <w:color w:val="auto"/>
        </w:rPr>
        <w:t>The Notice &amp; Proxy Statement, Annual Report is/are available 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www.proxyvote.com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174625</wp:posOffset>
            </wp:positionV>
            <wp:extent cx="7089775" cy="3340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9775" cy="3340100"/>
                    </a:xfrm>
                    <a:prstGeom prst="rect">
                      <a:avLst/>
                    </a:prstGeom>
                    <a:noFill/>
                  </pic:spPr>
                </pic:pic>
              </a:graphicData>
            </a:graphic>
          </wp:anchor>
        </w:drawing>
      </w:r>
    </w:p>
    <w:p>
      <w:pPr>
        <w:spacing w:after="0" w:line="361" w:lineRule="exact"/>
        <w:rPr>
          <w:sz w:val="20"/>
          <w:szCs w:val="20"/>
          <w:color w:val="auto"/>
        </w:rPr>
      </w:pPr>
    </w:p>
    <w:p>
      <w:pPr>
        <w:jc w:val="center"/>
        <w:ind w:left="1100"/>
        <w:spacing w:after="0"/>
        <w:rPr>
          <w:sz w:val="20"/>
          <w:szCs w:val="20"/>
          <w:color w:val="auto"/>
        </w:rPr>
      </w:pPr>
      <w:r>
        <w:rPr>
          <w:rFonts w:ascii="Arial" w:cs="Arial" w:eastAsia="Arial" w:hAnsi="Arial"/>
          <w:sz w:val="20"/>
          <w:szCs w:val="20"/>
          <w:b w:val="1"/>
          <w:bCs w:val="1"/>
          <w:color w:val="auto"/>
        </w:rPr>
        <w:t>REGENERON PHARMACEUTICALS, INC.</w:t>
      </w:r>
    </w:p>
    <w:p>
      <w:pPr>
        <w:spacing w:after="0" w:line="21" w:lineRule="exact"/>
        <w:rPr>
          <w:sz w:val="20"/>
          <w:szCs w:val="20"/>
          <w:color w:val="auto"/>
        </w:rPr>
      </w:pPr>
    </w:p>
    <w:p>
      <w:pPr>
        <w:jc w:val="center"/>
        <w:ind w:left="1100"/>
        <w:spacing w:after="0"/>
        <w:rPr>
          <w:sz w:val="20"/>
          <w:szCs w:val="20"/>
          <w:color w:val="auto"/>
        </w:rPr>
      </w:pPr>
      <w:r>
        <w:rPr>
          <w:rFonts w:ascii="Arial" w:cs="Arial" w:eastAsia="Arial" w:hAnsi="Arial"/>
          <w:sz w:val="20"/>
          <w:szCs w:val="20"/>
          <w:b w:val="1"/>
          <w:bCs w:val="1"/>
          <w:color w:val="auto"/>
        </w:rPr>
        <w:t>Annual Meeting of Shareholders</w:t>
      </w:r>
    </w:p>
    <w:p>
      <w:pPr>
        <w:jc w:val="center"/>
        <w:ind w:left="1100"/>
        <w:spacing w:after="0"/>
        <w:rPr>
          <w:sz w:val="20"/>
          <w:szCs w:val="20"/>
          <w:color w:val="auto"/>
        </w:rPr>
      </w:pPr>
      <w:r>
        <w:rPr>
          <w:rFonts w:ascii="Arial" w:cs="Arial" w:eastAsia="Arial" w:hAnsi="Arial"/>
          <w:sz w:val="20"/>
          <w:szCs w:val="20"/>
          <w:b w:val="1"/>
          <w:bCs w:val="1"/>
          <w:color w:val="auto"/>
        </w:rPr>
        <w:t>June 8, 2012 10:30 AM</w:t>
      </w:r>
    </w:p>
    <w:p>
      <w:pPr>
        <w:jc w:val="center"/>
        <w:ind w:left="1100"/>
        <w:spacing w:after="0"/>
        <w:rPr>
          <w:sz w:val="20"/>
          <w:szCs w:val="20"/>
          <w:color w:val="auto"/>
        </w:rPr>
      </w:pPr>
      <w:r>
        <w:rPr>
          <w:rFonts w:ascii="Arial" w:cs="Arial" w:eastAsia="Arial" w:hAnsi="Arial"/>
          <w:sz w:val="20"/>
          <w:szCs w:val="20"/>
          <w:b w:val="1"/>
          <w:bCs w:val="1"/>
          <w:color w:val="auto"/>
        </w:rPr>
        <w:t>This proxy is solicited by the Board of Directors</w:t>
      </w:r>
    </w:p>
    <w:p>
      <w:pPr>
        <w:spacing w:after="0" w:line="198" w:lineRule="exact"/>
        <w:rPr>
          <w:sz w:val="20"/>
          <w:szCs w:val="20"/>
          <w:color w:val="auto"/>
        </w:rPr>
      </w:pPr>
    </w:p>
    <w:p>
      <w:pPr>
        <w:jc w:val="both"/>
        <w:ind w:left="720"/>
        <w:spacing w:after="0" w:line="255" w:lineRule="auto"/>
        <w:rPr>
          <w:sz w:val="20"/>
          <w:szCs w:val="20"/>
          <w:color w:val="auto"/>
        </w:rPr>
      </w:pPr>
      <w:r>
        <w:rPr>
          <w:rFonts w:ascii="Arial" w:cs="Arial" w:eastAsia="Arial" w:hAnsi="Arial"/>
          <w:sz w:val="17"/>
          <w:szCs w:val="17"/>
          <w:color w:val="auto"/>
        </w:rPr>
        <w:t>The undersigned hereby appoints Leonard S. Schleifer, M.D., Ph.D. and Joseph J. LaRosa, and each of them individually, as lawful proxies, each with full power o substitution, to represent the undersigned, with all powers that the undersigned would posses if personally present, and to vote, as indicated on the reverse side of t card, all shares of Common Stock and Class A Stock of Regeneron Pharmaceuticals, Inc., that the undersigned would be entitled to vote if personally present, at th Annual Meeting of Shareholders of the Company to be held on June 8, 2012 or at any adjourned or postponed session thereof. This proxy revokes all prior proxies given by the undersigned.</w:t>
      </w:r>
    </w:p>
    <w:p>
      <w:pPr>
        <w:spacing w:after="0" w:line="182" w:lineRule="exact"/>
        <w:rPr>
          <w:sz w:val="20"/>
          <w:szCs w:val="20"/>
          <w:color w:val="auto"/>
        </w:rPr>
      </w:pPr>
    </w:p>
    <w:p>
      <w:pPr>
        <w:ind w:left="720" w:right="340"/>
        <w:spacing w:after="0" w:line="257" w:lineRule="auto"/>
        <w:rPr>
          <w:sz w:val="20"/>
          <w:szCs w:val="20"/>
          <w:color w:val="auto"/>
        </w:rPr>
      </w:pPr>
      <w:r>
        <w:rPr>
          <w:rFonts w:ascii="Arial" w:cs="Arial" w:eastAsia="Arial" w:hAnsi="Arial"/>
          <w:sz w:val="17"/>
          <w:szCs w:val="17"/>
          <w:b w:val="1"/>
          <w:bCs w:val="1"/>
          <w:color w:val="auto"/>
        </w:rPr>
        <w:t>SHARES REPRESENTED BY THIS PROXY WILL BE VOTED AT THE MEETING AND AT ANY ADJOURNMENTS OR POSTPONEMENTS THEREOF IN ACCORDANCE WITH THE SHAREHOLDER'S</w:t>
      </w:r>
    </w:p>
    <w:p>
      <w:pPr>
        <w:spacing w:after="0" w:line="1" w:lineRule="exact"/>
        <w:rPr>
          <w:sz w:val="20"/>
          <w:szCs w:val="20"/>
          <w:color w:val="auto"/>
        </w:rPr>
      </w:pPr>
    </w:p>
    <w:p>
      <w:pPr>
        <w:ind w:left="720" w:right="40"/>
        <w:spacing w:after="0" w:line="274" w:lineRule="auto"/>
        <w:rPr>
          <w:sz w:val="20"/>
          <w:szCs w:val="20"/>
          <w:color w:val="auto"/>
        </w:rPr>
      </w:pPr>
      <w:r>
        <w:rPr>
          <w:rFonts w:ascii="Arial" w:cs="Arial" w:eastAsia="Arial" w:hAnsi="Arial"/>
          <w:sz w:val="16"/>
          <w:szCs w:val="16"/>
          <w:b w:val="1"/>
          <w:bCs w:val="1"/>
          <w:color w:val="auto"/>
        </w:rPr>
        <w:t>SPECIFICATIONS ABOVE. IF YOU SIGN AND RETURN YOUR PROXY CARD IN A TIMELY MANNER, BUT DO NOT INDICATE HOW THES SHARES ARE TO BE VOTED, THIS PROXY WILL BE VOTED FOR THE ELECTION OF THE NOMINEES NAMED ABOVE AS DIRECTORS A FOR PROPOSAL 2. THIS PROXY ALSO CONFERS DISCRETIONARY AUTHORITY WITH RESPECT TO MATTERS NOT KNOWN OR DETERMINED AT THE TIME OF THE MAILING OF THE NOTICE OF THE ANNUAL MEETING OF SHAREHOLDERS TO THE UNDERSIGN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-475615</wp:posOffset>
            </wp:positionV>
            <wp:extent cx="137795" cy="1060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795" cy="106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440055</wp:posOffset>
            </wp:positionV>
            <wp:extent cx="727519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sectPr>
      <w:pgSz w:w="11900" w:h="16838" w:orient="portrait"/>
      <w:cols w:equalWidth="0" w:num="1">
        <w:col w:w="11520"/>
      </w:cols>
      <w:pgMar w:left="240" w:top="144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upperLetter"/>
      <w:start w:val="24"/>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
      <w:numFmt w:val="bullet"/>
      <w:start w:val="1"/>
    </w:lvl>
    <w:lvl w:ilvl="1">
      <w:lvlJc w:val="left"/>
      <w:lvlText w:val="%2)"/>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18"/>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5"/>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Roman"/>
      <w:start w:val="2"/>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2019-12-09T09:44:33Z</dcterms:created>
  <dcterms:modified xsi:type="dcterms:W3CDTF">2019-12-09T09:44:33Z</dcterms:modified>
</cp:coreProperties>
</file>