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154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544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Powchik Peter</w:t>
              </w:r>
            </w:hyperlink>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5"/>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18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4"/>
                <w:szCs w:val="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rPr>
              <w:t>SVP Clinical Development &amp; Reg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8"/>
            <w:vMerge w:val="continue"/>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36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12/16/2011</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360" w:type="dxa"/>
            <w:vAlign w:val="bottom"/>
            <w:gridSpan w:val="6"/>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7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tcPr>
          <w:p>
            <w:pPr>
              <w:ind w:left="16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5"/>
                <w:szCs w:val="15"/>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6"/>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6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6"/>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5"/>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93"/>
              </w:rPr>
              <w:t>1,921</w:t>
            </w:r>
          </w:p>
        </w:tc>
        <w:tc>
          <w:tcPr>
            <w:tcW w:w="60" w:type="dxa"/>
            <w:vAlign w:val="bottom"/>
          </w:tcPr>
          <w:p>
            <w:pPr>
              <w:spacing w:after="0"/>
              <w:rPr>
                <w:sz w:val="12"/>
                <w:szCs w:val="1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620" w:type="dxa"/>
            <w:vAlign w:val="bottom"/>
            <w:vMerge w:val="restart"/>
          </w:tcPr>
          <w:p>
            <w:pPr>
              <w:jc w:val="center"/>
              <w:ind w:left="120"/>
              <w:spacing w:after="0" w:line="147"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80" w:type="dxa"/>
            <w:vAlign w:val="bottom"/>
          </w:tcPr>
          <w:p>
            <w:pPr>
              <w:spacing w:after="0"/>
              <w:rPr>
                <w:sz w:val="5"/>
                <w:szCs w:val="5"/>
                <w:color w:val="auto"/>
              </w:rPr>
            </w:pPr>
          </w:p>
        </w:tc>
        <w:tc>
          <w:tcPr>
            <w:tcW w:w="110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4"/>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1,921</w:t>
            </w:r>
          </w:p>
        </w:tc>
        <w:tc>
          <w:tcPr>
            <w:tcW w:w="3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line="147" w:lineRule="exact"/>
              <w:rPr>
                <w:sz w:val="20"/>
                <w:szCs w:val="20"/>
                <w:color w:val="auto"/>
              </w:rPr>
            </w:pPr>
            <w:r>
              <w:rPr>
                <w:rFonts w:ascii="Arial" w:cs="Arial" w:eastAsia="Arial" w:hAnsi="Arial"/>
                <w:sz w:val="13"/>
                <w:szCs w:val="13"/>
                <w:color w:val="0000FF"/>
              </w:rPr>
              <w:t>12/16/2021</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center"/>
              <w:ind w:left="158"/>
              <w:spacing w:after="0" w:line="147" w:lineRule="exact"/>
              <w:rPr>
                <w:sz w:val="20"/>
                <w:szCs w:val="20"/>
                <w:color w:val="auto"/>
              </w:rPr>
            </w:pPr>
            <w:r>
              <w:rPr>
                <w:rFonts w:ascii="Arial" w:cs="Arial" w:eastAsia="Arial" w:hAnsi="Arial"/>
                <w:sz w:val="13"/>
                <w:szCs w:val="13"/>
                <w:color w:val="0000FF"/>
                <w:w w:val="92"/>
              </w:rPr>
              <w:t>1,921</w:t>
            </w:r>
          </w:p>
        </w:tc>
        <w:tc>
          <w:tcPr>
            <w:tcW w:w="28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jc w:val="center"/>
              <w:ind w:left="1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30,000</w:t>
            </w:r>
          </w:p>
        </w:tc>
        <w:tc>
          <w:tcPr>
            <w:tcW w:w="360" w:type="dxa"/>
            <w:vAlign w:val="bottom"/>
          </w:tcPr>
          <w:p>
            <w:pPr>
              <w:spacing w:after="0"/>
              <w:rPr>
                <w:sz w:val="18"/>
                <w:szCs w:val="18"/>
                <w:color w:val="auto"/>
              </w:rPr>
            </w:pPr>
          </w:p>
        </w:tc>
        <w:tc>
          <w:tcPr>
            <w:tcW w:w="880" w:type="dxa"/>
            <w:vAlign w:val="bottom"/>
            <w:gridSpan w:val="2"/>
          </w:tcPr>
          <w:p>
            <w:pPr>
              <w:jc w:val="center"/>
              <w:ind w:right="80"/>
              <w:spacing w:after="0" w:line="211" w:lineRule="exact"/>
              <w:rPr>
                <w:sz w:val="20"/>
                <w:szCs w:val="20"/>
                <w:color w:val="auto"/>
              </w:rPr>
            </w:pPr>
            <w:r>
              <w:rPr>
                <w:rFonts w:ascii="Arial" w:cs="Arial" w:eastAsia="Arial" w:hAnsi="Arial"/>
                <w:sz w:val="13"/>
                <w:szCs w:val="13"/>
                <w:color w:val="0000FF"/>
                <w:w w:val="89"/>
              </w:rPr>
              <w:t>12/17/2011</w:t>
            </w:r>
            <w:r>
              <w:rPr>
                <w:rFonts w:ascii="Arial" w:cs="Arial" w:eastAsia="Arial" w:hAnsi="Arial"/>
                <w:sz w:val="22"/>
                <w:szCs w:val="22"/>
                <w:color w:val="008000"/>
                <w:w w:val="89"/>
                <w:vertAlign w:val="superscript"/>
              </w:rPr>
              <w:t>(3)</w:t>
            </w:r>
          </w:p>
        </w:tc>
        <w:tc>
          <w:tcPr>
            <w:tcW w:w="680" w:type="dxa"/>
            <w:vAlign w:val="bottom"/>
          </w:tcPr>
          <w:p>
            <w:pPr>
              <w:spacing w:after="0"/>
              <w:rPr>
                <w:sz w:val="20"/>
                <w:szCs w:val="20"/>
                <w:color w:val="auto"/>
              </w:rPr>
            </w:pPr>
            <w:r>
              <w:rPr>
                <w:rFonts w:ascii="Arial" w:cs="Arial" w:eastAsia="Arial" w:hAnsi="Arial"/>
                <w:sz w:val="13"/>
                <w:szCs w:val="13"/>
                <w:color w:val="0000FF"/>
              </w:rPr>
              <w:t>12/17/2018</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0000FF"/>
                <w:w w:val="92"/>
              </w:rPr>
              <w:t>30,000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58"/>
              <w:spacing w:after="0"/>
              <w:rPr>
                <w:sz w:val="20"/>
                <w:szCs w:val="20"/>
                <w:color w:val="auto"/>
              </w:rPr>
            </w:pPr>
            <w:r>
              <w:rPr>
                <w:rFonts w:ascii="Arial" w:cs="Arial" w:eastAsia="Arial" w:hAnsi="Arial"/>
                <w:sz w:val="13"/>
                <w:szCs w:val="13"/>
                <w:color w:val="0000FF"/>
                <w:w w:val="95"/>
              </w:rPr>
              <w:t>45,000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jc w:val="center"/>
              <w:ind w:left="12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30,079</w:t>
            </w:r>
          </w:p>
        </w:tc>
        <w:tc>
          <w:tcPr>
            <w:tcW w:w="3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20"/>
                <w:szCs w:val="20"/>
                <w:color w:val="auto"/>
              </w:rPr>
            </w:pPr>
            <w:r>
              <w:rPr>
                <w:rFonts w:ascii="Arial" w:cs="Arial" w:eastAsia="Arial" w:hAnsi="Arial"/>
                <w:sz w:val="13"/>
                <w:szCs w:val="13"/>
                <w:color w:val="0000FF"/>
              </w:rPr>
              <w:t>12/16/2021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0000FF"/>
                <w:w w:val="92"/>
              </w:rPr>
              <w:t>30,079</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58"/>
              <w:spacing w:after="0"/>
              <w:rPr>
                <w:sz w:val="20"/>
                <w:szCs w:val="20"/>
                <w:color w:val="auto"/>
              </w:rPr>
            </w:pPr>
            <w:r>
              <w:rPr>
                <w:rFonts w:ascii="Arial" w:cs="Arial" w:eastAsia="Arial" w:hAnsi="Arial"/>
                <w:sz w:val="13"/>
                <w:szCs w:val="13"/>
                <w:color w:val="0000FF"/>
                <w:w w:val="95"/>
              </w:rPr>
              <w:t>30,079</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Option</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gridSpan w:val="2"/>
          </w:tcPr>
          <w:p>
            <w:pPr>
              <w:ind w:left="160"/>
              <w:spacing w:after="0" w:line="95"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0" w:lineRule="exact"/>
        <w:rPr>
          <w:rFonts w:ascii="Arial" w:cs="Arial" w:eastAsia="Arial" w:hAnsi="Arial"/>
          <w:sz w:val="13"/>
          <w:szCs w:val="13"/>
          <w:color w:val="008000"/>
        </w:rPr>
      </w:pPr>
    </w:p>
    <w:p>
      <w:pPr>
        <w:ind w:left="40" w:right="300" w:firstLine="7"/>
        <w:spacing w:after="0" w:line="312"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17, 2008, the reporting person was granted an option to purchase 30,000 shares of Common Stock. The option vests, partially or in full, on December 31, 2011, based on the extent to which the company satisfies certain performance criteria during the period ending December 31, 2011. The performance criteria have been met and the option will vest as to all 30,000 shares on December 31, 2011.</w:t>
      </w:r>
    </w:p>
    <w:p>
      <w:pPr>
        <w:spacing w:after="0" w:line="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Arial" w:cs="Arial" w:eastAsia="Arial" w:hAnsi="Arial"/>
                <w:sz w:val="17"/>
                <w:szCs w:val="17"/>
                <w:color w:val="0000FF"/>
                <w:w w:val="95"/>
              </w:rPr>
              <w:t>/s/**Peter Powchik</w:t>
            </w:r>
          </w:p>
        </w:tc>
        <w:tc>
          <w:tcPr>
            <w:tcW w:w="76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12/20/2011</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2019-12-18T10:14:52Z</dcterms:created>
  <dcterms:modified xsi:type="dcterms:W3CDTF">2019-12-18T10:14:52Z</dcterms:modified>
</cp:coreProperties>
</file>