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May 8, 2012 (May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October 2006, Regeneron Pharmaceuticals, Inc. (“Regeneron”) entered into a license and collaboration agreement with Bayer HealthCare LLC (“Bayer HealthCare”) for the global development and commercialization outside the United States of EYLEA</w:t>
      </w:r>
      <w:r>
        <w:rPr>
          <w:rFonts w:ascii="Arial" w:cs="Arial" w:eastAsia="Arial" w:hAnsi="Arial"/>
          <w:sz w:val="11"/>
          <w:szCs w:val="11"/>
          <w:color w:val="auto"/>
        </w:rPr>
        <w:t>®</w:t>
      </w:r>
      <w:r>
        <w:rPr>
          <w:rFonts w:ascii="Arial" w:cs="Arial" w:eastAsia="Arial" w:hAnsi="Arial"/>
          <w:sz w:val="18"/>
          <w:szCs w:val="18"/>
          <w:color w:val="auto"/>
        </w:rPr>
        <w:t xml:space="preserve"> (aflibercept) Injection (the “License and Collaboration Agreement”). Under the License and Collaboration Agreement, Regeneron and Bayer HealthCare collaborate on, and share the costs of, the development of EYLEA through an integrated global plan. The License and Collaboration Agreement also provides that Bayer HealthCare will market and sell EYLEA outside the United States and that the companies will share equally in any profits from ex-U.S. EYLEA sales. Regeneron retains exclusive rights to EYLEA in the United States.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7, 2012, Regeneron and Bayer HealthCare amended the License and Collaboration Agreement by entering into an Amendment Agreement (the “Amendment”). Pursuant to the Amendment, Regeneron consented to the commercialization of EYLEA in Japan pursuant to a Co-Promotion and Distribution Agreement by and between Bayer Yakuhin, Ltd., an affiliate of Bayer HealthCare LLC, and Santen Pharmaceutical Co., Ltd. (“Santen”), dated May 7, 2012, which was executed concurrently with the execution of the Amendment (the “Santen Co-Promotion Agreement”). During the term of the Santen Co-Promotion Agreement, upon marketing authorization, Santen will market along with Bayer’s Japanese subsidiary, and sell EYLEA in Japan. Pursuant to the Amendment, the financial arrangement between Regeneron and Bayer HealthCare with respect to the commercialization of EYLEA in Japan has been converted from a profit split, as provided in the License and Collaboration Agreement, to a royalty payable by Bayer HealthCare to Regeneron that is intended to approximate the economics of the profit split. Regeneron will receive a tiered royalty of between 33.5% and 40% of EYLEA net sales in Japan. This financial arrangement may revert to a profit split under certain specified circumstances. The Amendment also adjusts, with respect to the commercialization of EYLEA in Japan, certain of the governance and reporting obligations under the License and Collaboration Agreement.</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copy of a press release issued by Regeneron and Bayer HealthCare on May 8, 2012 announcing the Amendment is attached to this Current Report on Form 8-K as Exhibit 99.1.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line="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Regeneron and Bayer HealthCare on May 8, 2012.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6"/>
          <w:szCs w:val="16"/>
          <w:color w:val="auto"/>
        </w:rPr>
        <w:t>REGENERON PHARMACEUTICALS,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Joseph J. LaRosa</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ind w:left="5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Regeneron and Bayer HealthCare on May 8, 2012.</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205803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right="2600"/>
        <w:spacing w:after="0" w:line="387" w:lineRule="auto"/>
        <w:rPr>
          <w:sz w:val="20"/>
          <w:szCs w:val="20"/>
          <w:color w:val="auto"/>
        </w:rPr>
      </w:pPr>
      <w:r>
        <w:rPr>
          <w:rFonts w:ascii="Arial" w:cs="Arial" w:eastAsia="Arial" w:hAnsi="Arial"/>
          <w:sz w:val="16"/>
          <w:szCs w:val="16"/>
          <w:b w:val="1"/>
          <w:bCs w:val="1"/>
          <w:color w:val="auto"/>
        </w:rPr>
        <w:t>Regeneron and Bayer Announce Co-Promotion Agreement With Santen For EYLEA</w:t>
      </w:r>
      <w:r>
        <w:rPr>
          <w:rFonts w:ascii="Arial" w:cs="Arial" w:eastAsia="Arial" w:hAnsi="Arial"/>
          <w:sz w:val="10"/>
          <w:szCs w:val="10"/>
          <w:b w:val="1"/>
          <w:bCs w:val="1"/>
          <w:color w:val="auto"/>
        </w:rPr>
        <w:t>®</w:t>
      </w:r>
      <w:r>
        <w:rPr>
          <w:rFonts w:ascii="Arial" w:cs="Arial" w:eastAsia="Arial" w:hAnsi="Arial"/>
          <w:sz w:val="16"/>
          <w:szCs w:val="16"/>
          <w:b w:val="1"/>
          <w:bCs w:val="1"/>
          <w:color w:val="auto"/>
        </w:rPr>
        <w:t xml:space="preserve"> (aflibercept) Injection in Japan </w:t>
      </w:r>
      <w:r>
        <w:rPr>
          <w:rFonts w:ascii="Arial" w:cs="Arial" w:eastAsia="Arial" w:hAnsi="Arial"/>
          <w:sz w:val="16"/>
          <w:szCs w:val="16"/>
          <w:i w:val="1"/>
          <w:iCs w:val="1"/>
          <w:color w:val="auto"/>
        </w:rPr>
        <w:t>Collaboration agreement between Regeneron and Bayer amended to a royalty arrangement in Japan</w:t>
      </w:r>
    </w:p>
    <w:p>
      <w:pPr>
        <w:spacing w:after="0" w:line="1"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 xml:space="preserve">Tarrytown, NY, USA (May 8, 2012)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and Bayer HealthCare today announced that Bayer’s Japanese</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Bayer Yakuhin, Ltd. (“Bayer Yakuhin”), and Santen Pharmaceutical Co., Ltd. (“Santen”) entered into a co-promotion agreement for EYLEA</w:t>
      </w:r>
      <w:r>
        <w:rPr>
          <w:rFonts w:ascii="Arial" w:cs="Arial" w:eastAsia="Arial" w:hAnsi="Arial"/>
          <w:sz w:val="10"/>
          <w:szCs w:val="10"/>
          <w:color w:val="auto"/>
        </w:rPr>
        <w:t>®</w:t>
      </w:r>
      <w:r>
        <w:rPr>
          <w:rFonts w:ascii="Arial" w:cs="Arial" w:eastAsia="Arial" w:hAnsi="Arial"/>
          <w:sz w:val="16"/>
          <w:szCs w:val="16"/>
          <w:color w:val="auto"/>
        </w:rPr>
        <w:t xml:space="preserve"> (aflibercept) Injection in Japan. As previously announced, Bayer Yakuhin has submitted an application for marketing authorization to the Ministry of Health, Labor and Welfare (MHLW) for EYLEA for the treatment of neovascular age-related macular degeneration (wet AMD).</w:t>
      </w:r>
    </w:p>
    <w:p>
      <w:pPr>
        <w:spacing w:after="0" w:line="10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“With this agreement and upon marketing authorization, a newly formed Bayer Yakuhin ophthalmology field force and Santen, the leading ophthalmology company in Japan, will promote EYLEA,” said Sebastian Guth, President &amp; CEO of Bayer Yakuhin, Ltd. “We expect that the combined resources of the two companies will allow EYLEA to achieve a broader and faster reach into the Japanese ophthalmology community and potentially benefit a greater number of patients.”</w:t>
      </w:r>
    </w:p>
    <w:p>
      <w:pPr>
        <w:spacing w:after="0" w:line="143"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Bayer and Regeneron have also amended their existing global license and collaboration agreement for EYLEA to convert the 50/50 profit share for Japan into a royalty arrangement that approximates the economics of the profit split. In certain specified circumstances, the royalty may revert to a profit share arrangement.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EYLEA is approved for sale in the United States for the treatment of wet AMD and marketing approval has also been granted in Australia. Bayer HealthCare has submitted applications in Europe and other countries and has initiated a Phase 3 clinical study for wet AMD in China. Beyond the wet AMD indication, EYLEA is in Phase 3 clinical studies for the treatment of diabetic macular edema (DME), myopic choroidal neovascularization (mCNV), and branch retinal vein occlusion (BRVO). Regeneron has filed an sBLA for EYLEA in central retinal vein occlusion (CRVO) in the United States, and has been granted a Prescription Drug User Fee Act (PDUFA) date of September 23, 2012.</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Bayer HealthCare and Regeneron Pharmaceuticals, Inc. are collaborating on the global development of EYLEA</w:t>
      </w:r>
      <w:r>
        <w:rPr>
          <w:rFonts w:ascii="Arial" w:cs="Arial" w:eastAsia="Arial" w:hAnsi="Arial"/>
          <w:sz w:val="11"/>
          <w:szCs w:val="11"/>
          <w:color w:val="auto"/>
        </w:rPr>
        <w:t>®</w:t>
      </w:r>
      <w:r>
        <w:rPr>
          <w:rFonts w:ascii="Arial" w:cs="Arial" w:eastAsia="Arial" w:hAnsi="Arial"/>
          <w:sz w:val="18"/>
          <w:szCs w:val="18"/>
          <w:color w:val="auto"/>
        </w:rPr>
        <w:t>. EYLEA was approved in the United States for the treatment of wet AMD in November 2011. Regeneron maintains exclusive rights to EYLEA in the United States. Bayer HealthCare owns the exclusive marketing rights outside the United States, where the companies will share equally the profits from any future sales of EYLEA, except for Japan where Regeneron will receive a royalty on net sales.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EYLEA</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(aflibercept) Injection For Intravitreal Injection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EYLEA (aflibercept) Injection,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PRESCRIBING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EYLEA is indicated for the treatment of patients with neovascular age-related macular degeneration (wet AMD).</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recommended dose for EYLEA is 2 mg administered by intravitreal injection every four weeks (monthly) for the first 12 weeks (3 months), followed by 2 mg once every eight weeks (2 months). Although EYLEA may be dosed as frequently as 2 mg every four weeks (monthly), additional efficacy was not demonstrated when EYLEA was dosed every four weeks compared to every eight weeks.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EYLEA is contraindicated in patients with ocular or periocular infections, active intraocular inflammation, or known hypersensitivity to aflibercept or to any of the excipients in EYLEA.</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w:t>
      </w:r>
      <w:r>
        <w:rPr>
          <w:rFonts w:ascii="Arial" w:cs="Arial" w:eastAsia="Arial" w:hAnsi="Arial"/>
          <w:sz w:val="11"/>
          <w:szCs w:val="11"/>
          <w:color w:val="auto"/>
        </w:rPr>
        <w:t>®</w:t>
      </w:r>
      <w:r>
        <w:rPr>
          <w:rFonts w:ascii="Arial" w:cs="Arial" w:eastAsia="Arial" w:hAnsi="Arial"/>
          <w:sz w:val="18"/>
          <w:szCs w:val="18"/>
          <w:color w:val="auto"/>
        </w:rPr>
        <w:t xml:space="preserve"> in clinical trials was 1.8% during the first year.</w:t>
      </w:r>
    </w:p>
    <w:p>
      <w:pPr>
        <w:sectPr>
          <w:pgSz w:w="11900" w:h="16838" w:orient="portrait"/>
          <w:cols w:equalWidth="0" w:num="1">
            <w:col w:w="11360"/>
          </w:cols>
          <w:pgMar w:left="240" w:top="274" w:right="299" w:bottom="1440" w:gutter="0" w:footer="0" w:header="0"/>
        </w:sectPr>
      </w:pPr>
    </w:p>
    <w:bookmarkStart w:id="6" w:name="page7"/>
    <w:bookmarkEnd w:id="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most common adverse reactions (greater than or equal to 5%) reported in patients receiving EYLEA (aflibercept) Injection were conjunctival hemorrhage, eye pain, cataract, vitreous detachment, vitreous floaters, and increased intraocular pressure.</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including endophthalmitis, traumatic cataract, and increased intraocular pressure.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full Prescribing Information for EYLEA, available online at www.regeneron.com/EYLEA-fpi.pdf.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blind spots in central vision, and it can account for blindness in wet AMD patients. Wet AMD is the leading cause of blindness for people over the age of 65 in the U.S.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in the United States, ARCALYST</w:t>
      </w:r>
      <w:r>
        <w:rPr>
          <w:rFonts w:ascii="Arial" w:cs="Arial" w:eastAsia="Arial" w:hAnsi="Arial"/>
          <w:sz w:val="10"/>
          <w:szCs w:val="10"/>
          <w:color w:val="auto"/>
        </w:rPr>
        <w:t>®</w:t>
      </w:r>
      <w:r>
        <w:rPr>
          <w:rFonts w:ascii="Arial" w:cs="Arial" w:eastAsia="Arial" w:hAnsi="Arial"/>
          <w:sz w:val="16"/>
          <w:szCs w:val="16"/>
          <w:color w:val="auto"/>
        </w:rPr>
        <w:t xml:space="preserve"> (rilonacept) Injection For Subcutaneous Use and EYLEA</w:t>
      </w:r>
      <w:r>
        <w:rPr>
          <w:rFonts w:ascii="Arial" w:cs="Arial" w:eastAsia="Arial" w:hAnsi="Arial"/>
          <w:sz w:val="10"/>
          <w:szCs w:val="10"/>
          <w:color w:val="auto"/>
        </w:rPr>
        <w:t>®</w:t>
      </w:r>
      <w:r>
        <w:rPr>
          <w:rFonts w:ascii="Arial" w:cs="Arial" w:eastAsia="Arial" w:hAnsi="Arial"/>
          <w:sz w:val="16"/>
          <w:szCs w:val="16"/>
          <w:color w:val="auto"/>
        </w:rPr>
        <w:t xml:space="preserve"> (aflibercept) Injection, and has filed regulatory applications with the U.S. Food and Drug Administration (FDA) for second indications for each of these products. A regulatory application has also been submitted to the FDA for the product candidate ZALTRAP</w:t>
      </w:r>
      <w:r>
        <w:rPr>
          <w:rFonts w:ascii="Arial" w:cs="Arial" w:eastAsia="Arial" w:hAnsi="Arial"/>
          <w:sz w:val="10"/>
          <w:szCs w:val="10"/>
          <w:color w:val="auto"/>
        </w:rPr>
        <w:t>®</w:t>
      </w:r>
      <w:r>
        <w:rPr>
          <w:rFonts w:ascii="Arial" w:cs="Arial" w:eastAsia="Arial" w:hAnsi="Arial"/>
          <w:sz w:val="16"/>
          <w:szCs w:val="16"/>
          <w:color w:val="auto"/>
        </w:rPr>
        <w:t xml:space="preserve"> (aflibercept) Concentrate for Intravenous Infusion. Phase 3 studies are in progress with EYLEA</w:t>
      </w:r>
      <w:r>
        <w:rPr>
          <w:rFonts w:ascii="Arial" w:cs="Arial" w:eastAsia="Arial" w:hAnsi="Arial"/>
          <w:sz w:val="10"/>
          <w:szCs w:val="10"/>
          <w:color w:val="auto"/>
        </w:rPr>
        <w:t>®</w:t>
      </w:r>
      <w:r>
        <w:rPr>
          <w:rFonts w:ascii="Arial" w:cs="Arial" w:eastAsia="Arial" w:hAnsi="Arial"/>
          <w:sz w:val="16"/>
          <w:szCs w:val="16"/>
          <w:color w:val="auto"/>
        </w:rPr>
        <w:t xml:space="preserve"> in a third indication, and with product candidate sarilumab. Earlier-stage clinical programs are underway with nine additional monoclonal antibodies. Regeneron has active research and development programs in many disease areas, including ophthalmology, inflammation, cancer, and hypercholesterolemia. Additional information and recent news releases are available on the Regeneron web 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Santen</w:t>
      </w:r>
    </w:p>
    <w:p>
      <w:pPr>
        <w:spacing w:after="0" w:line="9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Founded in 1890, Santen is a global company headquartered in Osaka, Japan. Santen researches, develops and markets ophthalmic products for physicians worldwide. Among prescription ophthalmic pharmaceuticals, Santen holds the top share within the Japanese market and is one of the leading ophthalmic companies worldwide. For more information, visit www.santen.com.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Yakuhin, Ltd.</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Bayer Yakuhin Ltd., headquartered in Osaka, is a healthcare company which combines business activities of Pharmaceuticals, Radiology &amp; Interventional and Animal Health (companion and food animal products). Pharmaceuticals business is focused on the following areas: Cardiovascular &amp; Neurology, Oncology &amp; Hematology, Women’s Health &amp; Dermatology and Ophthalmology. Bayer Yakuhin aims to be one of leading pharmaceutical companies, which responds to Japanese patients’ unmet medical needs, with the spirit of Bayer’s corporate slogan “Science For A Better Life”.</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Bayer Yakuhin homepage: http://www.bayer.co.jp/byl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Bayer Group is a global enterprise with core competencies in the fields of health care, nutrition and high-tech materials. Bayer HealthCare, a subgroup of Bayer AG with annual sales of EUR 17.2 billion (2011),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develop, manufacture and market products that will improve human and animal health worldwide. Bayer HealthCare has a global workforce of 55,700 employees (Dec 31, 2011) and is represented in more than 100 countries. Find more information at www.bayerhealthcare.com.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age-related macular degeneration (AMD), please visit: </w:t>
      </w:r>
      <w:r>
        <w:rPr>
          <w:rFonts w:ascii="Arial" w:cs="Arial" w:eastAsia="Arial" w:hAnsi="Arial"/>
          <w:sz w:val="18"/>
          <w:szCs w:val="18"/>
          <w:u w:val="single" w:color="auto"/>
          <w:color w:val="auto"/>
        </w:rPr>
        <w:t>www.bayerpharma.de/en/AMD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in Japan and other countries and Regeneron’s product candidates, potential new indications for EYLEA, and research and clinical programs now underway or planned, the likelihood and timing of possible regulatory approval and commercial launch of EYLEA in Japan, Regeneron’s late-stage product candidates and new indications for marketed products, determinations by regulatory and administrative governmental authorities which may delay or restrict Regeneron’s ability to continue to develop or commercialize EYLEA and other product and drug candidates and possible new indications for marketed products, competing drugs that may be superior to EYLEA and Regeneron’s product and drug candidates and possible new indications for marketed products, uncertainty of market acceptance of EYLEA and Regeneron’s product and drug candidates and possible new indications for marketed products, unforeseen safety issues resulting from the administration of products and product candidates in patients, the potential for any license or collaboration agreement, including Regeneron’s agreements with Sanofi or Bayer HealthCare, to be cancelled or terminated,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2011 and Form 10-Q for the quarter ended March 31, 2012. Regeneron does not undertake any obligation to update publicly any forward-looking statement, whether as a result of new information, future events, or otherwise, unless required by law.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r>
      <w:tr>
        <w:trPr>
          <w:trHeight w:val="459"/>
        </w:trPr>
        <w:tc>
          <w:tcPr>
            <w:tcW w:w="242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3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2420" w:type="dxa"/>
            <w:vAlign w:val="bottom"/>
          </w:tcPr>
          <w:p>
            <w:pPr>
              <w:spacing w:after="0"/>
              <w:rPr>
                <w:sz w:val="20"/>
                <w:szCs w:val="20"/>
                <w:color w:val="auto"/>
              </w:rPr>
            </w:pPr>
            <w:r>
              <w:rPr>
                <w:rFonts w:ascii="Arial" w:cs="Arial" w:eastAsia="Arial" w:hAnsi="Arial"/>
                <w:sz w:val="18"/>
                <w:szCs w:val="18"/>
                <w:color w:val="auto"/>
              </w:rPr>
              <w:t>Michael Aberman, M.D.</w:t>
            </w:r>
          </w:p>
        </w:tc>
        <w:tc>
          <w:tcPr>
            <w:tcW w:w="35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Peter Dworkin</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Investor Relations</w:t>
            </w:r>
          </w:p>
        </w:tc>
        <w:tc>
          <w:tcPr>
            <w:tcW w:w="35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5720" w:type="dxa"/>
            <w:vAlign w:val="bottom"/>
            <w:gridSpan w:val="2"/>
          </w:tcPr>
          <w:p>
            <w:pPr>
              <w:ind w:left="3540"/>
              <w:spacing w:after="0"/>
              <w:rPr>
                <w:sz w:val="20"/>
                <w:szCs w:val="20"/>
                <w:color w:val="auto"/>
              </w:rPr>
            </w:pPr>
            <w:r>
              <w:rPr>
                <w:rFonts w:ascii="Arial" w:cs="Arial" w:eastAsia="Arial" w:hAnsi="Arial"/>
                <w:sz w:val="18"/>
                <w:szCs w:val="18"/>
                <w:color w:val="auto"/>
              </w:rPr>
              <w:t>914.847.7640</w:t>
            </w:r>
          </w:p>
        </w:tc>
      </w:tr>
      <w:tr>
        <w:trPr>
          <w:trHeight w:val="184"/>
        </w:trPr>
        <w:tc>
          <w:tcPr>
            <w:tcW w:w="24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6"/>
              </w:rPr>
              <w:t>michael.aberman@regeneron.com</w:t>
            </w:r>
          </w:p>
        </w:tc>
        <w:tc>
          <w:tcPr>
            <w:tcW w:w="3540" w:type="dxa"/>
            <w:vAlign w:val="bottom"/>
          </w:tcPr>
          <w:p>
            <w:pPr>
              <w:spacing w:after="0"/>
              <w:rPr>
                <w:sz w:val="15"/>
                <w:szCs w:val="15"/>
                <w:color w:val="auto"/>
              </w:rPr>
            </w:pPr>
          </w:p>
        </w:tc>
        <w:tc>
          <w:tcPr>
            <w:tcW w:w="21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peter.dworkin@regeneron.com</w:t>
            </w:r>
          </w:p>
        </w:tc>
      </w:tr>
    </w:tbl>
    <w:p>
      <w:pPr>
        <w:spacing w:after="0" w:line="1" w:lineRule="exact"/>
        <w:rPr>
          <w:sz w:val="20"/>
          <w:szCs w:val="20"/>
          <w:color w:val="auto"/>
        </w:rPr>
      </w:pP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2019-12-09T10:48:46Z</dcterms:created>
  <dcterms:modified xsi:type="dcterms:W3CDTF">2019-12-09T10:48:46Z</dcterms:modified>
</cp:coreProperties>
</file>