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934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974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28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Terifay Robert J</w:t>
              </w:r>
            </w:hyperlink>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5"/>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00" w:type="dxa"/>
            <w:vAlign w:val="bottom"/>
          </w:tcPr>
          <w:p>
            <w:pPr>
              <w:spacing w:after="0"/>
              <w:rPr>
                <w:sz w:val="8"/>
                <w:szCs w:val="8"/>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08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restart"/>
          </w:tcPr>
          <w:p>
            <w:pPr>
              <w:spacing w:after="0"/>
              <w:rPr>
                <w:sz w:val="20"/>
                <w:szCs w:val="20"/>
                <w:color w:val="auto"/>
              </w:rPr>
            </w:pPr>
            <w:r>
              <w:rPr>
                <w:rFonts w:ascii="Arial" w:cs="Arial" w:eastAsia="Arial" w:hAnsi="Arial"/>
                <w:sz w:val="17"/>
                <w:szCs w:val="17"/>
                <w:color w:val="0000FF"/>
              </w:rPr>
              <w:t>SVP Commercial</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70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07/27/2012</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700" w:type="dxa"/>
            <w:vAlign w:val="bottom"/>
            <w:gridSpan w:val="7"/>
            <w:vMerge w:val="continue"/>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6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660" w:type="dxa"/>
            <w:vAlign w:val="bottom"/>
            <w:gridSpan w:val="9"/>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7"/>
          </w:tcPr>
          <w:p>
            <w:pPr>
              <w:ind w:left="12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gridSpan w:val="5"/>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8"/>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5"/>
          </w:tcPr>
          <w:p>
            <w:pPr>
              <w:jc w:val="center"/>
              <w:ind w:left="46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23,372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1,711</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137.39</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21,661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5,661</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137.39</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16,000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24,375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40,375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2,980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137.39</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37,395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9,856</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137.39</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27,539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12,500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4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21.92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40,039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1,994</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137.39</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38,045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07/27/2012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4,839</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137.39</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33,206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07/30/2012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134.99</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33,139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07/30/2012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14,833</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135.49</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18,306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07/30/2012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6,600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136.26</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11,706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2"/>
              <w:spacing w:after="0"/>
              <w:rPr>
                <w:sz w:val="20"/>
                <w:szCs w:val="20"/>
                <w:color w:val="auto"/>
              </w:rPr>
            </w:pPr>
            <w:r>
              <w:rPr>
                <w:rFonts w:ascii="Arial" w:cs="Arial" w:eastAsia="Arial" w:hAnsi="Arial"/>
                <w:sz w:val="17"/>
                <w:szCs w:val="17"/>
                <w:color w:val="0000FF"/>
                <w:w w:val="93"/>
              </w:rPr>
              <w:t>07/30/2012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2,334</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137.58</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9,372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1,531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40" w:type="dxa"/>
            <w:vAlign w:val="bottom"/>
          </w:tcPr>
          <w:p>
            <w:pPr>
              <w:spacing w:after="0"/>
              <w:rPr>
                <w:sz w:val="18"/>
                <w:szCs w:val="18"/>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color w:val="0000FF"/>
              </w:rPr>
              <w:t>07/27/2012</w:t>
            </w:r>
          </w:p>
        </w:tc>
        <w:tc>
          <w:tcPr>
            <w:tcW w:w="1140" w:type="dxa"/>
            <w:vAlign w:val="bottom"/>
          </w:tcPr>
          <w:p>
            <w:pPr>
              <w:spacing w:after="0"/>
              <w:rPr>
                <w:sz w:val="18"/>
                <w:szCs w:val="18"/>
                <w:color w:val="auto"/>
              </w:rPr>
            </w:pPr>
          </w:p>
        </w:tc>
        <w:tc>
          <w:tcPr>
            <w:tcW w:w="620" w:type="dxa"/>
            <w:vAlign w:val="bottom"/>
            <w:gridSpan w:val="4"/>
          </w:tcPr>
          <w:p>
            <w:pPr>
              <w:ind w:left="100"/>
              <w:spacing w:after="0" w:line="211"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0000FF"/>
              </w:rPr>
              <w:t>14,000</w:t>
            </w:r>
          </w:p>
        </w:tc>
        <w:tc>
          <w:tcPr>
            <w:tcW w:w="820" w:type="dxa"/>
            <w:vAlign w:val="bottom"/>
          </w:tcPr>
          <w:p>
            <w:pPr>
              <w:jc w:val="center"/>
              <w:spacing w:after="0" w:line="211" w:lineRule="exact"/>
              <w:rPr>
                <w:sz w:val="20"/>
                <w:szCs w:val="20"/>
                <w:color w:val="auto"/>
              </w:rPr>
            </w:pPr>
            <w:r>
              <w:rPr>
                <w:rFonts w:ascii="Arial" w:cs="Arial" w:eastAsia="Arial" w:hAnsi="Arial"/>
                <w:sz w:val="13"/>
                <w:szCs w:val="13"/>
                <w:color w:val="0000FF"/>
                <w:w w:val="89"/>
              </w:rPr>
              <w:t>12/31/2011</w:t>
            </w:r>
            <w:r>
              <w:rPr>
                <w:rFonts w:ascii="Arial" w:cs="Arial" w:eastAsia="Arial" w:hAnsi="Arial"/>
                <w:sz w:val="22"/>
                <w:szCs w:val="22"/>
                <w:color w:val="008000"/>
                <w:w w:val="89"/>
                <w:vertAlign w:val="superscript"/>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14,000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(6)</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61,298</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gridSpan w:val="2"/>
          </w:tcPr>
          <w:p>
            <w:pPr>
              <w:jc w:val="center"/>
              <w:spacing w:after="0" w:line="83" w:lineRule="exact"/>
              <w:rPr>
                <w:sz w:val="20"/>
                <w:szCs w:val="20"/>
                <w:color w:val="auto"/>
              </w:rPr>
            </w:pPr>
            <w:r>
              <w:rPr>
                <w:rFonts w:ascii="Arial" w:cs="Arial" w:eastAsia="Arial" w:hAnsi="Arial"/>
                <w:sz w:val="9"/>
                <w:szCs w:val="9"/>
                <w:color w:val="0000FF"/>
              </w:rPr>
              <w:t>Stock</w:t>
            </w: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40" w:type="dxa"/>
            <w:vAlign w:val="bottom"/>
          </w:tcPr>
          <w:p>
            <w:pPr>
              <w:spacing w:after="0"/>
              <w:rPr>
                <w:sz w:val="18"/>
                <w:szCs w:val="18"/>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color w:val="0000FF"/>
              </w:rPr>
              <w:t>07/27/2012</w:t>
            </w:r>
          </w:p>
        </w:tc>
        <w:tc>
          <w:tcPr>
            <w:tcW w:w="1140" w:type="dxa"/>
            <w:vAlign w:val="bottom"/>
          </w:tcPr>
          <w:p>
            <w:pPr>
              <w:spacing w:after="0"/>
              <w:rPr>
                <w:sz w:val="18"/>
                <w:szCs w:val="18"/>
                <w:color w:val="auto"/>
              </w:rPr>
            </w:pPr>
          </w:p>
        </w:tc>
        <w:tc>
          <w:tcPr>
            <w:tcW w:w="620" w:type="dxa"/>
            <w:vAlign w:val="bottom"/>
            <w:gridSpan w:val="4"/>
          </w:tcPr>
          <w:p>
            <w:pPr>
              <w:ind w:left="100"/>
              <w:spacing w:after="0" w:line="211"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0000FF"/>
              </w:rPr>
              <w:t>24,375</w:t>
            </w:r>
          </w:p>
        </w:tc>
        <w:tc>
          <w:tcPr>
            <w:tcW w:w="820" w:type="dxa"/>
            <w:vAlign w:val="bottom"/>
          </w:tcPr>
          <w:p>
            <w:pPr>
              <w:jc w:val="right"/>
              <w:ind w:right="302"/>
              <w:spacing w:after="0"/>
              <w:rPr>
                <w:sz w:val="20"/>
                <w:szCs w:val="20"/>
                <w:color w:val="auto"/>
              </w:rPr>
            </w:pPr>
            <w:r>
              <w:rPr>
                <w:rFonts w:ascii="Arial" w:cs="Arial" w:eastAsia="Arial" w:hAnsi="Arial"/>
                <w:sz w:val="11"/>
                <w:szCs w:val="11"/>
                <w:color w:val="008000"/>
              </w:rPr>
              <w:t>(7)</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24,375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(6)</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36,923</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28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2360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2360930"/>
                    </a:xfrm>
                    <a:prstGeom prst="rect">
                      <a:avLst/>
                    </a:prstGeom>
                    <a:noFill/>
                  </pic:spPr>
                </pic:pic>
              </a:graphicData>
            </a:graphic>
          </wp:anchor>
        </w:drawing>
        <w:t>Table II - Derivative Securities Acquired, Disposed of, or Beneficially Owned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21.92</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07/27/2012</w:t>
            </w:r>
          </w:p>
        </w:tc>
        <w:tc>
          <w:tcPr>
            <w:tcW w:w="1120" w:type="dxa"/>
            <w:vAlign w:val="bottom"/>
          </w:tcPr>
          <w:p>
            <w:pPr>
              <w:spacing w:after="0"/>
              <w:rPr>
                <w:sz w:val="18"/>
                <w:szCs w:val="18"/>
                <w:color w:val="auto"/>
              </w:rPr>
            </w:pPr>
          </w:p>
        </w:tc>
        <w:tc>
          <w:tcPr>
            <w:tcW w:w="820" w:type="dxa"/>
            <w:vAlign w:val="bottom"/>
          </w:tcPr>
          <w:p>
            <w:pPr>
              <w:ind w:left="100"/>
              <w:spacing w:after="0" w:line="211"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40" w:type="dxa"/>
            <w:vAlign w:val="bottom"/>
          </w:tcPr>
          <w:p>
            <w:pPr>
              <w:ind w:left="400"/>
              <w:spacing w:after="0"/>
              <w:rPr>
                <w:sz w:val="20"/>
                <w:szCs w:val="20"/>
                <w:color w:val="auto"/>
              </w:rPr>
            </w:pPr>
            <w:r>
              <w:rPr>
                <w:rFonts w:ascii="Arial" w:cs="Arial" w:eastAsia="Arial" w:hAnsi="Arial"/>
                <w:sz w:val="13"/>
                <w:szCs w:val="13"/>
                <w:color w:val="0000FF"/>
              </w:rPr>
              <w:t>12,500</w:t>
            </w:r>
          </w:p>
        </w:tc>
        <w:tc>
          <w:tcPr>
            <w:tcW w:w="840" w:type="dxa"/>
            <w:vAlign w:val="bottom"/>
          </w:tcPr>
          <w:p>
            <w:pPr>
              <w:ind w:left="360"/>
              <w:spacing w:after="0"/>
              <w:rPr>
                <w:sz w:val="20"/>
                <w:szCs w:val="20"/>
                <w:color w:val="auto"/>
              </w:rPr>
            </w:pPr>
            <w:r>
              <w:rPr>
                <w:rFonts w:ascii="Arial" w:cs="Arial" w:eastAsia="Arial" w:hAnsi="Arial"/>
                <w:sz w:val="11"/>
                <w:szCs w:val="11"/>
                <w:color w:val="008000"/>
              </w:rPr>
              <w:t>(8)</w:t>
            </w:r>
          </w:p>
        </w:tc>
        <w:tc>
          <w:tcPr>
            <w:tcW w:w="780" w:type="dxa"/>
            <w:vAlign w:val="bottom"/>
          </w:tcPr>
          <w:p>
            <w:pPr>
              <w:ind w:left="100"/>
              <w:spacing w:after="0"/>
              <w:rPr>
                <w:sz w:val="20"/>
                <w:szCs w:val="20"/>
                <w:color w:val="auto"/>
              </w:rPr>
            </w:pPr>
            <w:r>
              <w:rPr>
                <w:rFonts w:ascii="Arial" w:cs="Arial" w:eastAsia="Arial" w:hAnsi="Arial"/>
                <w:sz w:val="13"/>
                <w:szCs w:val="13"/>
                <w:color w:val="0000FF"/>
              </w:rPr>
              <w:t>12/17/2017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12,500</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960" w:type="dxa"/>
            <w:vAlign w:val="bottom"/>
          </w:tcPr>
          <w:p>
            <w:pPr>
              <w:ind w:left="400"/>
              <w:spacing w:after="0"/>
              <w:rPr>
                <w:sz w:val="20"/>
                <w:szCs w:val="20"/>
                <w:color w:val="auto"/>
              </w:rPr>
            </w:pPr>
            <w:r>
              <w:rPr>
                <w:rFonts w:ascii="Arial" w:cs="Arial" w:eastAsia="Arial" w:hAnsi="Arial"/>
                <w:sz w:val="13"/>
                <w:szCs w:val="13"/>
                <w:color w:val="0000FF"/>
              </w:rPr>
              <w:t>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r>
    </w:tbl>
    <w:p>
      <w:pPr>
        <w:ind w:left="60"/>
        <w:spacing w:after="0" w:line="235"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0" w:lineRule="exact"/>
        <w:rPr>
          <w:rFonts w:ascii="Arial" w:cs="Arial" w:eastAsia="Arial" w:hAnsi="Arial"/>
          <w:sz w:val="13"/>
          <w:szCs w:val="13"/>
          <w:color w:val="008000"/>
        </w:rPr>
      </w:pPr>
    </w:p>
    <w:p>
      <w:pPr>
        <w:ind w:left="20" w:right="300" w:firstLine="7"/>
        <w:spacing w:after="0" w:line="301"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14,833 shares of Company stock on July 30, 2012 at prices ranging from $135.02 to $135.99. Upon request by the Commission staff, the Company, or a security holder of the Company, the reporting person will provide full information regarding the number of shares sold by the reporting person on July 30, 2012 at each separate price.</w:t>
      </w:r>
    </w:p>
    <w:p>
      <w:pPr>
        <w:ind w:left="20" w:right="360" w:firstLine="7"/>
        <w:spacing w:after="0" w:line="301"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6,600 shares of Company stock on July 30, 2012 at prices ranging from $136.00 to $136.96. Upon request by the Commission staff, the Company, or a security holder of the Company, the reporting person will provide full information regarding the number of shares sold by the reporting person on July 30, 2012 at each separate price.</w:t>
      </w:r>
    </w:p>
    <w:p>
      <w:pPr>
        <w:ind w:left="20" w:right="360" w:firstLine="7"/>
        <w:spacing w:after="0" w:line="301"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2,334 shares of Company stock on July 30, 2012 at prices ranging from $137.30 to $137.77. Upon request by the Commission staff, the Company, or a security holder of the Company, the reporting person will provide full information regarding the number of shares sold by the reporting person on July 30, 2012 at each separate price.</w:t>
      </w:r>
    </w:p>
    <w:p>
      <w:pPr>
        <w:ind w:left="20" w:right="220" w:firstLine="7"/>
        <w:spacing w:after="0" w:line="270"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17, 2008, the reporting person was granted an option to purchase 48,750 shares of Common Stock. The option was eligible to vest, partially or in full, on December 31, 2011, based on the extent to which the company satisfied certain performance criteria. The performance criteria were met and the option vested as to all shares.</w:t>
      </w:r>
    </w:p>
    <w:p>
      <w:pPr>
        <w:spacing w:after="0" w:line="1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/S/**Robert J. Terifay</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07/30/2012</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20" w:right="37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138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2019-12-18T09:35:21Z</dcterms:created>
  <dcterms:modified xsi:type="dcterms:W3CDTF">2019-12-18T09:35:21Z</dcterms:modified>
</cp:coreProperties>
</file>