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November 4, 2015 (November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180" w:firstLine="243"/>
        <w:spacing w:after="0" w:line="264" w:lineRule="auto"/>
        <w:rPr>
          <w:sz w:val="20"/>
          <w:szCs w:val="20"/>
          <w:color w:val="auto"/>
        </w:rPr>
      </w:pPr>
      <w:r>
        <w:rPr>
          <w:rFonts w:ascii="Arial" w:cs="Arial" w:eastAsia="Arial" w:hAnsi="Arial"/>
          <w:sz w:val="18"/>
          <w:szCs w:val="18"/>
          <w:color w:val="auto"/>
        </w:rPr>
        <w:t>On November 4, 2015,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its financial and operating results for the quarter ended September 30, 2015. A copy of the press release is being furnished to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November 4, 2015, Reporting Third Quarter 2015 Financial and Operating Results.</w:t>
      </w:r>
    </w:p>
    <w:p>
      <w:pPr>
        <w:sectPr>
          <w:pgSz w:w="11900" w:h="16838" w:orient="portrait"/>
          <w:cols w:equalWidth="0" w:num="1">
            <w:col w:w="11380"/>
          </w:cols>
          <w:pgMar w:left="240" w:top="796"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 November 4, 2015</w:t>
            </w:r>
          </w:p>
        </w:tc>
        <w:tc>
          <w:tcPr>
            <w:tcW w:w="6580" w:type="dxa"/>
            <w:vAlign w:val="bottom"/>
            <w:gridSpan w:val="2"/>
          </w:tcPr>
          <w:p>
            <w:pPr>
              <w:ind w:left="82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600" w:type="dxa"/>
            <w:vAlign w:val="bottom"/>
          </w:tcPr>
          <w:p>
            <w:pPr>
              <w:spacing w:after="0"/>
              <w:rPr>
                <w:sz w:val="24"/>
                <w:szCs w:val="24"/>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600" w:type="dxa"/>
            <w:vAlign w:val="bottom"/>
          </w:tcPr>
          <w:p>
            <w:pPr>
              <w:spacing w:after="0"/>
              <w:rPr>
                <w:sz w:val="23"/>
                <w:szCs w:val="23"/>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584"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6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554"/>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7520" w:type="dxa"/>
            <w:vAlign w:val="bottom"/>
            <w:gridSpan w:val="3"/>
          </w:tcPr>
          <w:p>
            <w:pPr>
              <w:ind w:left="620"/>
              <w:spacing w:after="0"/>
              <w:rPr>
                <w:sz w:val="20"/>
                <w:szCs w:val="20"/>
                <w:color w:val="auto"/>
              </w:rPr>
            </w:pPr>
            <w:r>
              <w:rPr>
                <w:rFonts w:ascii="Arial" w:cs="Arial" w:eastAsia="Arial" w:hAnsi="Arial"/>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76"/>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7520" w:type="dxa"/>
            <w:vAlign w:val="bottom"/>
            <w:gridSpan w:val="3"/>
          </w:tcPr>
          <w:p>
            <w:pPr>
              <w:ind w:left="620"/>
              <w:spacing w:after="0"/>
              <w:rPr>
                <w:sz w:val="20"/>
                <w:szCs w:val="20"/>
                <w:color w:val="auto"/>
              </w:rPr>
            </w:pPr>
            <w:r>
              <w:rPr>
                <w:rFonts w:ascii="Arial" w:cs="Arial" w:eastAsia="Arial" w:hAnsi="Arial"/>
                <w:sz w:val="18"/>
                <w:szCs w:val="18"/>
                <w:color w:val="auto"/>
                <w:w w:val="89"/>
              </w:rPr>
              <w:t>Press Release, dated November 4, 2015, Reporting Third Quarter 2015 Financial and Operating</w:t>
            </w:r>
          </w:p>
        </w:tc>
      </w:tr>
      <w:tr>
        <w:trPr>
          <w:trHeight w:val="230"/>
        </w:trPr>
        <w:tc>
          <w:tcPr>
            <w:tcW w:w="580" w:type="dxa"/>
            <w:vAlign w:val="bottom"/>
          </w:tcPr>
          <w:p>
            <w:pPr>
              <w:spacing w:after="0"/>
              <w:rPr>
                <w:sz w:val="20"/>
                <w:szCs w:val="20"/>
                <w:color w:val="auto"/>
              </w:rPr>
            </w:pPr>
          </w:p>
        </w:tc>
        <w:tc>
          <w:tcPr>
            <w:tcW w:w="7520" w:type="dxa"/>
            <w:vAlign w:val="bottom"/>
            <w:gridSpan w:val="3"/>
          </w:tcPr>
          <w:p>
            <w:pPr>
              <w:ind w:left="620"/>
              <w:spacing w:after="0"/>
              <w:rPr>
                <w:sz w:val="20"/>
                <w:szCs w:val="20"/>
                <w:color w:val="auto"/>
              </w:rPr>
            </w:pPr>
            <w:r>
              <w:rPr>
                <w:rFonts w:ascii="Arial" w:cs="Arial" w:eastAsia="Arial" w:hAnsi="Arial"/>
                <w:sz w:val="18"/>
                <w:szCs w:val="18"/>
                <w:color w:val="auto"/>
              </w:rPr>
              <w:t>Results.</w:t>
            </w:r>
          </w:p>
        </w:tc>
      </w:tr>
    </w:tbl>
    <w:p>
      <w:pPr>
        <w:sectPr>
          <w:pgSz w:w="11900" w:h="16838" w:orient="portrait"/>
          <w:cols w:equalWidth="0" w:num="1">
            <w:col w:w="10179"/>
          </w:cols>
          <w:pgMar w:left="28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2015 Financial and Operating Results</w:t>
      </w:r>
    </w:p>
    <w:p>
      <w:pPr>
        <w:spacing w:after="0" w:line="164" w:lineRule="exact"/>
        <w:rPr>
          <w:sz w:val="20"/>
          <w:szCs w:val="20"/>
          <w:color w:val="auto"/>
        </w:rPr>
      </w:pPr>
    </w:p>
    <w:p>
      <w:pPr>
        <w:ind w:left="340" w:right="420" w:hanging="332"/>
        <w:spacing w:after="0" w:line="216"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Third quarter 2015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global net sales increased 53% to $1.105 billion (consisting of $734 million in the U.S. and $371 million in rest of world</w:t>
      </w:r>
      <w:r>
        <w:rPr>
          <w:rFonts w:ascii="Arial" w:cs="Arial" w:eastAsia="Arial" w:hAnsi="Arial"/>
          <w:sz w:val="25"/>
          <w:szCs w:val="25"/>
          <w:i w:val="1"/>
          <w:iCs w:val="1"/>
          <w:color w:val="auto"/>
          <w:vertAlign w:val="superscript"/>
        </w:rPr>
        <w:t>(1)</w:t>
      </w:r>
      <w:r>
        <w:rPr>
          <w:rFonts w:ascii="Arial" w:cs="Arial" w:eastAsia="Arial" w:hAnsi="Arial"/>
          <w:sz w:val="19"/>
          <w:szCs w:val="19"/>
          <w:i w:val="1"/>
          <w:iCs w:val="1"/>
          <w:color w:val="auto"/>
        </w:rPr>
        <w:t>)</w:t>
      </w:r>
      <w:r>
        <w:rPr>
          <w:rFonts w:ascii="Arial" w:cs="Arial" w:eastAsia="Arial" w:hAnsi="Arial"/>
          <w:sz w:val="22"/>
          <w:szCs w:val="22"/>
          <w:i w:val="1"/>
          <w:iCs w:val="1"/>
          <w:color w:val="auto"/>
        </w:rPr>
        <w:t xml:space="preserve"> versus third quarter 2014</w:t>
      </w:r>
    </w:p>
    <w:p>
      <w:pPr>
        <w:ind w:left="340" w:right="200" w:hanging="332"/>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Third quarter 2015 non-GAAP net income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increased 37% to $403 million, or $3.47 per diluted share, versus third quarter 2014</w:t>
      </w:r>
    </w:p>
    <w:p>
      <w:pPr>
        <w:ind w:left="340" w:right="80" w:hanging="332"/>
        <w:spacing w:after="0" w:line="249"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Raised estimated full year 2015 EYLEA U.S. net sales growth guidance to 50% - 55% over 2014, from the previous guidance of 45% - 50%</w:t>
      </w:r>
    </w:p>
    <w:p>
      <w:pPr>
        <w:spacing w:after="0" w:line="354" w:lineRule="exact"/>
        <w:rPr>
          <w:sz w:val="20"/>
          <w:szCs w:val="20"/>
          <w:color w:val="auto"/>
        </w:rPr>
      </w:pPr>
    </w:p>
    <w:p>
      <w:pPr>
        <w:ind w:right="220"/>
        <w:spacing w:after="0" w:line="274" w:lineRule="auto"/>
        <w:rPr>
          <w:sz w:val="20"/>
          <w:szCs w:val="20"/>
          <w:color w:val="auto"/>
        </w:rPr>
      </w:pPr>
      <w:r>
        <w:rPr>
          <w:rFonts w:ascii="Arial" w:cs="Arial" w:eastAsia="Arial" w:hAnsi="Arial"/>
          <w:sz w:val="22"/>
          <w:szCs w:val="22"/>
          <w:b w:val="1"/>
          <w:bCs w:val="1"/>
          <w:color w:val="auto"/>
        </w:rPr>
        <w:t xml:space="preserve">Tarrytown, New York (November 4, 2015)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2015 and provided an update on development programs.</w:t>
      </w:r>
    </w:p>
    <w:p>
      <w:pPr>
        <w:spacing w:after="0" w:line="354" w:lineRule="exact"/>
        <w:rPr>
          <w:sz w:val="20"/>
          <w:szCs w:val="20"/>
          <w:color w:val="auto"/>
        </w:rPr>
      </w:pPr>
    </w:p>
    <w:p>
      <w:pPr>
        <w:ind w:left="158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31750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93"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Three Months Ended</w:t>
      </w:r>
    </w:p>
    <w:p>
      <w:pPr>
        <w:spacing w:after="0" w:line="45" w:lineRule="exact"/>
        <w:rPr>
          <w:sz w:val="20"/>
          <w:szCs w:val="20"/>
          <w:color w:val="auto"/>
        </w:rPr>
      </w:pPr>
    </w:p>
    <w:p>
      <w:pPr>
        <w:jc w:val="center"/>
        <w:ind w:right="2600"/>
        <w:spacing w:after="0"/>
        <w:rPr>
          <w:sz w:val="20"/>
          <w:szCs w:val="20"/>
          <w:color w:val="auto"/>
        </w:rPr>
      </w:pPr>
      <w:r>
        <w:rPr>
          <w:rFonts w:ascii="Arial" w:cs="Arial" w:eastAsia="Arial" w:hAnsi="Arial"/>
          <w:sz w:val="20"/>
          <w:szCs w:val="20"/>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17145</wp:posOffset>
            </wp:positionV>
            <wp:extent cx="24872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6300" w:space="720"/>
            <w:col w:w="4400"/>
          </w:cols>
          <w:pgMar w:left="240" w:top="580" w:right="239" w:bottom="1440" w:gutter="0" w:footer="0" w:header="0"/>
          <w:type w:val="continuous"/>
        </w:sectPr>
      </w:pPr>
    </w:p>
    <w:tbl>
      <w:tblPr>
        <w:tblLayout w:type="fixed"/>
        <w:tblInd w:w="1560" w:type="dxa"/>
        <w:tblCellMar>
          <w:top w:w="0" w:type="dxa"/>
          <w:left w:w="0" w:type="dxa"/>
          <w:bottom w:w="0" w:type="dxa"/>
          <w:right w:w="0" w:type="dxa"/>
        </w:tblCellMar>
      </w:tblPr>
      <w:tr>
        <w:trPr>
          <w:trHeight w:val="287"/>
        </w:trPr>
        <w:tc>
          <w:tcPr>
            <w:tcW w:w="44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2015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2014</w:t>
            </w:r>
            <w:r>
              <w:rPr>
                <w:rFonts w:ascii="Arial" w:cs="Arial" w:eastAsia="Arial" w:hAnsi="Arial"/>
                <w:sz w:val="25"/>
                <w:szCs w:val="25"/>
                <w:b w:val="1"/>
                <w:bCs w:val="1"/>
                <w:color w:val="auto"/>
                <w:vertAlign w:val="superscript"/>
              </w:rPr>
              <w:t>*</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 U.S. net product sales</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445</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65%</w:t>
            </w:r>
          </w:p>
        </w:tc>
      </w:tr>
      <w:tr>
        <w:trPr>
          <w:trHeight w:val="261"/>
        </w:trPr>
        <w:tc>
          <w:tcPr>
            <w:tcW w:w="440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1,137</w:t>
            </w:r>
          </w:p>
        </w:tc>
        <w:tc>
          <w:tcPr>
            <w:tcW w:w="12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726</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3"/>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4400" w:type="dxa"/>
            <w:vAlign w:val="bottom"/>
            <w:shd w:val="clear" w:color="auto" w:fill="CCEEFF"/>
          </w:tcPr>
          <w:p>
            <w:pPr>
              <w:ind w:left="20"/>
              <w:spacing w:after="0" w:line="283" w:lineRule="exact"/>
              <w:rPr>
                <w:sz w:val="20"/>
                <w:szCs w:val="20"/>
                <w:color w:val="auto"/>
              </w:rPr>
            </w:pPr>
            <w:r>
              <w:rPr>
                <w:rFonts w:ascii="Arial" w:cs="Arial" w:eastAsia="Arial" w:hAnsi="Arial"/>
                <w:sz w:val="20"/>
                <w:szCs w:val="20"/>
                <w:color w:val="auto"/>
              </w:rPr>
              <w:t xml:space="preserve">Non-GAAP net income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4400" w:type="dxa"/>
            <w:vAlign w:val="bottom"/>
          </w:tcPr>
          <w:p>
            <w:pPr>
              <w:ind w:left="20"/>
              <w:spacing w:after="0" w:line="283" w:lineRule="exact"/>
              <w:rPr>
                <w:sz w:val="20"/>
                <w:szCs w:val="20"/>
                <w:color w:val="auto"/>
              </w:rPr>
            </w:pPr>
            <w:r>
              <w:rPr>
                <w:rFonts w:ascii="Arial" w:cs="Arial" w:eastAsia="Arial" w:hAnsi="Arial"/>
                <w:sz w:val="20"/>
                <w:szCs w:val="20"/>
                <w:color w:val="auto"/>
              </w:rPr>
              <w:t xml:space="preserve">Non-GAAP net income per share - diluted </w:t>
            </w:r>
            <w:r>
              <w:rPr>
                <w:rFonts w:ascii="Arial" w:cs="Arial" w:eastAsia="Arial" w:hAnsi="Arial"/>
                <w:sz w:val="25"/>
                <w:szCs w:val="25"/>
                <w:color w:val="auto"/>
                <w:vertAlign w:val="superscript"/>
              </w:rPr>
              <w:t>(2)</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3.47</w:t>
            </w:r>
          </w:p>
        </w:tc>
        <w:tc>
          <w:tcPr>
            <w:tcW w:w="120" w:type="dxa"/>
            <w:vAlign w:val="bottom"/>
          </w:tcPr>
          <w:p>
            <w:pPr>
              <w:spacing w:after="0"/>
              <w:rPr>
                <w:sz w:val="24"/>
                <w:szCs w:val="24"/>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2.52</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6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net income</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153%</w:t>
            </w:r>
          </w:p>
        </w:tc>
      </w:tr>
      <w:tr>
        <w:trPr>
          <w:trHeight w:val="261"/>
        </w:trPr>
        <w:tc>
          <w:tcPr>
            <w:tcW w:w="4400" w:type="dxa"/>
            <w:vAlign w:val="bottom"/>
          </w:tcPr>
          <w:p>
            <w:pPr>
              <w:ind w:left="20"/>
              <w:spacing w:after="0"/>
              <w:rPr>
                <w:sz w:val="20"/>
                <w:szCs w:val="20"/>
                <w:color w:val="auto"/>
              </w:rPr>
            </w:pPr>
            <w:r>
              <w:rPr>
                <w:rFonts w:ascii="Arial" w:cs="Arial" w:eastAsia="Arial" w:hAnsi="Arial"/>
                <w:sz w:val="20"/>
                <w:szCs w:val="20"/>
                <w:color w:val="auto"/>
              </w:rPr>
              <w:t>GAAP net income per share - diluted</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1.82</w:t>
            </w:r>
          </w:p>
        </w:tc>
        <w:tc>
          <w:tcPr>
            <w:tcW w:w="12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0.73</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149%</w:t>
            </w:r>
          </w:p>
        </w:tc>
      </w:tr>
    </w:tbl>
    <w:p>
      <w:pPr>
        <w:spacing w:after="0" w:line="171" w:lineRule="exact"/>
        <w:rPr>
          <w:sz w:val="20"/>
          <w:szCs w:val="20"/>
          <w:color w:val="auto"/>
        </w:rPr>
      </w:pPr>
    </w:p>
    <w:p>
      <w:pPr>
        <w:ind w:left="1760" w:right="1740" w:hanging="10"/>
        <w:spacing w:after="0" w:line="277" w:lineRule="auto"/>
        <w:tabs>
          <w:tab w:leader="none" w:pos="18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See note (4) below for an explanation of revisions made to certain amounts previously reported for the three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-1905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347"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"Our commercial business continues to advance with increased demand for EYLEA, our marketed medicine for serious retinal diseases, and continued launch progress with Praluent, our new therapy for hypercholesterolemia," said Leonard S. Schleifer, M.D., Ph.D., President and Chief Executive Officer of Regeneron. "Regeneron also continues to progress the next wave of candidates from our strong pipeline, including sarilumab for rheumatoid arthritis, the BLA for which was recently submitted to the U.S. FDA, and dupilumab, which is in Phase 3 trials for atopic dermatitis and asthma."</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(aflibercept) Injection for Intravitreal Injection</w:t>
      </w:r>
    </w:p>
    <w:p>
      <w:pPr>
        <w:ind w:left="340" w:right="2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third quarter of 2015, net sales of EYLEA in the United States increased 65% to $734 million from $445 million in the third quarter of 2014. Overall distributor inventory levels remained within the Company's one- to two-week targeted range.</w:t>
      </w:r>
    </w:p>
    <w:p>
      <w:pPr>
        <w:spacing w:after="0" w:line="1" w:lineRule="exact"/>
        <w:rPr>
          <w:rFonts w:ascii="Arial" w:cs="Arial" w:eastAsia="Arial" w:hAnsi="Arial"/>
          <w:sz w:val="22"/>
          <w:szCs w:val="22"/>
          <w:color w:val="auto"/>
        </w:rPr>
      </w:pPr>
    </w:p>
    <w:p>
      <w:pPr>
        <w:ind w:left="340" w:right="180" w:hanging="332"/>
        <w:spacing w:after="0" w:line="235"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Bayer HealthCare commercializes EYLEA outside the United States. In the third quarter of 2015,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$371 million, compared to $277 million in the third quarter of 2014. In the third quarter of 2015, Regeneron recognized $131 million from its share of net profit from EYLEA sales outside the United States, compared to $85 million in the third quarter of 2014.</w:t>
      </w:r>
    </w:p>
    <w:p>
      <w:pPr>
        <w:spacing w:after="0" w:line="1" w:lineRule="exact"/>
        <w:rPr>
          <w:rFonts w:ascii="Arial" w:cs="Arial" w:eastAsia="Arial" w:hAnsi="Arial"/>
          <w:sz w:val="22"/>
          <w:szCs w:val="22"/>
          <w:color w:val="auto"/>
        </w:rPr>
      </w:pPr>
    </w:p>
    <w:p>
      <w:pPr>
        <w:ind w:left="340" w:right="280" w:hanging="332"/>
        <w:spacing w:after="0" w:line="249"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October 2015, the European Commission granted marketing authorization of EYLEA for the treatment of visual impairment due to myopic choroidal neovascularization.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Praluent</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(alirocumab) Injection for the Treatment of High Low-Density Lipoprotein (LDL) Cholesterol</w:t>
      </w:r>
    </w:p>
    <w:p>
      <w:pPr>
        <w:jc w:val="both"/>
        <w:ind w:left="340" w:right="40" w:hanging="332"/>
        <w:spacing w:after="0" w:line="255" w:lineRule="auto"/>
        <w:tabs>
          <w:tab w:leader="none" w:pos="340" w:val="left"/>
        </w:tabs>
        <w:numPr>
          <w:ilvl w:val="0"/>
          <w:numId w:val="5"/>
        </w:numPr>
        <w:rPr>
          <w:rFonts w:ascii="Arial" w:cs="Arial" w:eastAsia="Arial" w:hAnsi="Arial"/>
          <w:sz w:val="21"/>
          <w:szCs w:val="21"/>
          <w:color w:val="auto"/>
        </w:rPr>
      </w:pPr>
      <w:r>
        <w:rPr>
          <w:rFonts w:ascii="Arial" w:cs="Arial" w:eastAsia="Arial" w:hAnsi="Arial"/>
          <w:sz w:val="21"/>
          <w:szCs w:val="21"/>
          <w:color w:val="auto"/>
        </w:rPr>
        <w:t>In July 2015, following the U.S. Food and Drug Administration (FDA) approval of Praluent for the treatment of adults with heterozygous familial hypercholesterolemia (HeFH) or clinical atherosclerotic cardiovascular disease (ASCVD), who require additional lowering of LDL cholesterol, the Company and Sanofi commenced their launch of Praluent.</w:t>
      </w:r>
    </w:p>
    <w:p>
      <w:pPr>
        <w:ind w:left="340"/>
        <w:spacing w:after="0"/>
        <w:rPr>
          <w:rFonts w:ascii="Arial" w:cs="Arial" w:eastAsia="Arial" w:hAnsi="Arial"/>
          <w:sz w:val="21"/>
          <w:szCs w:val="21"/>
          <w:color w:val="auto"/>
        </w:rPr>
      </w:pPr>
      <w:r>
        <w:rPr>
          <w:rFonts w:ascii="Arial" w:cs="Arial" w:eastAsia="Arial" w:hAnsi="Arial"/>
          <w:sz w:val="22"/>
          <w:szCs w:val="22"/>
          <w:color w:val="auto"/>
        </w:rPr>
        <w:t>The effect of Praluent on cardiovascular morbidity and mortality has not been determined.</w:t>
      </w:r>
    </w:p>
    <w:p>
      <w:pPr>
        <w:spacing w:after="0" w:line="3" w:lineRule="exact"/>
        <w:rPr>
          <w:rFonts w:ascii="Arial" w:cs="Arial" w:eastAsia="Arial" w:hAnsi="Arial"/>
          <w:sz w:val="21"/>
          <w:szCs w:val="21"/>
          <w:color w:val="auto"/>
        </w:rPr>
      </w:pPr>
    </w:p>
    <w:p>
      <w:pPr>
        <w:ind w:left="340" w:right="2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third quarter of 2015, net sales of Praluent in the United States were $4 million. Product sales for Praluent are recorded by Sanofi, and the Company shares in any profits or losses from the commercialization of Praluent.</w:t>
      </w:r>
    </w:p>
    <w:p>
      <w:pPr>
        <w:ind w:left="340" w:right="40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October 2015, Praluent was included in the Express Scripts National Preferred Formulary, the nation’s largest formulary covering approximately 25 million Americans.</w:t>
      </w:r>
    </w:p>
    <w:p>
      <w:pPr>
        <w:ind w:left="3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September 2015, the European Commission granted marketing authorization of Praluent for the treatment of adult patients with primary hypercholesterolemia (HeFH and non-familial) or mixed dyslipidemia as an adjunct to diet (a) in combination with a statin, or statin with other lipid-lowering therapies in patients unable to reach their LDL-cholesterol goals with the maximally-tolerated statin, or (b) alone or in combination with other lipid-lowering therapies for patients who are statin intolerant, or for whom a statin is contraindicated.</w:t>
      </w:r>
    </w:p>
    <w:p>
      <w:pPr>
        <w:spacing w:after="0" w:line="2" w:lineRule="exact"/>
        <w:rPr>
          <w:rFonts w:ascii="Arial" w:cs="Arial" w:eastAsia="Arial" w:hAnsi="Arial"/>
          <w:sz w:val="22"/>
          <w:szCs w:val="22"/>
          <w:color w:val="auto"/>
        </w:rPr>
      </w:pP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July 2015, the Company and Sanofi reported that the Phase 3 ODYSSEY JAPAN trial met its primary endpoint.</w:t>
      </w:r>
    </w:p>
    <w:p>
      <w:pPr>
        <w:spacing w:after="0" w:line="3" w:lineRule="exact"/>
        <w:rPr>
          <w:rFonts w:ascii="Arial" w:cs="Arial" w:eastAsia="Arial" w:hAnsi="Arial"/>
          <w:sz w:val="22"/>
          <w:szCs w:val="22"/>
          <w:color w:val="auto"/>
        </w:rPr>
      </w:pP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Phase 3 ODYSSEY program remains ongoing.</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27" w:lineRule="exact"/>
        <w:rPr>
          <w:sz w:val="20"/>
          <w:szCs w:val="20"/>
          <w:color w:val="auto"/>
        </w:rPr>
      </w:pPr>
    </w:p>
    <w:p>
      <w:pPr>
        <w:jc w:val="both"/>
        <w:ind w:right="80"/>
        <w:spacing w:after="0" w:line="215" w:lineRule="auto"/>
        <w:rPr>
          <w:sz w:val="20"/>
          <w:szCs w:val="20"/>
          <w:color w:val="auto"/>
        </w:rPr>
      </w:pPr>
      <w:r>
        <w:rPr>
          <w:rFonts w:ascii="Arial" w:cs="Arial" w:eastAsia="Arial" w:hAnsi="Arial"/>
          <w:sz w:val="22"/>
          <w:szCs w:val="22"/>
          <w:color w:val="auto"/>
        </w:rPr>
        <w:t xml:space="preserve">Regeneron has thirteen fully human monoclonal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 clinical development, including five in collaboration with Sanofi</w:t>
      </w:r>
      <w:r>
        <w:rPr>
          <w:rFonts w:ascii="Arial" w:cs="Arial" w:eastAsia="Arial" w:hAnsi="Arial"/>
          <w:sz w:val="25"/>
          <w:szCs w:val="25"/>
          <w:color w:val="auto"/>
          <w:vertAlign w:val="superscript"/>
        </w:rPr>
        <w:t>(5)</w:t>
      </w:r>
      <w:r>
        <w:rPr>
          <w:rFonts w:ascii="Arial" w:cs="Arial" w:eastAsia="Arial" w:hAnsi="Arial"/>
          <w:sz w:val="22"/>
          <w:szCs w:val="22"/>
          <w:color w:val="auto"/>
        </w:rPr>
        <w:t>. In addition to Praluent, highlights from the antibody pipeline include:</w:t>
      </w:r>
    </w:p>
    <w:p>
      <w:pPr>
        <w:spacing w:after="0" w:line="135" w:lineRule="exact"/>
        <w:rPr>
          <w:sz w:val="20"/>
          <w:szCs w:val="20"/>
          <w:color w:val="auto"/>
        </w:rPr>
      </w:pPr>
    </w:p>
    <w:p>
      <w:pPr>
        <w:jc w:val="both"/>
        <w:ind w:left="340" w:right="200"/>
        <w:spacing w:after="0" w:line="246" w:lineRule="auto"/>
        <w:rPr>
          <w:sz w:val="20"/>
          <w:szCs w:val="20"/>
          <w:color w:val="auto"/>
        </w:rPr>
      </w:pPr>
      <w:r>
        <w:rPr>
          <w:rFonts w:ascii="Arial" w:cs="Arial" w:eastAsia="Arial" w:hAnsi="Arial"/>
          <w:sz w:val="22"/>
          <w:szCs w:val="22"/>
          <w:u w:val="single" w:color="auto"/>
          <w:color w:val="auto"/>
        </w:rPr>
        <w:t>Sarilumab</w:t>
      </w:r>
      <w:r>
        <w:rPr>
          <w:rFonts w:ascii="Arial" w:cs="Arial" w:eastAsia="Arial" w:hAnsi="Arial"/>
          <w:sz w:val="22"/>
          <w:szCs w:val="22"/>
          <w:color w:val="auto"/>
        </w:rPr>
        <w:t>, the Company's antibody targeting IL-6R for rheumatoid arthritis, is currently being studied in the global Phase 3 SARIL-RA program. A Biologics License Application (BLA) in the United States was recently submitted to the FDA.</w:t>
      </w:r>
    </w:p>
    <w:p>
      <w:pPr>
        <w:spacing w:after="0" w:line="249" w:lineRule="exact"/>
        <w:rPr>
          <w:sz w:val="20"/>
          <w:szCs w:val="20"/>
          <w:color w:val="auto"/>
        </w:rPr>
      </w:pPr>
    </w:p>
    <w:p>
      <w:pPr>
        <w:ind w:left="340" w:right="600"/>
        <w:spacing w:after="0" w:line="243" w:lineRule="auto"/>
        <w:rPr>
          <w:sz w:val="20"/>
          <w:szCs w:val="20"/>
          <w:color w:val="auto"/>
        </w:rPr>
      </w:pPr>
      <w:r>
        <w:rPr>
          <w:rFonts w:ascii="Arial" w:cs="Arial" w:eastAsia="Arial" w:hAnsi="Arial"/>
          <w:sz w:val="22"/>
          <w:szCs w:val="22"/>
          <w:u w:val="single" w:color="auto"/>
          <w:color w:val="auto"/>
        </w:rPr>
        <w:t>Dupilumab</w:t>
      </w:r>
      <w:r>
        <w:rPr>
          <w:rFonts w:ascii="Arial" w:cs="Arial" w:eastAsia="Arial" w:hAnsi="Arial"/>
          <w:sz w:val="22"/>
          <w:szCs w:val="22"/>
          <w:color w:val="auto"/>
        </w:rPr>
        <w:t xml:space="preserve"> , the Company's antibody that blocks signaling of IL-4 and IL-13, is currently being studied in atopic dermatitis, asthma, nasal polyps, and eosinophilic esophagitis.</w:t>
      </w:r>
    </w:p>
    <w:p>
      <w:pPr>
        <w:spacing w:after="0" w:line="1" w:lineRule="exact"/>
        <w:rPr>
          <w:sz w:val="20"/>
          <w:szCs w:val="20"/>
          <w:color w:val="auto"/>
        </w:rPr>
      </w:pPr>
    </w:p>
    <w:p>
      <w:pPr>
        <w:ind w:left="1620" w:right="360" w:hanging="964"/>
        <w:spacing w:after="0" w:line="249" w:lineRule="auto"/>
        <w:tabs>
          <w:tab w:leader="none" w:pos="972" w:val="left"/>
        </w:tabs>
        <w:numPr>
          <w:ilvl w:val="0"/>
          <w:numId w:val="6"/>
        </w:numPr>
        <w:rPr>
          <w:rFonts w:ascii="Arial" w:cs="Arial" w:eastAsia="Arial" w:hAnsi="Arial"/>
          <w:sz w:val="22"/>
          <w:szCs w:val="22"/>
          <w:color w:val="auto"/>
        </w:rPr>
      </w:pPr>
      <w:r>
        <w:rPr>
          <w:rFonts w:ascii="Arial" w:cs="Arial" w:eastAsia="Arial" w:hAnsi="Arial"/>
          <w:sz w:val="22"/>
          <w:szCs w:val="22"/>
          <w:color w:val="auto"/>
        </w:rPr>
        <w:t>Multiple Phase 3 studies of dupilumab in atopic dermatitis are currently underway. Phase 3 pivotal trials in atopic dermatitis are fully enrolled.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6" w:name="page7"/>
    <w:bookmarkEnd w:id="6"/>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Phase 2 study in atopic dermatitis in adolescents and children completed enrollment.</w:t>
      </w:r>
    </w:p>
    <w:p>
      <w:pPr>
        <w:spacing w:after="0" w:line="3" w:lineRule="exact"/>
        <w:rPr>
          <w:rFonts w:ascii="Arial" w:cs="Arial" w:eastAsia="Arial" w:hAnsi="Arial"/>
          <w:sz w:val="22"/>
          <w:szCs w:val="22"/>
          <w:color w:val="auto"/>
        </w:rPr>
      </w:pPr>
    </w:p>
    <w:p>
      <w:pPr>
        <w:ind w:left="1620" w:right="440" w:hanging="964"/>
        <w:spacing w:after="0" w:line="249" w:lineRule="auto"/>
        <w:tabs>
          <w:tab w:leader="none" w:pos="972"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second pivotal study of dupilumab in patients with uncontrolled persistent asthma continues to enroll patients.</w:t>
      </w:r>
    </w:p>
    <w:p>
      <w:pPr>
        <w:spacing w:after="0" w:line="245" w:lineRule="exact"/>
        <w:rPr>
          <w:sz w:val="20"/>
          <w:szCs w:val="20"/>
          <w:color w:val="auto"/>
        </w:rPr>
      </w:pPr>
    </w:p>
    <w:p>
      <w:pPr>
        <w:ind w:left="340" w:right="260"/>
        <w:spacing w:after="0" w:line="261" w:lineRule="auto"/>
        <w:rPr>
          <w:sz w:val="20"/>
          <w:szCs w:val="20"/>
          <w:color w:val="auto"/>
        </w:rPr>
      </w:pPr>
      <w:r>
        <w:rPr>
          <w:rFonts w:ascii="Arial" w:cs="Arial" w:eastAsia="Arial" w:hAnsi="Arial"/>
          <w:sz w:val="21"/>
          <w:szCs w:val="21"/>
          <w:u w:val="single" w:color="auto"/>
          <w:color w:val="auto"/>
        </w:rPr>
        <w:t>Fasinumab</w:t>
      </w:r>
      <w:r>
        <w:rPr>
          <w:rFonts w:ascii="Arial" w:cs="Arial" w:eastAsia="Arial" w:hAnsi="Arial"/>
          <w:sz w:val="21"/>
          <w:szCs w:val="21"/>
          <w:color w:val="auto"/>
        </w:rPr>
        <w:t>, an antibody targeting Nerve Growth Factor (NGF), entered Phase 2b/3 clinical development (sixteen-week study) for pain due to osteoarthritis in the second quarter of 2015. In September 2015, the Company and Mitsubishi Tanabe Pharma Corporation (MTPC) entered into a strategic collaboration providing MTPC with exclusive development and commercial rights to fasinumab in Japan and certain other countries in Asia.</w:t>
      </w:r>
    </w:p>
    <w:p>
      <w:pPr>
        <w:spacing w:after="0" w:line="233" w:lineRule="exact"/>
        <w:rPr>
          <w:sz w:val="20"/>
          <w:szCs w:val="20"/>
          <w:color w:val="auto"/>
        </w:rPr>
      </w:pPr>
    </w:p>
    <w:p>
      <w:pPr>
        <w:ind w:left="340" w:right="60"/>
        <w:spacing w:after="0" w:line="249" w:lineRule="auto"/>
        <w:rPr>
          <w:sz w:val="20"/>
          <w:szCs w:val="20"/>
          <w:color w:val="auto"/>
        </w:rPr>
      </w:pPr>
      <w:r>
        <w:rPr>
          <w:rFonts w:ascii="Arial" w:cs="Arial" w:eastAsia="Arial" w:hAnsi="Arial"/>
          <w:sz w:val="22"/>
          <w:szCs w:val="22"/>
          <w:u w:val="single" w:color="auto"/>
          <w:color w:val="auto"/>
        </w:rPr>
        <w:t>REGN2222</w:t>
      </w:r>
      <w:r>
        <w:rPr>
          <w:rFonts w:ascii="Arial" w:cs="Arial" w:eastAsia="Arial" w:hAnsi="Arial"/>
          <w:sz w:val="22"/>
          <w:szCs w:val="22"/>
          <w:color w:val="auto"/>
        </w:rPr>
        <w:t>, an antibody targeting the respiratory syncytial virus (RSV), entered Phase 3 clinical development in the third quarter of 2015.</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Third Quarter 2015 Financial Results</w:t>
      </w:r>
    </w:p>
    <w:p>
      <w:pPr>
        <w:spacing w:after="0" w:line="260" w:lineRule="exact"/>
        <w:rPr>
          <w:sz w:val="20"/>
          <w:szCs w:val="20"/>
          <w:color w:val="auto"/>
        </w:rPr>
      </w:pPr>
    </w:p>
    <w:p>
      <w:pPr>
        <w:ind w:right="240"/>
        <w:spacing w:after="0" w:line="258"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$738 million in the third quarter of 2015, compared to $449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quarter of 2014. EYLEA net product sales in the United States were $734 million in the third quarter of 2015, compared to $445 million in the third quarter of 2014.</w:t>
      </w:r>
    </w:p>
    <w:p>
      <w:pPr>
        <w:spacing w:after="0" w:line="211" w:lineRule="exact"/>
        <w:rPr>
          <w:sz w:val="20"/>
          <w:szCs w:val="20"/>
          <w:color w:val="auto"/>
        </w:rPr>
      </w:pPr>
    </w:p>
    <w:p>
      <w:pPr>
        <w:spacing w:after="0" w:line="248"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57% to $1,137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third quarter of 2015, compared to $726 million in the third quarter of 2014. Total revenues also include collaboration revenues of $382 million in the third quarter of 2015, compared to $269 million in the third quarter of 2014. Collaboration revenues in the third quarter of 2015 increased primarily due to higher reimbursement of the Company's research and development expenses under its antibody collaboration with Sanofi and an increase in the Company's net profit from commercialization of EYLEA outside the United States. Refer to Table 4 for a summary of collaboration revenue.</w:t>
      </w:r>
    </w:p>
    <w:p>
      <w:pPr>
        <w:spacing w:after="0" w:line="223"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$426 million in the third quarter of 2015,</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$338 million in the third quarter of 2014. The higher R&amp;D expenses in the third quarter of 2015 were principally due to higher development costs related to dupilumab and higher headcount to support the Company's increased R&amp;D activities. In addition, in the third quarter of 2015, R&amp;D-related non-cash share-based compensation expense was $64 million, compared to $46 million in the third quarter of 2014.</w:t>
      </w:r>
    </w:p>
    <w:p>
      <w:pPr>
        <w:spacing w:after="0" w:line="217"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$210 million in the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2015, compared to $144 million in the third quarter of 2014. The increase in SG&amp;A expenses was primarily due to higher headcount and headcount-related costs and higher commercialization expenses related to Praluent. These increases were partly offset by a third quarter 2014 incremental charge related to the Branded Prescription Drug Fee, based on final regulations issued by the Internal Revenue Service (IRS) in July 2014. In addition, in the third quarter of 2015, SG&amp;A-related non-cash share-based compensation expense was $36 million, compared to $21 million in the third quarter of 2014.</w:t>
      </w:r>
    </w:p>
    <w:p>
      <w:pPr>
        <w:spacing w:after="0" w:line="223" w:lineRule="exact"/>
        <w:rPr>
          <w:sz w:val="20"/>
          <w:szCs w:val="20"/>
          <w:color w:val="auto"/>
        </w:rPr>
      </w:pPr>
    </w:p>
    <w:p>
      <w:pPr>
        <w:ind w:right="360"/>
        <w:spacing w:after="0" w:line="258"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$67 million in the third quarter of 2015, compared to $34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third quarter of 2014. COGS primarily consists of royalties as well as costs in connection with producing U.S. EYLEA commercial supplies, and various start-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06" w:right="239" w:bottom="1440" w:gutter="0" w:footer="0" w:header="0"/>
        </w:sectPr>
      </w:pPr>
    </w:p>
    <w:bookmarkStart w:id="7" w:name="page8"/>
    <w:bookmarkEnd w:id="7"/>
    <w:p>
      <w:pPr>
        <w:ind w:right="620"/>
        <w:spacing w:after="0" w:line="249" w:lineRule="auto"/>
        <w:rPr>
          <w:sz w:val="20"/>
          <w:szCs w:val="20"/>
          <w:color w:val="auto"/>
        </w:rPr>
      </w:pPr>
      <w:r>
        <w:rPr>
          <w:rFonts w:ascii="Arial" w:cs="Arial" w:eastAsia="Arial" w:hAnsi="Arial"/>
          <w:sz w:val="22"/>
          <w:szCs w:val="22"/>
          <w:color w:val="auto"/>
        </w:rPr>
        <w:t>up costs in connection with the Company's Limerick, Ireland commercial manufacturing facility. COGS increased principally due to the increase in U.S. EYLEA net product sales.</w:t>
      </w:r>
    </w:p>
    <w:p>
      <w:pPr>
        <w:spacing w:after="0" w:line="219" w:lineRule="exact"/>
        <w:rPr>
          <w:sz w:val="20"/>
          <w:szCs w:val="20"/>
          <w:color w:val="auto"/>
        </w:rPr>
      </w:pPr>
    </w:p>
    <w:p>
      <w:pPr>
        <w:ind w:right="200"/>
        <w:spacing w:after="0" w:line="258"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GAAP income tax expense was $183 million in the third quarter of 2015, compared to $98</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in the third quarter of 2014. The effective tax rate was 46.5% for the third quarter of 2015, compared to 54.1% for the third quarter of 2014.</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22"/>
          <w:szCs w:val="22"/>
          <w:b w:val="1"/>
          <w:bCs w:val="1"/>
          <w:color w:val="auto"/>
        </w:rPr>
        <w:t xml:space="preserve">Non-GAAP and GAAP Net Income: </w:t>
      </w:r>
      <w:r>
        <w:rPr>
          <w:rFonts w:ascii="Arial" w:cs="Arial" w:eastAsia="Arial" w:hAnsi="Arial"/>
          <w:sz w:val="22"/>
          <w:szCs w:val="22"/>
          <w:color w:val="auto"/>
        </w:rPr>
        <w:t>The Company reported non-GAAP net income of $403 million, or $3.90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$3.47 per diluted share, in the third quarter of 2015, compared to non-GAAP net income of $295 million, or $2.93 per basic share and $2.52 per diluted share, in the third quarter of 2014.</w:t>
      </w:r>
    </w:p>
    <w:p>
      <w:pPr>
        <w:spacing w:after="0" w:line="237"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The Company reported GAAP net income of $210 million, or $2.04 per basic share and $1.82 per diluted share, in the third quarter of 2015, compared to GAAP net income of $83 million, or $0.83 per basic share and $0.73 per diluted share, in the third quarter of 2014.</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2015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2015 financial guidance consists of the following components:</w:t>
      </w:r>
    </w:p>
    <w:p>
      <w:pPr>
        <w:spacing w:after="0" w:line="112" w:lineRule="exact"/>
        <w:rPr>
          <w:sz w:val="20"/>
          <w:szCs w:val="20"/>
          <w:color w:val="auto"/>
        </w:rPr>
      </w:pPr>
    </w:p>
    <w:tbl>
      <w:tblPr>
        <w:tblLayout w:type="fixed"/>
        <w:tblInd w:w="810" w:type="dxa"/>
        <w:tblCellMar>
          <w:top w:w="0" w:type="dxa"/>
          <w:left w:w="0" w:type="dxa"/>
          <w:bottom w:w="0" w:type="dxa"/>
          <w:right w:w="0" w:type="dxa"/>
        </w:tblCellMar>
      </w:tblPr>
      <w:tr>
        <w:trPr>
          <w:trHeight w:val="253"/>
        </w:trPr>
        <w:tc>
          <w:tcPr>
            <w:tcW w:w="4380" w:type="dxa"/>
            <w:vAlign w:val="bottom"/>
            <w:tcBorders>
              <w:top w:val="single" w:sz="8" w:color="auto"/>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560" w:type="dxa"/>
            <w:vAlign w:val="bottom"/>
            <w:tcBorders>
              <w:top w:val="single" w:sz="8" w:color="auto"/>
              <w:right w:val="single" w:sz="8" w:color="auto"/>
            </w:tcBorders>
            <w:shd w:val="clear" w:color="auto" w:fill="CCEEFF"/>
          </w:tcPr>
          <w:p>
            <w:pPr>
              <w:spacing w:after="0"/>
              <w:rPr>
                <w:sz w:val="22"/>
                <w:szCs w:val="22"/>
                <w:color w:val="auto"/>
              </w:rPr>
            </w:pPr>
          </w:p>
        </w:tc>
        <w:tc>
          <w:tcPr>
            <w:tcW w:w="49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50% - 55% growth over 2014</w:t>
            </w:r>
          </w:p>
        </w:tc>
      </w:tr>
      <w:tr>
        <w:trPr>
          <w:trHeight w:val="278"/>
        </w:trPr>
        <w:tc>
          <w:tcPr>
            <w:tcW w:w="4380" w:type="dxa"/>
            <w:vAlign w:val="bottom"/>
            <w:tcBorders>
              <w:left w:val="single" w:sz="8" w:color="auto"/>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auto"/>
            </w:tcBorders>
            <w:shd w:val="clear" w:color="auto" w:fill="CCEEFF"/>
          </w:tcPr>
          <w:p>
            <w:pPr>
              <w:spacing w:after="0"/>
              <w:rPr>
                <w:sz w:val="23"/>
                <w:szCs w:val="23"/>
                <w:color w:val="auto"/>
              </w:rPr>
            </w:pPr>
          </w:p>
        </w:tc>
        <w:tc>
          <w:tcPr>
            <w:tcW w:w="4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45% - 50% growth over 2014)</w:t>
            </w:r>
          </w:p>
        </w:tc>
      </w:tr>
      <w:tr>
        <w:trPr>
          <w:trHeight w:val="233"/>
        </w:trPr>
        <w:tc>
          <w:tcPr>
            <w:tcW w:w="4380" w:type="dxa"/>
            <w:vAlign w:val="bottom"/>
            <w:tcBorders>
              <w:top w:val="single" w:sz="8" w:color="auto"/>
              <w:left w:val="single" w:sz="8" w:color="auto"/>
            </w:tcBorders>
          </w:tcPr>
          <w:p>
            <w:pPr>
              <w:ind w:left="40"/>
              <w:spacing w:after="0" w:line="233" w:lineRule="exact"/>
              <w:rPr>
                <w:sz w:val="20"/>
                <w:szCs w:val="20"/>
                <w:color w:val="auto"/>
              </w:rPr>
            </w:pPr>
            <w:r>
              <w:rPr>
                <w:rFonts w:ascii="Arial" w:cs="Arial" w:eastAsia="Arial" w:hAnsi="Arial"/>
                <w:sz w:val="20"/>
                <w:szCs w:val="20"/>
                <w:color w:val="auto"/>
              </w:rPr>
              <w:t xml:space="preserve">Non-GAAP unreimbursed R&amp;D </w:t>
            </w:r>
            <w:r>
              <w:rPr>
                <w:rFonts w:ascii="Arial" w:cs="Arial" w:eastAsia="Arial" w:hAnsi="Arial"/>
                <w:sz w:val="25"/>
                <w:szCs w:val="25"/>
                <w:color w:val="auto"/>
                <w:vertAlign w:val="superscript"/>
              </w:rPr>
              <w:t>(2)</w:t>
            </w:r>
          </w:p>
        </w:tc>
        <w:tc>
          <w:tcPr>
            <w:tcW w:w="560" w:type="dxa"/>
            <w:vAlign w:val="bottom"/>
            <w:tcBorders>
              <w:top w:val="single" w:sz="8" w:color="auto"/>
              <w:right w:val="single" w:sz="8" w:color="auto"/>
            </w:tcBorders>
          </w:tcPr>
          <w:p>
            <w:pPr>
              <w:spacing w:after="0"/>
              <w:rPr>
                <w:sz w:val="20"/>
                <w:szCs w:val="20"/>
                <w:color w:val="auto"/>
              </w:rPr>
            </w:pPr>
          </w:p>
        </w:tc>
        <w:tc>
          <w:tcPr>
            <w:tcW w:w="4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$540 million - $560 million</w:t>
            </w:r>
          </w:p>
        </w:tc>
      </w:tr>
      <w:tr>
        <w:trPr>
          <w:trHeight w:val="250"/>
        </w:trPr>
        <w:tc>
          <w:tcPr>
            <w:tcW w:w="438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$510 million - $550 million)</w:t>
            </w:r>
          </w:p>
        </w:tc>
      </w:tr>
      <w:tr>
        <w:trPr>
          <w:trHeight w:val="23"/>
        </w:trPr>
        <w:tc>
          <w:tcPr>
            <w:tcW w:w="43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tcBorders>
            <w:shd w:val="clear" w:color="auto" w:fill="CCEEFF"/>
          </w:tcPr>
          <w:p>
            <w:pPr>
              <w:ind w:left="40"/>
              <w:spacing w:after="0" w:line="233" w:lineRule="exact"/>
              <w:rPr>
                <w:sz w:val="20"/>
                <w:szCs w:val="20"/>
                <w:color w:val="auto"/>
              </w:rPr>
            </w:pPr>
            <w:r>
              <w:rPr>
                <w:rFonts w:ascii="Arial" w:cs="Arial" w:eastAsia="Arial" w:hAnsi="Arial"/>
                <w:sz w:val="20"/>
                <w:szCs w:val="20"/>
                <w:color w:val="auto"/>
              </w:rPr>
              <w:t xml:space="preserve">Non-GAAP SG&amp;A </w:t>
            </w:r>
            <w:r>
              <w:rPr>
                <w:rFonts w:ascii="Arial" w:cs="Arial" w:eastAsia="Arial" w:hAnsi="Arial"/>
                <w:sz w:val="25"/>
                <w:szCs w:val="25"/>
                <w:color w:val="auto"/>
                <w:vertAlign w:val="superscript"/>
              </w:rPr>
              <w:t>(2)</w:t>
            </w:r>
          </w:p>
        </w:tc>
        <w:tc>
          <w:tcPr>
            <w:tcW w:w="560" w:type="dxa"/>
            <w:vAlign w:val="bottom"/>
            <w:tcBorders>
              <w:right w:val="single" w:sz="8" w:color="auto"/>
            </w:tcBorders>
            <w:shd w:val="clear" w:color="auto" w:fill="CCEEFF"/>
          </w:tcPr>
          <w:p>
            <w:pPr>
              <w:spacing w:after="0"/>
              <w:rPr>
                <w:sz w:val="20"/>
                <w:szCs w:val="20"/>
                <w:color w:val="auto"/>
              </w:rPr>
            </w:pPr>
          </w:p>
        </w:tc>
        <w:tc>
          <w:tcPr>
            <w:tcW w:w="49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$630 million - $650 million</w:t>
            </w:r>
          </w:p>
        </w:tc>
      </w:tr>
      <w:tr>
        <w:trPr>
          <w:trHeight w:val="278"/>
        </w:trPr>
        <w:tc>
          <w:tcPr>
            <w:tcW w:w="4380" w:type="dxa"/>
            <w:vAlign w:val="bottom"/>
            <w:tcBorders>
              <w:left w:val="single" w:sz="8" w:color="auto"/>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auto"/>
            </w:tcBorders>
            <w:shd w:val="clear" w:color="auto" w:fill="CCEEFF"/>
          </w:tcPr>
          <w:p>
            <w:pPr>
              <w:spacing w:after="0"/>
              <w:rPr>
                <w:sz w:val="23"/>
                <w:szCs w:val="23"/>
                <w:color w:val="auto"/>
              </w:rPr>
            </w:pPr>
          </w:p>
        </w:tc>
        <w:tc>
          <w:tcPr>
            <w:tcW w:w="4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$610 million - $650 million)</w:t>
            </w:r>
          </w:p>
        </w:tc>
      </w:tr>
      <w:tr>
        <w:trPr>
          <w:trHeight w:val="233"/>
        </w:trPr>
        <w:tc>
          <w:tcPr>
            <w:tcW w:w="4380" w:type="dxa"/>
            <w:vAlign w:val="bottom"/>
            <w:tcBorders>
              <w:top w:val="single" w:sz="8" w:color="auto"/>
              <w:left w:val="single" w:sz="8" w:color="auto"/>
            </w:tcBorders>
          </w:tcPr>
          <w:p>
            <w:pPr>
              <w:ind w:left="40"/>
              <w:spacing w:after="0" w:line="233" w:lineRule="exact"/>
              <w:rPr>
                <w:sz w:val="20"/>
                <w:szCs w:val="20"/>
                <w:color w:val="auto"/>
              </w:rPr>
            </w:pPr>
            <w:r>
              <w:rPr>
                <w:rFonts w:ascii="Arial" w:cs="Arial" w:eastAsia="Arial" w:hAnsi="Arial"/>
                <w:sz w:val="20"/>
                <w:szCs w:val="20"/>
                <w:color w:val="auto"/>
                <w:w w:val="99"/>
              </w:rPr>
              <w:t xml:space="preserve">Cash tax as a % of non-GAAP pre-tax income </w:t>
            </w:r>
            <w:r>
              <w:rPr>
                <w:rFonts w:ascii="Arial" w:cs="Arial" w:eastAsia="Arial" w:hAnsi="Arial"/>
                <w:sz w:val="25"/>
                <w:szCs w:val="25"/>
                <w:color w:val="auto"/>
                <w:w w:val="99"/>
                <w:vertAlign w:val="superscript"/>
              </w:rPr>
              <w:t>(2)</w:t>
            </w:r>
          </w:p>
        </w:tc>
        <w:tc>
          <w:tcPr>
            <w:tcW w:w="560" w:type="dxa"/>
            <w:vAlign w:val="bottom"/>
            <w:tcBorders>
              <w:top w:val="single" w:sz="8" w:color="auto"/>
              <w:right w:val="single" w:sz="8" w:color="auto"/>
            </w:tcBorders>
          </w:tcPr>
          <w:p>
            <w:pPr>
              <w:spacing w:after="0"/>
              <w:rPr>
                <w:sz w:val="20"/>
                <w:szCs w:val="20"/>
                <w:color w:val="auto"/>
              </w:rPr>
            </w:pPr>
          </w:p>
        </w:tc>
        <w:tc>
          <w:tcPr>
            <w:tcW w:w="4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16% - 20%</w:t>
            </w:r>
          </w:p>
        </w:tc>
      </w:tr>
      <w:tr>
        <w:trPr>
          <w:trHeight w:val="250"/>
        </w:trPr>
        <w:tc>
          <w:tcPr>
            <w:tcW w:w="438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15% - 22%)</w:t>
            </w:r>
          </w:p>
        </w:tc>
      </w:tr>
      <w:tr>
        <w:trPr>
          <w:trHeight w:val="23"/>
        </w:trPr>
        <w:tc>
          <w:tcPr>
            <w:tcW w:w="43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r>
      <w:tr>
        <w:trPr>
          <w:trHeight w:val="233"/>
        </w:trPr>
        <w:tc>
          <w:tcPr>
            <w:tcW w:w="43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Capital expenditures</w:t>
            </w:r>
          </w:p>
        </w:tc>
        <w:tc>
          <w:tcPr>
            <w:tcW w:w="560" w:type="dxa"/>
            <w:vAlign w:val="bottom"/>
            <w:tcBorders>
              <w:right w:val="single" w:sz="8" w:color="auto"/>
            </w:tcBorders>
            <w:shd w:val="clear" w:color="auto" w:fill="CCEEFF"/>
          </w:tcPr>
          <w:p>
            <w:pPr>
              <w:spacing w:after="0"/>
              <w:rPr>
                <w:sz w:val="20"/>
                <w:szCs w:val="20"/>
                <w:color w:val="auto"/>
              </w:rPr>
            </w:pPr>
          </w:p>
        </w:tc>
        <w:tc>
          <w:tcPr>
            <w:tcW w:w="49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$625 million - $675 million</w:t>
            </w:r>
          </w:p>
        </w:tc>
      </w:tr>
      <w:tr>
        <w:trPr>
          <w:trHeight w:val="278"/>
        </w:trPr>
        <w:tc>
          <w:tcPr>
            <w:tcW w:w="4380" w:type="dxa"/>
            <w:vAlign w:val="bottom"/>
            <w:tcBorders>
              <w:left w:val="single" w:sz="8" w:color="auto"/>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auto"/>
            </w:tcBorders>
            <w:shd w:val="clear" w:color="auto" w:fill="CCEEFF"/>
          </w:tcPr>
          <w:p>
            <w:pPr>
              <w:spacing w:after="0"/>
              <w:rPr>
                <w:sz w:val="23"/>
                <w:szCs w:val="23"/>
                <w:color w:val="auto"/>
              </w:rPr>
            </w:pPr>
          </w:p>
        </w:tc>
        <w:tc>
          <w:tcPr>
            <w:tcW w:w="4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$675 million - $750 million)</w:t>
            </w:r>
          </w:p>
        </w:tc>
      </w:tr>
      <w:tr>
        <w:trPr>
          <w:trHeight w:val="885"/>
        </w:trPr>
        <w:tc>
          <w:tcPr>
            <w:tcW w:w="4380" w:type="dxa"/>
            <w:vAlign w:val="bottom"/>
            <w:tcBorders>
              <w:top w:val="single" w:sz="8" w:color="auto"/>
            </w:tcBorders>
          </w:tcPr>
          <w:p>
            <w:pPr>
              <w:spacing w:after="0"/>
              <w:rPr>
                <w:sz w:val="24"/>
                <w:szCs w:val="24"/>
                <w:color w:val="auto"/>
              </w:rPr>
            </w:pPr>
          </w:p>
        </w:tc>
        <w:tc>
          <w:tcPr>
            <w:tcW w:w="5460" w:type="dxa"/>
            <w:vAlign w:val="bottom"/>
            <w:tcBorders>
              <w:top w:val="single" w:sz="8" w:color="auto"/>
            </w:tcBorders>
            <w:gridSpan w:val="2"/>
          </w:tcPr>
          <w:p>
            <w:pPr>
              <w:jc w:val="right"/>
              <w:ind w:right="4781"/>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40"/>
          </w:cols>
          <w:pgMar w:left="240" w:top="606" w:right="319" w:bottom="1440" w:gutter="0" w:footer="0" w:header="0"/>
        </w:sectPr>
      </w:pPr>
    </w:p>
    <w:bookmarkStart w:id="8" w:name="page9"/>
    <w:bookmarkEnd w:id="8"/>
    <w:p>
      <w:pPr>
        <w:ind w:left="345" w:right="240" w:hanging="345"/>
        <w:spacing w:after="0" w:line="225"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HealthCare in countries other than Japan and sales by Santen Pharmaceutical Co., Ltd. in Japan under a co-promotion agreement with an affiliate of Bayer HealthCare. The Company recognizes its share of the profits (including a percentage on sales in Japan) from EYLEA sales outside the United States within "Bayer HealthCare collaboration revenue" in its Statements of Operations.</w:t>
      </w:r>
    </w:p>
    <w:p>
      <w:pPr>
        <w:spacing w:after="0" w:line="156"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8"/>
        </w:numPr>
        <w:rPr>
          <w:rFonts w:ascii="Arial" w:cs="Arial" w:eastAsia="Arial" w:hAnsi="Arial"/>
          <w:sz w:val="21"/>
          <w:szCs w:val="21"/>
          <w:color w:val="auto"/>
          <w:vertAlign w:val="superscript"/>
        </w:rPr>
      </w:pPr>
      <w:r>
        <w:rPr>
          <w:rFonts w:ascii="Arial" w:cs="Arial" w:eastAsia="Arial" w:hAnsi="Arial"/>
          <w:sz w:val="19"/>
          <w:szCs w:val="19"/>
          <w:color w:val="auto"/>
        </w:rPr>
        <w:t>This press release uses non-GAAP net income, non-GAAP net income per share, non-GAAP unreimbursed R&amp;D, non-GAAP SG&amp;A, and cash tax as a percentage of non-GAAP pre-tax income, which are financial measures that are not calculated in accordance with U.S. Generally Accepted Accounting Principles ("GAAP"). The Company believes that the presentation of these non-GAAP measures is useful to investors because they exclude, as applicable: (i) non-cash share-based compensation expense, which fluctuates from period to period based on factors that are not within the Company's control, such as the Company's stock price on the dates share-based grants are issued; (ii) the incremental charge recorded in the third quarter of 2014 related to the issuance of the final IRS regulations that provide guidance on the annual fee imposed by the Patient Protection and Affordable Care Act (the final IRS regulations differed from the temporary regulations issued in 2011 which resulted in the recognition of a catch-up adjustment); (iii) non-cash interest expense related to the Company's convertible senior notes since this is not deemed useful in evaluating the Company's operating performance; (iv) loss on extinguishment of debt, since this non-cash charge is based on factors that are not within the Company's control; and (v) income tax expense for 2014, which was principally a non-cash expense due primarily to utilization of net operating loss and tax credit carry-forwards, and deductions related to employee stock option exercises. In 2015, income tax expense adjustments consider the tax effect of reconciling items and an adjustment from GAAP tax expense to the amount of taxes that are paid or payable in cash in respect of the current period. As there is a significant difference between the Company's effective tax rate and actual cash income taxes paid or payable, GAAP income tax expense is not deemed useful in evaluating the Company's operating performance. Non-GAAP unreimbursed R&amp;D represents non-GAAP R&amp;D expenses reduced by R&amp;D expense reimbursements from the Company's collaboration partners. 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310" w:lineRule="exact"/>
        <w:rPr>
          <w:rFonts w:ascii="Arial" w:cs="Arial" w:eastAsia="Arial" w:hAnsi="Arial"/>
          <w:sz w:val="21"/>
          <w:szCs w:val="21"/>
          <w:color w:val="auto"/>
          <w:vertAlign w:val="superscript"/>
        </w:rPr>
      </w:pPr>
    </w:p>
    <w:p>
      <w:pPr>
        <w:ind w:left="345" w:right="960" w:hanging="345"/>
        <w:spacing w:after="0" w:line="225"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20"/>
          <w:szCs w:val="20"/>
          <w:color w:val="auto"/>
        </w:rPr>
        <w:t>The Company's 2015 financial guidance does not assume the completion of any significant business development transactions not completed as of the date of this press release.</w:t>
      </w:r>
    </w:p>
    <w:p>
      <w:pPr>
        <w:spacing w:after="0" w:line="154" w:lineRule="exact"/>
        <w:rPr>
          <w:rFonts w:ascii="Arial" w:cs="Arial" w:eastAsia="Arial" w:hAnsi="Arial"/>
          <w:sz w:val="22"/>
          <w:szCs w:val="22"/>
          <w:color w:val="auto"/>
          <w:vertAlign w:val="superscript"/>
        </w:rPr>
      </w:pPr>
    </w:p>
    <w:p>
      <w:pPr>
        <w:ind w:left="345" w:right="40" w:hanging="345"/>
        <w:spacing w:after="0" w:line="225"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20"/>
          <w:szCs w:val="20"/>
          <w:color w:val="auto"/>
        </w:rPr>
        <w:t>Applicable amounts previously reported for the three months ended September 30, 2014 and as of December 31, 2014 have been revised to reflect certain revisions, including a correction to the Company's accounting for certain stock option awards. These revisions consisted entirely of non-cash adjustments and had no impact on the Company's previously reported non-GAAP financial measures, including non-GAAP net income and non-GAAP net income per share. Refer to the Company's Form 10-Q for the quarterly period ended September 30, 2015 (Notes 1 and 4 of the Notes to Condensed Consolidated Financial Statements) for further details.</w:t>
      </w:r>
    </w:p>
    <w:p>
      <w:pPr>
        <w:spacing w:after="0" w:line="84" w:lineRule="exact"/>
        <w:rPr>
          <w:sz w:val="20"/>
          <w:szCs w:val="20"/>
          <w:color w:val="auto"/>
        </w:rPr>
      </w:pPr>
    </w:p>
    <w:p>
      <w:pPr>
        <w:ind w:left="5"/>
        <w:spacing w:after="0"/>
        <w:rPr>
          <w:sz w:val="20"/>
          <w:szCs w:val="20"/>
          <w:color w:val="auto"/>
        </w:rPr>
      </w:pPr>
      <w:r>
        <w:rPr>
          <w:rFonts w:ascii="Arial" w:cs="Arial" w:eastAsia="Arial" w:hAnsi="Arial"/>
          <w:sz w:val="11"/>
          <w:szCs w:val="11"/>
          <w:color w:val="auto"/>
        </w:rPr>
        <w:t>(5)</w:t>
      </w:r>
    </w:p>
    <w:p>
      <w:pPr>
        <w:ind w:left="345" w:right="500"/>
        <w:spacing w:after="0" w:line="236" w:lineRule="auto"/>
        <w:rPr>
          <w:sz w:val="20"/>
          <w:szCs w:val="20"/>
          <w:color w:val="auto"/>
        </w:rPr>
      </w:pPr>
      <w:r>
        <w:rPr>
          <w:rFonts w:ascii="Arial" w:cs="Arial" w:eastAsia="Arial" w:hAnsi="Arial"/>
          <w:sz w:val="20"/>
          <w:szCs w:val="20"/>
          <w:color w:val="auto"/>
        </w:rPr>
        <w:t>In the fourth quarter of 2014, Sanofi provided notice to Regeneron that it had elected not to continue co-development of REGN2222 effective December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5"/>
          </w:cols>
          <w:pgMar w:left="275" w:top="77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520"/>
        <w:spacing w:after="0" w:line="255" w:lineRule="auto"/>
        <w:rPr>
          <w:sz w:val="20"/>
          <w:szCs w:val="20"/>
          <w:color w:val="auto"/>
        </w:rPr>
      </w:pPr>
      <w:r>
        <w:rPr>
          <w:rFonts w:ascii="Arial" w:cs="Arial" w:eastAsia="Arial" w:hAnsi="Arial"/>
          <w:sz w:val="21"/>
          <w:szCs w:val="21"/>
          <w:color w:val="auto"/>
        </w:rPr>
        <w:t>Regeneron will host a conference call and simultaneous webcast to discuss its third quarter 2015 financial and operating results on Wednesday, November 4, 2015, at 8:30 AM. To access this call, dial (888) 660-6127 (U.S.) or</w:t>
      </w:r>
    </w:p>
    <w:p>
      <w:pPr>
        <w:ind w:right="360" w:firstLine="8"/>
        <w:spacing w:after="0" w:line="246" w:lineRule="auto"/>
        <w:tabs>
          <w:tab w:leader="none" w:pos="564"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890-8355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commercializes medicines for high LDL-cholesterol, eye diseases, and a rare inflammatory condition and has product candidates in development in other areas of high unmet medical need, including oncology, rheumatoid arthritis, asthma, atopic dermatitis, pain, and infectious diseases.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 xml:space="preserve"> or follow @Regeneron on Twitter.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Praluent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(alirocumab) Injection, sarilumab, dupilumab, fasinumab and REGN2222; ongoing regulatory obligations and oversight impacting Regeneron’s marketed products (such as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and Praluent),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10" w:name="page11"/>
    <w:bookmarkEnd w:id="10"/>
    <w:p>
      <w:pPr>
        <w:spacing w:after="0" w:line="244" w:lineRule="auto"/>
        <w:rPr>
          <w:sz w:val="20"/>
          <w:szCs w:val="20"/>
          <w:color w:val="auto"/>
        </w:rPr>
      </w:pPr>
      <w:r>
        <w:rPr>
          <w:rFonts w:ascii="Arial" w:cs="Arial" w:eastAsia="Arial" w:hAnsi="Arial"/>
          <w:sz w:val="22"/>
          <w:szCs w:val="22"/>
          <w:color w:val="auto"/>
        </w:rPr>
        <w:t>assumptions underlying those projections or guidance, including without limitation those relating to EYLEA U.S. net product sales, non-GAAP unreimbursed R&amp;D, non-GAAP SG&amp;A, cash tax as a percentage of non-GAAP pre-tax income, and capital expenditures; the potential for any license or collaboration agreement, including Regeneron’s agreements with Sanofi and Bayer HealthCare LLC, to be cancelled or terminated without any further product success; and risks associated with intellectual property of other parties and pending or future litigation relating thereto. A more complete description of these and other material risks can be found in Regeneron’s filings with the U.S. Securities and Exchange Commission, including its Form 10-K for the fiscal year ended December 31, 2014 and its Form 10-Q for the quarterly period ended September 30, 2015.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50" w:lineRule="exact"/>
        <w:rPr>
          <w:sz w:val="20"/>
          <w:szCs w:val="20"/>
          <w:color w:val="auto"/>
        </w:rPr>
      </w:pPr>
    </w:p>
    <w:p>
      <w:pPr>
        <w:ind w:right="26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w:t>
      </w:r>
      <w:r>
        <w:rPr>
          <w:rFonts w:ascii="Arial" w:cs="Arial" w:eastAsia="Arial" w:hAnsi="Arial"/>
          <w:sz w:val="22"/>
          <w:szCs w:val="22"/>
          <w:u w:val="single" w:color="auto"/>
          <w:color w:val="0000FF"/>
        </w:rPr>
        <w:t>http://newsroom.regeneron.com</w:t>
      </w:r>
      <w:r>
        <w:rPr>
          <w:rFonts w:ascii="Arial" w:cs="Arial" w:eastAsia="Arial" w:hAnsi="Arial"/>
          <w:sz w:val="22"/>
          <w:szCs w:val="22"/>
          <w:color w:val="auto"/>
        </w:rPr>
        <w:t>) and its Twitter feed (</w:t>
      </w:r>
      <w:r>
        <w:rPr>
          <w:rFonts w:ascii="Arial" w:cs="Arial" w:eastAsia="Arial" w:hAnsi="Arial"/>
          <w:sz w:val="22"/>
          <w:szCs w:val="22"/>
          <w:u w:val="single" w:color="auto"/>
          <w:color w:val="0000FF"/>
        </w:rPr>
        <w:t>http://twitter.com/regeneron</w:t>
      </w:r>
      <w:r>
        <w:rPr>
          <w:rFonts w:ascii="Arial" w:cs="Arial" w:eastAsia="Arial" w:hAnsi="Arial"/>
          <w:sz w:val="22"/>
          <w:szCs w:val="22"/>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340"/>
          </w:cols>
          <w:pgMar w:left="240" w:top="606" w:right="31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340"/>
          </w:cols>
          <w:pgMar w:left="240" w:top="606"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340"/>
          </w:cols>
          <w:pgMar w:left="240" w:top="606"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340"/>
          </w:cols>
          <w:pgMar w:left="240" w:top="606" w:right="31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340"/>
          </w:cols>
          <w:pgMar w:left="240" w:top="60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40"/>
          </w:cols>
          <w:pgMar w:left="240" w:top="606" w:right="31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30"/>
        </w:trPr>
        <w:tc>
          <w:tcPr>
            <w:tcW w:w="60" w:type="dxa"/>
            <w:vAlign w:val="bottom"/>
          </w:tcPr>
          <w:p>
            <w:pPr>
              <w:spacing w:after="0"/>
              <w:rPr>
                <w:sz w:val="24"/>
                <w:szCs w:val="24"/>
                <w:color w:val="auto"/>
              </w:rPr>
            </w:pPr>
          </w:p>
        </w:tc>
        <w:tc>
          <w:tcPr>
            <w:tcW w:w="8060" w:type="dxa"/>
            <w:vAlign w:val="bottom"/>
          </w:tcPr>
          <w:p>
            <w:pPr>
              <w:jc w:val="center"/>
              <w:ind w:left="3150"/>
              <w:spacing w:after="0"/>
              <w:rPr>
                <w:sz w:val="20"/>
                <w:szCs w:val="20"/>
                <w:color w:val="auto"/>
              </w:rPr>
            </w:pPr>
            <w:r>
              <w:rPr>
                <w:rFonts w:ascii="Arial" w:cs="Arial" w:eastAsia="Arial" w:hAnsi="Arial"/>
                <w:sz w:val="18"/>
                <w:szCs w:val="18"/>
                <w:b w:val="1"/>
                <w:bCs w:val="1"/>
                <w:color w:val="auto"/>
              </w:rPr>
              <w:t>REGENERON PHARMACEUTICALS, INC.</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9740" w:type="dxa"/>
            <w:vAlign w:val="bottom"/>
            <w:gridSpan w:val="4"/>
          </w:tcPr>
          <w:p>
            <w:pPr>
              <w:jc w:val="center"/>
              <w:ind w:left="147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8060" w:type="dxa"/>
            <w:vAlign w:val="bottom"/>
          </w:tcPr>
          <w:p>
            <w:pPr>
              <w:jc w:val="center"/>
              <w:ind w:left="3150"/>
              <w:spacing w:after="0"/>
              <w:rPr>
                <w:sz w:val="20"/>
                <w:szCs w:val="20"/>
                <w:color w:val="auto"/>
              </w:rPr>
            </w:pPr>
            <w:r>
              <w:rPr>
                <w:rFonts w:ascii="Arial" w:cs="Arial" w:eastAsia="Arial" w:hAnsi="Arial"/>
                <w:sz w:val="18"/>
                <w:szCs w:val="18"/>
                <w:b w:val="1"/>
                <w:bCs w:val="1"/>
                <w:i w:val="1"/>
                <w:iCs w:val="1"/>
                <w:color w:val="auto"/>
                <w:w w:val="88"/>
              </w:rPr>
              <w:t>(In thousands)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94"/>
        </w:trPr>
        <w:tc>
          <w:tcPr>
            <w:tcW w:w="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97"/>
        </w:trPr>
        <w:tc>
          <w:tcPr>
            <w:tcW w:w="60" w:type="dxa"/>
            <w:vAlign w:val="bottom"/>
          </w:tcPr>
          <w:p>
            <w:pPr>
              <w:spacing w:after="0"/>
              <w:rPr>
                <w:sz w:val="24"/>
                <w:szCs w:val="24"/>
                <w:color w:val="auto"/>
              </w:rPr>
            </w:pPr>
          </w:p>
        </w:tc>
        <w:tc>
          <w:tcPr>
            <w:tcW w:w="80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r>
              <w:rPr>
                <w:rFonts w:ascii="Arial" w:cs="Arial" w:eastAsia="Arial" w:hAnsi="Arial"/>
                <w:sz w:val="25"/>
                <w:szCs w:val="25"/>
                <w:b w:val="1"/>
                <w:bCs w:val="1"/>
                <w:color w:val="auto"/>
                <w:vertAlign w:val="superscript"/>
              </w:rPr>
              <w:t>*</w:t>
            </w:r>
          </w:p>
        </w:tc>
      </w:tr>
      <w:tr>
        <w:trPr>
          <w:trHeight w:val="244"/>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Cash and marketable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1,576,968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1,360,634</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 trade,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1,088,207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739,379</w:t>
            </w: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Accounts receivable from Sanofi and Bayer HealthCare</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351,108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236,993</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128,861</w:t>
            </w: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406,764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315,416</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1,475,123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974,309</w:t>
            </w: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94,077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82,080</w:t>
            </w:r>
          </w:p>
        </w:tc>
      </w:tr>
      <w:tr>
        <w:trPr>
          <w:trHeight w:val="27"/>
        </w:trPr>
        <w:tc>
          <w:tcPr>
            <w:tcW w:w="6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0" w:type="dxa"/>
            <w:vAlign w:val="bottom"/>
          </w:tcPr>
          <w:p>
            <w:pPr>
              <w:spacing w:after="0"/>
              <w:rPr>
                <w:sz w:val="22"/>
                <w:szCs w:val="22"/>
                <w:color w:val="auto"/>
              </w:rPr>
            </w:pPr>
          </w:p>
        </w:tc>
        <w:tc>
          <w:tcPr>
            <w:tcW w:w="8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5,182,915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3,837,672</w:t>
            </w:r>
          </w:p>
        </w:tc>
      </w:tr>
      <w:tr>
        <w:trPr>
          <w:trHeight w:val="20"/>
        </w:trPr>
        <w:tc>
          <w:tcPr>
            <w:tcW w:w="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656,170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619,083</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209,274</w:t>
            </w: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Facility lease obligations</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365,818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312,291</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Convertible senior notes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146,773</w:t>
            </w: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3,296,867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2,550,251</w:t>
            </w:r>
          </w:p>
        </w:tc>
      </w:tr>
      <w:tr>
        <w:trPr>
          <w:trHeight w:val="27"/>
        </w:trPr>
        <w:tc>
          <w:tcPr>
            <w:tcW w:w="6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0" w:type="dxa"/>
            <w:vAlign w:val="bottom"/>
          </w:tcPr>
          <w:p>
            <w:pPr>
              <w:spacing w:after="0"/>
              <w:rPr>
                <w:sz w:val="22"/>
                <w:szCs w:val="22"/>
                <w:color w:val="auto"/>
              </w:rPr>
            </w:pPr>
          </w:p>
        </w:tc>
        <w:tc>
          <w:tcPr>
            <w:tcW w:w="8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5,182,915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3,837,672</w:t>
            </w:r>
          </w:p>
        </w:tc>
      </w:tr>
      <w:tr>
        <w:trPr>
          <w:trHeight w:val="20"/>
        </w:trPr>
        <w:tc>
          <w:tcPr>
            <w:tcW w:w="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60" w:hanging="128"/>
        <w:spacing w:after="0"/>
        <w:tabs>
          <w:tab w:leader="none" w:pos="4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Certain revisions have been made to the previously reported December 31, 2014 amounts. See note (4) above.</w:t>
      </w:r>
    </w:p>
    <w:p>
      <w:pPr>
        <w:spacing w:after="0" w:line="200" w:lineRule="exact"/>
        <w:rPr>
          <w:rFonts w:ascii="Arial" w:cs="Arial" w:eastAsia="Arial" w:hAnsi="Arial"/>
          <w:sz w:val="16"/>
          <w:szCs w:val="16"/>
          <w:i w:val="1"/>
          <w:iCs w:val="1"/>
          <w:color w:val="auto"/>
        </w:rPr>
      </w:pPr>
    </w:p>
    <w:p>
      <w:pPr>
        <w:spacing w:after="0" w:line="232" w:lineRule="exact"/>
        <w:rPr>
          <w:rFonts w:ascii="Arial" w:cs="Arial" w:eastAsia="Arial" w:hAnsi="Arial"/>
          <w:sz w:val="16"/>
          <w:szCs w:val="16"/>
          <w:i w:val="1"/>
          <w:iCs w:val="1"/>
          <w:color w:val="auto"/>
        </w:rPr>
      </w:pPr>
    </w:p>
    <w:p>
      <w:pPr>
        <w:ind w:left="5660"/>
        <w:spacing w:after="0"/>
        <w:rPr>
          <w:rFonts w:ascii="Arial" w:cs="Arial" w:eastAsia="Arial" w:hAnsi="Arial"/>
          <w:sz w:val="16"/>
          <w:szCs w:val="16"/>
          <w:i w:val="1"/>
          <w:iCs w:val="1"/>
          <w:color w:val="auto"/>
        </w:rPr>
      </w:pPr>
      <w:r>
        <w:rPr>
          <w:rFonts w:ascii="Arial" w:cs="Arial" w:eastAsia="Arial" w:hAnsi="Arial"/>
          <w:sz w:val="18"/>
          <w:szCs w:val="18"/>
          <w:color w:val="auto"/>
        </w:rPr>
        <w:t>8</w:t>
      </w:r>
    </w:p>
    <w:p>
      <w:pPr>
        <w:sectPr>
          <w:pgSz w:w="11900" w:h="16838" w:orient="portrait"/>
          <w:cols w:equalWidth="0" w:num="1">
            <w:col w:w="11380"/>
          </w:cols>
          <w:pgMar w:left="240" w:top="584" w:right="2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TABLE 2</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630"/>
        </w:trPr>
        <w:tc>
          <w:tcPr>
            <w:tcW w:w="8580" w:type="dxa"/>
            <w:vAlign w:val="bottom"/>
            <w:gridSpan w:val="7"/>
          </w:tcPr>
          <w:p>
            <w:pPr>
              <w:jc w:val="center"/>
              <w:ind w:left="2750"/>
              <w:spacing w:after="0"/>
              <w:rPr>
                <w:sz w:val="20"/>
                <w:szCs w:val="20"/>
                <w:color w:val="auto"/>
              </w:rPr>
            </w:pPr>
            <w:r>
              <w:rPr>
                <w:rFonts w:ascii="Arial" w:cs="Arial" w:eastAsia="Arial" w:hAnsi="Arial"/>
                <w:sz w:val="18"/>
                <w:szCs w:val="18"/>
                <w:b w:val="1"/>
                <w:bCs w:val="1"/>
                <w:color w:val="auto"/>
              </w:rPr>
              <w:t>REGENERON PHARMACEUTICALS, INC.</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0"/>
        </w:trPr>
        <w:tc>
          <w:tcPr>
            <w:tcW w:w="9000" w:type="dxa"/>
            <w:vAlign w:val="bottom"/>
            <w:gridSpan w:val="8"/>
          </w:tcPr>
          <w:p>
            <w:pPr>
              <w:jc w:val="center"/>
              <w:ind w:left="235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300" w:type="dxa"/>
            <w:vAlign w:val="bottom"/>
            <w:gridSpan w:val="5"/>
          </w:tcPr>
          <w:p>
            <w:pPr>
              <w:jc w:val="center"/>
              <w:ind w:left="405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76"/>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24"/>
                <w:szCs w:val="24"/>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Pr>
          <w:p>
            <w:pPr>
              <w:spacing w:after="0"/>
              <w:rPr>
                <w:sz w:val="20"/>
                <w:szCs w:val="20"/>
                <w:color w:val="auto"/>
              </w:rPr>
            </w:pPr>
          </w:p>
        </w:tc>
        <w:tc>
          <w:tcPr>
            <w:tcW w:w="24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0"/>
              <w:spacing w:after="0" w:line="264" w:lineRule="exact"/>
              <w:rPr>
                <w:sz w:val="20"/>
                <w:szCs w:val="20"/>
                <w:color w:val="auto"/>
              </w:rPr>
            </w:pPr>
            <w:r>
              <w:rPr>
                <w:rFonts w:ascii="Arial" w:cs="Arial" w:eastAsia="Arial" w:hAnsi="Arial"/>
                <w:sz w:val="18"/>
                <w:szCs w:val="18"/>
                <w:b w:val="1"/>
                <w:bCs w:val="1"/>
                <w:color w:val="auto"/>
              </w:rPr>
              <w:t>2014</w:t>
            </w:r>
            <w:r>
              <w:rPr>
                <w:rFonts w:ascii="Arial" w:cs="Arial" w:eastAsia="Arial" w:hAnsi="Arial"/>
                <w:sz w:val="25"/>
                <w:szCs w:val="25"/>
                <w:b w:val="1"/>
                <w:bCs w:val="1"/>
                <w:color w:val="auto"/>
                <w:vertAlign w:val="superscript"/>
              </w:rPr>
              <w:t>*</w:t>
            </w: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rPr>
              <w:t>2014</w:t>
            </w:r>
            <w:r>
              <w:rPr>
                <w:rFonts w:ascii="Arial" w:cs="Arial" w:eastAsia="Arial" w:hAnsi="Arial"/>
                <w:sz w:val="25"/>
                <w:szCs w:val="25"/>
                <w:b w:val="1"/>
                <w:bCs w:val="1"/>
                <w:color w:val="auto"/>
                <w:vertAlign w:val="superscript"/>
              </w:rPr>
              <w:t>*</w:t>
            </w: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737,562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448,844</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1,939,954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1,229,244</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224,735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132,925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406,028</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Bayer HealthCare collaboration revenue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157,596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135,853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415,679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358,460</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licensing and other revenue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8,166</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23,496</w:t>
            </w:r>
          </w:p>
        </w:tc>
      </w:tr>
      <w:tr>
        <w:trPr>
          <w:trHeight w:val="237"/>
        </w:trPr>
        <w:tc>
          <w:tcPr>
            <w:tcW w:w="5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1,137,422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725,788</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3,005,651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2,017,228</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425,924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337,728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1,159,367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919,608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144,003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543,572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343,960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33,655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170,624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91,073</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collaboration and contract manufacturing (COCM)</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21,938</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54,471</w:t>
            </w:r>
          </w:p>
        </w:tc>
      </w:tr>
      <w:tr>
        <w:trPr>
          <w:trHeight w:val="237"/>
        </w:trPr>
        <w:tc>
          <w:tcPr>
            <w:tcW w:w="5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745,000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537,324</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1,984,817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1,409,112</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392,422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188,464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1,020,834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608,116</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and other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(31,022)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r>
      <w:tr>
        <w:trPr>
          <w:trHeight w:val="237"/>
        </w:trPr>
        <w:tc>
          <w:tcPr>
            <w:tcW w:w="5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(6,641)</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(36,604)</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393,289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181,823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997,808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571,512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(182,891)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(98,448)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(516,746)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(323,481)</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210,398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83,375</w:t>
            </w: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481,062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248,031</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324"/>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100,796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100,325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115,944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117,423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115,144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113,203</w:t>
            </w:r>
          </w:p>
        </w:tc>
      </w:tr>
    </w:tbl>
    <w:p>
      <w:pPr>
        <w:spacing w:after="0" w:line="233" w:lineRule="exact"/>
        <w:rPr>
          <w:sz w:val="20"/>
          <w:szCs w:val="20"/>
          <w:color w:val="auto"/>
        </w:rPr>
      </w:pPr>
    </w:p>
    <w:p>
      <w:pPr>
        <w:ind w:left="300" w:hanging="130"/>
        <w:spacing w:after="0"/>
        <w:tabs>
          <w:tab w:leader="none" w:pos="30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Certain revisions have been made to the previously reported amounts for the three and nine months ended September 30, 2014. See note (4) above.</w:t>
      </w: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75" w:lineRule="exact"/>
        <w:rPr>
          <w:rFonts w:ascii="Arial" w:cs="Arial" w:eastAsia="Arial" w:hAnsi="Arial"/>
          <w:sz w:val="16"/>
          <w:szCs w:val="16"/>
          <w:i w:val="1"/>
          <w:iCs w:val="1"/>
          <w:color w:val="auto"/>
        </w:rPr>
      </w:pPr>
    </w:p>
    <w:p>
      <w:pPr>
        <w:ind w:left="5660"/>
        <w:spacing w:after="0"/>
        <w:rPr>
          <w:rFonts w:ascii="Arial" w:cs="Arial" w:eastAsia="Arial" w:hAnsi="Arial"/>
          <w:sz w:val="16"/>
          <w:szCs w:val="16"/>
          <w:i w:val="1"/>
          <w:iCs w:val="1"/>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TABLE 3</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30"/>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0"/>
        </w:trPr>
        <w:tc>
          <w:tcPr>
            <w:tcW w:w="9940" w:type="dxa"/>
            <w:vAlign w:val="bottom"/>
            <w:gridSpan w:val="10"/>
          </w:tcPr>
          <w:p>
            <w:pPr>
              <w:jc w:val="center"/>
              <w:ind w:left="141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180" w:type="dxa"/>
            <w:vAlign w:val="bottom"/>
            <w:gridSpan w:val="5"/>
          </w:tcPr>
          <w:p>
            <w:pPr>
              <w:jc w:val="center"/>
              <w:ind w:left="41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76"/>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0"/>
              <w:spacing w:after="0" w:line="264" w:lineRule="exact"/>
              <w:rPr>
                <w:sz w:val="20"/>
                <w:szCs w:val="20"/>
                <w:color w:val="auto"/>
              </w:rPr>
            </w:pPr>
            <w:r>
              <w:rPr>
                <w:rFonts w:ascii="Arial" w:cs="Arial" w:eastAsia="Arial" w:hAnsi="Arial"/>
                <w:sz w:val="18"/>
                <w:szCs w:val="18"/>
                <w:b w:val="1"/>
                <w:bCs w:val="1"/>
                <w:color w:val="auto"/>
                <w:w w:val="90"/>
              </w:rPr>
              <w:t>2014</w:t>
            </w:r>
            <w:r>
              <w:rPr>
                <w:rFonts w:ascii="Arial" w:cs="Arial" w:eastAsia="Arial" w:hAnsi="Arial"/>
                <w:sz w:val="25"/>
                <w:szCs w:val="25"/>
                <w:b w:val="1"/>
                <w:bCs w:val="1"/>
                <w:color w:val="auto"/>
                <w:w w:val="90"/>
                <w:vertAlign w:val="superscript"/>
              </w:rPr>
              <w:t>*</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0"/>
              <w:spacing w:after="0" w:line="264" w:lineRule="exact"/>
              <w:rPr>
                <w:sz w:val="20"/>
                <w:szCs w:val="20"/>
                <w:color w:val="auto"/>
              </w:rPr>
            </w:pPr>
            <w:r>
              <w:rPr>
                <w:rFonts w:ascii="Arial" w:cs="Arial" w:eastAsia="Arial" w:hAnsi="Arial"/>
                <w:sz w:val="18"/>
                <w:szCs w:val="18"/>
                <w:b w:val="1"/>
                <w:bCs w:val="1"/>
                <w:color w:val="auto"/>
                <w:w w:val="90"/>
              </w:rPr>
              <w:t>2014</w:t>
            </w:r>
            <w:r>
              <w:rPr>
                <w:rFonts w:ascii="Arial" w:cs="Arial" w:eastAsia="Arial" w:hAnsi="Arial"/>
                <w:sz w:val="25"/>
                <w:szCs w:val="25"/>
                <w:b w:val="1"/>
                <w:bCs w:val="1"/>
                <w:color w:val="auto"/>
                <w:w w:val="90"/>
                <w:vertAlign w:val="superscript"/>
              </w:rPr>
              <w:t>*</w:t>
            </w: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210,398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83,375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481,062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248,031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 Non-cash 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63,590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46,049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133,167</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SG&amp;A: Non-cash share-based compensation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36,481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21,173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110,814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73,620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Branded Prescription Drug Fee incremental charge</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40,600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40,600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w w:val="91"/>
              </w:rPr>
              <w:t>COGS and COCM: Non-cash share-based compensation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1,945</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Interest expense: Non-cash interest related to convertible senior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4,575</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 expense: Loss on extinguishment of debt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10,787</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89,616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98,448</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275,521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323,481</w:t>
            </w:r>
          </w:p>
        </w:tc>
      </w:tr>
      <w:tr>
        <w:trPr>
          <w:trHeight w:val="297"/>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402,871</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295,117</w:t>
            </w:r>
          </w:p>
        </w:tc>
        <w:tc>
          <w:tcPr>
            <w:tcW w:w="2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1,076,944</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847,077</w:t>
            </w:r>
          </w:p>
        </w:tc>
      </w:tr>
      <w:tr>
        <w:trPr>
          <w:trHeight w:val="311"/>
        </w:trPr>
        <w:tc>
          <w:tcPr>
            <w:tcW w:w="5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8.44</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r>
      <w:tr>
        <w:trPr>
          <w:trHeight w:val="270"/>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103,348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100,796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102,825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100,325</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(b)</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116,014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117,642</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116,559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117,919</w:t>
            </w:r>
          </w:p>
        </w:tc>
      </w:tr>
    </w:tbl>
    <w:p>
      <w:pPr>
        <w:spacing w:after="0" w:line="206" w:lineRule="exact"/>
        <w:rPr>
          <w:sz w:val="20"/>
          <w:szCs w:val="20"/>
          <w:color w:val="auto"/>
        </w:rPr>
      </w:pPr>
    </w:p>
    <w:p>
      <w:pPr>
        <w:ind w:left="300" w:hanging="130"/>
        <w:spacing w:after="0"/>
        <w:tabs>
          <w:tab w:leader="none" w:pos="300" w:val="left"/>
        </w:tabs>
        <w:numPr>
          <w:ilvl w:val="1"/>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Certain revisions have been made to the amounts previously reported for the three and nine months ended September 30, 2014. See note (4) above.</w:t>
      </w:r>
    </w:p>
    <w:p>
      <w:pPr>
        <w:spacing w:after="0" w:line="378" w:lineRule="exact"/>
        <w:rPr>
          <w:rFonts w:ascii="Arial" w:cs="Arial" w:eastAsia="Arial" w:hAnsi="Arial"/>
          <w:sz w:val="16"/>
          <w:szCs w:val="16"/>
          <w:i w:val="1"/>
          <w:iCs w:val="1"/>
          <w:color w:val="auto"/>
        </w:rPr>
      </w:pPr>
    </w:p>
    <w:p>
      <w:pPr>
        <w:ind w:left="380" w:right="100" w:hanging="345"/>
        <w:spacing w:after="0" w:line="286"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7"/>
          <w:szCs w:val="17"/>
          <w:color w:val="auto"/>
        </w:rPr>
        <w:t>For diluted non-GAAP net income per share calculations, excludes $1.3 million and $4.4 million of interest expense for the three and nine-month periods ended September 30, 2014, respectively, related to the contractual coupon interest rate on the Company's 1.875% convertible senior notes, since these securities were dilutive. Such amounts were not material for the three and nine-month periods ended September 30, 2015.</w:t>
      </w:r>
    </w:p>
    <w:p>
      <w:pPr>
        <w:spacing w:after="0" w:line="125" w:lineRule="exact"/>
        <w:rPr>
          <w:rFonts w:ascii="Arial" w:cs="Arial" w:eastAsia="Arial" w:hAnsi="Arial"/>
          <w:sz w:val="12"/>
          <w:szCs w:val="12"/>
          <w:color w:val="auto"/>
        </w:rPr>
      </w:pPr>
    </w:p>
    <w:p>
      <w:pPr>
        <w:ind w:left="380" w:right="40" w:hanging="345"/>
        <w:spacing w:after="0" w:line="277" w:lineRule="auto"/>
        <w:tabs>
          <w:tab w:leader="none" w:pos="380" w:val="left"/>
        </w:tabs>
        <w:numPr>
          <w:ilvl w:val="0"/>
          <w:numId w:val="12"/>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TABLE 4</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4"/>
        </w:trPr>
        <w:tc>
          <w:tcPr>
            <w:tcW w:w="7980" w:type="dxa"/>
            <w:vAlign w:val="bottom"/>
            <w:gridSpan w:val="7"/>
          </w:tcPr>
          <w:p>
            <w:pPr>
              <w:jc w:val="center"/>
              <w:ind w:left="3350"/>
              <w:spacing w:after="0"/>
              <w:rPr>
                <w:sz w:val="20"/>
                <w:szCs w:val="20"/>
                <w:color w:val="auto"/>
              </w:rPr>
            </w:pPr>
            <w:r>
              <w:rPr>
                <w:rFonts w:ascii="Arial" w:cs="Arial" w:eastAsia="Arial" w:hAnsi="Arial"/>
                <w:sz w:val="18"/>
                <w:szCs w:val="18"/>
                <w:b w:val="1"/>
                <w:bCs w:val="1"/>
                <w:color w:val="auto"/>
              </w:rPr>
              <w:t>REGENERON PHARMACEUTICALS, INC.</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0"/>
        </w:trPr>
        <w:tc>
          <w:tcPr>
            <w:tcW w:w="7980" w:type="dxa"/>
            <w:vAlign w:val="bottom"/>
            <w:gridSpan w:val="7"/>
          </w:tcPr>
          <w:p>
            <w:pPr>
              <w:jc w:val="center"/>
              <w:ind w:left="3350"/>
              <w:spacing w:after="0"/>
              <w:rPr>
                <w:sz w:val="20"/>
                <w:szCs w:val="20"/>
                <w:color w:val="auto"/>
              </w:rPr>
            </w:pPr>
            <w:r>
              <w:rPr>
                <w:rFonts w:ascii="Arial" w:cs="Arial" w:eastAsia="Arial" w:hAnsi="Arial"/>
                <w:sz w:val="18"/>
                <w:szCs w:val="18"/>
                <w:b w:val="1"/>
                <w:bCs w:val="1"/>
                <w:color w:val="auto"/>
                <w:w w:val="98"/>
              </w:rPr>
              <w:t>COLLABORATION REVENUE (Unaudited)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8"/>
              </w:rPr>
              <w:t>(In thousands)</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76"/>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4780" w:type="dxa"/>
            <w:vAlign w:val="bottom"/>
          </w:tcPr>
          <w:p>
            <w:pPr>
              <w:ind w:left="18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80" w:type="dxa"/>
            <w:vAlign w:val="bottom"/>
          </w:tcPr>
          <w:p>
            <w:pPr>
              <w:ind w:left="340"/>
              <w:spacing w:after="0"/>
              <w:rPr>
                <w:sz w:val="20"/>
                <w:szCs w:val="20"/>
                <w:color w:val="auto"/>
              </w:rPr>
            </w:pPr>
            <w:r>
              <w:rPr>
                <w:rFonts w:ascii="Arial" w:cs="Arial" w:eastAsia="Arial" w:hAnsi="Arial"/>
                <w:sz w:val="18"/>
                <w:szCs w:val="18"/>
                <w:color w:val="auto"/>
              </w:rPr>
              <w:t>commercialization of antibodies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(74,865)</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(12,830)</w:t>
            </w:r>
          </w:p>
        </w:tc>
        <w:tc>
          <w:tcPr>
            <w:tcW w:w="2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(143,583)</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(17,125)</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Reimbursement of Regeneron research and development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4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223,698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141,758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604,720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408,903</w:t>
            </w:r>
          </w:p>
        </w:tc>
      </w:tr>
      <w:tr>
        <w:trPr>
          <w:trHeight w:val="229"/>
        </w:trPr>
        <w:tc>
          <w:tcPr>
            <w:tcW w:w="4780" w:type="dxa"/>
            <w:vAlign w:val="bottom"/>
          </w:tcPr>
          <w:p>
            <w:pPr>
              <w:ind w:left="180"/>
              <w:spacing w:after="0"/>
              <w:rPr>
                <w:sz w:val="20"/>
                <w:szCs w:val="20"/>
                <w:color w:val="auto"/>
              </w:rPr>
            </w:pPr>
            <w:r>
              <w:rPr>
                <w:rFonts w:ascii="Arial" w:cs="Arial" w:eastAsia="Arial" w:hAnsi="Arial"/>
                <w:sz w:val="18"/>
                <w:szCs w:val="18"/>
                <w:color w:val="auto"/>
              </w:rPr>
              <w:t>Reimbursement of Regeneron commercialization-related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80" w:type="dxa"/>
            <w:vAlign w:val="bottom"/>
          </w:tcPr>
          <w:p>
            <w:pPr>
              <w:ind w:left="3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53,341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1,688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89,145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7,062</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42,919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7,188</w:t>
            </w:r>
          </w:p>
        </w:tc>
      </w:tr>
      <w:tr>
        <w:trPr>
          <w:trHeight w:val="237"/>
        </w:trPr>
        <w:tc>
          <w:tcPr>
            <w:tcW w:w="478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224,735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132,925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593,201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406,028</w:t>
            </w: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4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Bayer HealthCare collaboration revenue:</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Regeneron's net profit in connection with commercialization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4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EYLEA outside the United States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130,510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85,351</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326,567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213,291</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Sales milestones</w:t>
            </w:r>
          </w:p>
        </w:tc>
        <w:tc>
          <w:tcPr>
            <w:tcW w:w="2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75,000</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Cost-sharing of Regeneron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27,892</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23,751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15,590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58,476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42,277</w:t>
            </w: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157,596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135,853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415,679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358,460</w:t>
            </w:r>
          </w:p>
        </w:tc>
      </w:tr>
      <w:tr>
        <w:trPr>
          <w:trHeight w:val="318"/>
        </w:trPr>
        <w:tc>
          <w:tcPr>
            <w:tcW w:w="47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6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collaboration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382,331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268,778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1,008,880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764,488</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78"/>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240" w:top="58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973"/>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2019-12-06T05:35:40Z</dcterms:created>
  <dcterms:modified xsi:type="dcterms:W3CDTF">2019-12-06T05:35:40Z</dcterms:modified>
</cp:coreProperties>
</file>