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3"/>
        <w:spacing w:after="0"/>
        <w:rPr>
          <w:sz w:val="20"/>
          <w:szCs w:val="20"/>
          <w:color w:val="auto"/>
        </w:rPr>
      </w:pPr>
      <w:r>
        <w:rPr>
          <w:rFonts w:ascii="Courier New" w:cs="Courier New" w:eastAsia="Courier New" w:hAnsi="Courier New"/>
          <w:sz w:val="15"/>
          <w:szCs w:val="15"/>
          <w:color w:val="auto"/>
        </w:rPr>
        <w:t>UNITED STATES</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Form 10-Q</w:t>
      </w:r>
    </w:p>
    <w:p>
      <w:pPr>
        <w:spacing w:after="0" w:line="182" w:lineRule="exact"/>
        <w:rPr>
          <w:sz w:val="24"/>
          <w:szCs w:val="24"/>
          <w:color w:val="auto"/>
        </w:rPr>
      </w:pPr>
    </w:p>
    <w:p>
      <w:pPr>
        <w:ind w:left="826"/>
        <w:spacing w:after="0"/>
        <w:rPr>
          <w:sz w:val="20"/>
          <w:szCs w:val="20"/>
          <w:color w:val="auto"/>
        </w:rPr>
      </w:pPr>
      <w:r>
        <w:rPr>
          <w:rFonts w:ascii="Courier New" w:cs="Courier New" w:eastAsia="Courier New" w:hAnsi="Courier New"/>
          <w:sz w:val="15"/>
          <w:szCs w:val="15"/>
          <w:color w:val="auto"/>
        </w:rPr>
        <w:t>(Mark One)</w:t>
      </w:r>
    </w:p>
    <w:p>
      <w:pPr>
        <w:spacing w:after="0" w:line="6" w:lineRule="exact"/>
        <w:rPr>
          <w:sz w:val="24"/>
          <w:szCs w:val="24"/>
          <w:color w:val="auto"/>
        </w:rPr>
      </w:pPr>
    </w:p>
    <w:p>
      <w:pPr>
        <w:ind w:left="826" w:right="3359" w:hanging="826"/>
        <w:spacing w:after="0" w:line="250" w:lineRule="auto"/>
        <w:tabs>
          <w:tab w:leader="none" w:pos="82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ectPr>
          <w:pgSz w:w="11900" w:h="16838" w:orient="portrait"/>
          <w:cols w:equalWidth="0" w:num="1">
            <w:col w:w="10225"/>
          </w:cols>
          <w:pgMar w:left="234" w:top="917" w:right="1440" w:bottom="1440" w:gutter="0" w:footer="0" w:header="0"/>
        </w:sectPr>
      </w:pPr>
    </w:p>
    <w:p>
      <w:pPr>
        <w:spacing w:after="0" w:line="175" w:lineRule="exact"/>
        <w:rPr>
          <w:sz w:val="24"/>
          <w:szCs w:val="24"/>
          <w:color w:val="auto"/>
        </w:rPr>
      </w:pPr>
    </w:p>
    <w:p>
      <w:pPr>
        <w:ind w:left="826"/>
        <w:spacing w:after="0"/>
        <w:rPr>
          <w:sz w:val="20"/>
          <w:szCs w:val="20"/>
          <w:color w:val="auto"/>
        </w:rPr>
      </w:pPr>
      <w:r>
        <w:rPr>
          <w:rFonts w:ascii="Courier New" w:cs="Courier New" w:eastAsia="Courier New" w:hAnsi="Courier New"/>
          <w:sz w:val="15"/>
          <w:szCs w:val="15"/>
          <w:color w:val="auto"/>
        </w:rPr>
        <w:t>For the quarterly period ended</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June 30, 1998</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sectPr>
          <w:pgSz w:w="11900" w:h="16838" w:orient="portrait"/>
          <w:cols w:equalWidth="0" w:num="2">
            <w:col w:w="3566" w:space="280"/>
            <w:col w:w="6379"/>
          </w:cols>
          <w:pgMar w:left="234" w:top="917" w:right="1440" w:bottom="1440" w:gutter="0" w:footer="0" w:header="0"/>
          <w:type w:val="continuous"/>
        </w:sectPr>
      </w:pPr>
    </w:p>
    <w:p>
      <w:pPr>
        <w:ind w:left="3566"/>
        <w:spacing w:after="0"/>
        <w:rPr>
          <w:sz w:val="20"/>
          <w:szCs w:val="20"/>
          <w:color w:val="auto"/>
        </w:rPr>
      </w:pPr>
      <w:r>
        <w:rPr>
          <w:rFonts w:ascii="Courier New" w:cs="Courier New" w:eastAsia="Courier New" w:hAnsi="Courier New"/>
          <w:sz w:val="15"/>
          <w:szCs w:val="15"/>
          <w:color w:val="auto"/>
        </w:rPr>
        <w:t>OR</w:t>
      </w:r>
    </w:p>
    <w:p>
      <w:pPr>
        <w:spacing w:after="0" w:line="182" w:lineRule="exact"/>
        <w:rPr>
          <w:sz w:val="24"/>
          <w:szCs w:val="24"/>
          <w:color w:val="auto"/>
        </w:rPr>
      </w:pPr>
    </w:p>
    <w:p>
      <w:pPr>
        <w:ind w:left="826" w:right="3179" w:hanging="826"/>
        <w:spacing w:after="0" w:line="250" w:lineRule="auto"/>
        <w:tabs>
          <w:tab w:leader="none" w:pos="27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w:t>
      </w:r>
    </w:p>
    <w:p>
      <w:pPr>
        <w:sectPr>
          <w:pgSz w:w="11900" w:h="16838" w:orient="portrait"/>
          <w:cols w:equalWidth="0" w:num="1">
            <w:col w:w="10225"/>
          </w:cols>
          <w:pgMar w:left="234" w:top="917" w:right="1440" w:bottom="1440" w:gutter="0" w:footer="0" w:header="0"/>
          <w:type w:val="continuous"/>
        </w:sectPr>
      </w:pPr>
    </w:p>
    <w:p>
      <w:pPr>
        <w:spacing w:after="0" w:line="175" w:lineRule="exact"/>
        <w:rPr>
          <w:sz w:val="24"/>
          <w:szCs w:val="24"/>
          <w:color w:val="auto"/>
        </w:rPr>
      </w:pPr>
    </w:p>
    <w:p>
      <w:pPr>
        <w:ind w:left="826"/>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6" w:lineRule="exact"/>
        <w:rPr>
          <w:sz w:val="24"/>
          <w:szCs w:val="24"/>
          <w:color w:val="auto"/>
        </w:rPr>
      </w:pPr>
    </w:p>
    <w:p>
      <w:pPr>
        <w:sectPr>
          <w:pgSz w:w="11900" w:h="16838" w:orient="portrait"/>
          <w:cols w:equalWidth="0" w:num="2">
            <w:col w:w="4326" w:space="720"/>
            <w:col w:w="5179"/>
          </w:cols>
          <w:pgMar w:left="234" w:top="917" w:right="1440" w:bottom="1440" w:gutter="0" w:footer="0" w:header="0"/>
          <w:type w:val="continuous"/>
        </w:sectPr>
      </w:pPr>
    </w:p>
    <w:p>
      <w:pPr>
        <w:ind w:left="366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sectPr>
          <w:pgSz w:w="11900" w:h="16838" w:orient="portrait"/>
          <w:cols w:equalWidth="0" w:num="2">
            <w:col w:w="4946" w:space="360"/>
            <w:col w:w="4919"/>
          </w:cols>
          <w:pgMar w:left="234" w:top="917" w:right="1440" w:bottom="1440" w:gutter="0" w:footer="0" w:header="0"/>
          <w:type w:val="continuous"/>
        </w:sectPr>
      </w:pPr>
    </w:p>
    <w:p>
      <w:pPr>
        <w:ind w:left="826"/>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ind w:left="280"/>
        <w:spacing w:after="0"/>
        <w:rPr>
          <w:sz w:val="20"/>
          <w:szCs w:val="20"/>
          <w:color w:val="auto"/>
        </w:rPr>
      </w:pPr>
      <w:r>
        <w:rPr>
          <w:rFonts w:ascii="Courier New" w:cs="Courier New" w:eastAsia="Courier New" w:hAnsi="Courier New"/>
          <w:sz w:val="15"/>
          <w:szCs w:val="15"/>
          <w:color w:val="auto"/>
        </w:rPr>
        <w:t>0-19034</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sectPr>
          <w:pgSz w:w="11900" w:h="16838" w:orient="portrait"/>
          <w:cols w:equalWidth="0" w:num="2">
            <w:col w:w="2846" w:space="180"/>
            <w:col w:w="7199"/>
          </w:cols>
          <w:pgMar w:left="234" w:top="917" w:right="1440" w:bottom="1440" w:gutter="0" w:footer="0" w:header="0"/>
          <w:type w:val="continuous"/>
        </w:sectPr>
      </w:pPr>
    </w:p>
    <w:p>
      <w:pPr>
        <w:jc w:val="center"/>
        <w:ind w:right="2993"/>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4"/>
          <w:szCs w:val="24"/>
          <w:color w:val="auto"/>
        </w:rPr>
      </w:pPr>
    </w:p>
    <w:p>
      <w:pPr>
        <w:ind w:left="11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1186"/>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5"/>
          </w:cols>
          <w:pgMar w:left="234" w:top="917" w:right="1440" w:bottom="1440" w:gutter="0" w:footer="0" w:header="0"/>
          <w:type w:val="continuous"/>
        </w:sectPr>
      </w:pPr>
    </w:p>
    <w:p>
      <w:pPr>
        <w:spacing w:after="0" w:line="182" w:lineRule="exact"/>
        <w:rPr>
          <w:sz w:val="24"/>
          <w:szCs w:val="24"/>
          <w:color w:val="auto"/>
        </w:rPr>
      </w:pPr>
    </w:p>
    <w:p>
      <w:pPr>
        <w:ind w:left="1466"/>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(State or other jurisdiction of</w:t>
      </w:r>
    </w:p>
    <w:p>
      <w:pPr>
        <w:spacing w:after="0" w:line="6" w:lineRule="exact"/>
        <w:rPr>
          <w:sz w:val="24"/>
          <w:szCs w:val="24"/>
          <w:color w:val="auto"/>
        </w:rPr>
      </w:pPr>
    </w:p>
    <w:p>
      <w:pPr>
        <w:ind w:left="86"/>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13-3444607</w:t>
      </w:r>
    </w:p>
    <w:p>
      <w:pPr>
        <w:spacing w:after="0" w:line="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58" w:lineRule="exact"/>
        <w:rPr>
          <w:sz w:val="24"/>
          <w:szCs w:val="24"/>
          <w:color w:val="auto"/>
        </w:rPr>
      </w:pPr>
    </w:p>
    <w:p>
      <w:pPr>
        <w:sectPr>
          <w:pgSz w:w="11900" w:h="16838" w:orient="portrait"/>
          <w:cols w:equalWidth="0" w:num="2">
            <w:col w:w="3126" w:space="720"/>
            <w:col w:w="6379"/>
          </w:cols>
          <w:pgMar w:left="234" w:top="917" w:right="1440" w:bottom="1440" w:gutter="0" w:footer="0" w:header="0"/>
          <w:type w:val="continuous"/>
        </w:sectPr>
      </w:pPr>
    </w:p>
    <w:p>
      <w:pPr>
        <w:ind w:left="86"/>
        <w:spacing w:after="0"/>
        <w:rPr>
          <w:sz w:val="20"/>
          <w:szCs w:val="20"/>
          <w:color w:val="auto"/>
        </w:rPr>
      </w:pPr>
      <w:r>
        <w:rPr>
          <w:rFonts w:ascii="Courier New" w:cs="Courier New" w:eastAsia="Courier New" w:hAnsi="Courier New"/>
          <w:sz w:val="15"/>
          <w:szCs w:val="15"/>
          <w:color w:val="auto"/>
        </w:rPr>
        <w:t>777 Old Saw Mill River Road</w:t>
      </w:r>
    </w:p>
    <w:p>
      <w:pPr>
        <w:spacing w:after="0" w:line="6" w:lineRule="exact"/>
        <w:rPr>
          <w:sz w:val="24"/>
          <w:szCs w:val="24"/>
          <w:color w:val="auto"/>
        </w:rPr>
      </w:pPr>
    </w:p>
    <w:p>
      <w:pPr>
        <w:ind w:left="646"/>
        <w:spacing w:after="0"/>
        <w:rPr>
          <w:sz w:val="20"/>
          <w:szCs w:val="20"/>
          <w:color w:val="auto"/>
        </w:rPr>
      </w:pPr>
      <w:r>
        <w:rPr>
          <w:rFonts w:ascii="Courier New" w:cs="Courier New" w:eastAsia="Courier New" w:hAnsi="Courier New"/>
          <w:sz w:val="15"/>
          <w:szCs w:val="15"/>
          <w:color w:val="auto"/>
        </w:rPr>
        <w:t>Tarrytown, New York</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10591-6707</w:t>
      </w:r>
    </w:p>
    <w:p>
      <w:pPr>
        <w:spacing w:after="0" w:line="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82" w:lineRule="exact"/>
        <w:rPr>
          <w:sz w:val="24"/>
          <w:szCs w:val="24"/>
          <w:color w:val="auto"/>
        </w:rPr>
      </w:pPr>
    </w:p>
    <w:p>
      <w:pPr>
        <w:sectPr>
          <w:pgSz w:w="11900" w:h="16838" w:orient="portrait"/>
          <w:cols w:equalWidth="0" w:num="2">
            <w:col w:w="4506" w:space="720"/>
            <w:col w:w="4999"/>
          </w:cols>
          <w:pgMar w:left="234" w:top="917" w:right="1440" w:bottom="1440" w:gutter="0" w:footer="0" w:header="0"/>
          <w:type w:val="continuous"/>
        </w:sectPr>
      </w:pPr>
    </w:p>
    <w:p>
      <w:pPr>
        <w:jc w:val="center"/>
        <w:ind w:right="2893"/>
        <w:spacing w:after="0"/>
        <w:rPr>
          <w:sz w:val="20"/>
          <w:szCs w:val="20"/>
          <w:color w:val="auto"/>
        </w:rPr>
      </w:pPr>
      <w:r>
        <w:rPr>
          <w:rFonts w:ascii="Courier New" w:cs="Courier New" w:eastAsia="Courier New" w:hAnsi="Courier New"/>
          <w:sz w:val="15"/>
          <w:szCs w:val="15"/>
          <w:color w:val="auto"/>
        </w:rPr>
        <w:t>(914) 347-7000</w:t>
      </w:r>
    </w:p>
    <w:p>
      <w:pPr>
        <w:spacing w:after="0" w:line="6" w:lineRule="exact"/>
        <w:rPr>
          <w:sz w:val="24"/>
          <w:szCs w:val="24"/>
          <w:color w:val="auto"/>
        </w:rPr>
      </w:pPr>
    </w:p>
    <w:p>
      <w:pPr>
        <w:ind w:left="12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1286"/>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0" w:lineRule="exact"/>
        <w:rPr>
          <w:sz w:val="24"/>
          <w:szCs w:val="24"/>
          <w:color w:val="auto"/>
        </w:rPr>
      </w:pPr>
    </w:p>
    <w:p>
      <w:pPr>
        <w:spacing w:after="0" w:line="335" w:lineRule="exact"/>
        <w:rPr>
          <w:sz w:val="24"/>
          <w:szCs w:val="24"/>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ind w:left="2846"/>
        <w:spacing w:after="0"/>
        <w:tabs>
          <w:tab w:leader="none" w:pos="3286" w:val="left"/>
          <w:tab w:leader="none" w:pos="3746" w:val="left"/>
        </w:tabs>
        <w:rPr>
          <w:sz w:val="20"/>
          <w:szCs w:val="20"/>
          <w:color w:val="auto"/>
        </w:rPr>
      </w:pP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5"/>
          <w:szCs w:val="15"/>
          <w:color w:val="auto"/>
        </w:rPr>
        <w:t>No</w:t>
      </w:r>
    </w:p>
    <w:p>
      <w:pPr>
        <w:spacing w:after="0" w:line="6" w:lineRule="exact"/>
        <w:rPr>
          <w:sz w:val="24"/>
          <w:szCs w:val="24"/>
          <w:color w:val="auto"/>
        </w:rPr>
      </w:pPr>
    </w:p>
    <w:p>
      <w:pPr>
        <w:ind w:left="3106"/>
        <w:spacing w:after="0"/>
        <w:tabs>
          <w:tab w:leader="none" w:pos="39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4"/>
          <w:szCs w:val="24"/>
          <w:color w:val="auto"/>
        </w:rPr>
      </w:pPr>
    </w:p>
    <w:p>
      <w:pPr>
        <w:ind w:left="6" w:right="3259"/>
        <w:spacing w:after="0" w:line="250"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August 10, 1998:</w:t>
      </w:r>
    </w:p>
    <w:p>
      <w:pPr>
        <w:spacing w:after="0" w:line="175" w:lineRule="exact"/>
        <w:rPr>
          <w:sz w:val="24"/>
          <w:szCs w:val="24"/>
          <w:color w:val="auto"/>
        </w:rPr>
      </w:pPr>
    </w:p>
    <w:tbl>
      <w:tblPr>
        <w:tblLayout w:type="fixed"/>
        <w:tblInd w:w="86" w:type="dxa"/>
        <w:tblCellMar>
          <w:top w:w="0" w:type="dxa"/>
          <w:left w:w="0" w:type="dxa"/>
          <w:bottom w:w="0" w:type="dxa"/>
          <w:right w:w="0" w:type="dxa"/>
        </w:tblCellMar>
      </w:tblPr>
      <w:tr>
        <w:trPr>
          <w:trHeight w:val="171"/>
        </w:trPr>
        <w:tc>
          <w:tcPr>
            <w:tcW w:w="3800" w:type="dxa"/>
            <w:vAlign w:val="bottom"/>
          </w:tcPr>
          <w:p>
            <w:pPr>
              <w:jc w:val="center"/>
              <w:ind w:right="884"/>
              <w:spacing w:after="0"/>
              <w:rPr>
                <w:sz w:val="20"/>
                <w:szCs w:val="20"/>
                <w:color w:val="auto"/>
              </w:rPr>
            </w:pPr>
            <w:r>
              <w:rPr>
                <w:rFonts w:ascii="Courier New" w:cs="Courier New" w:eastAsia="Courier New" w:hAnsi="Courier New"/>
                <w:sz w:val="15"/>
                <w:szCs w:val="15"/>
                <w:color w:val="auto"/>
              </w:rPr>
              <w:t>Class of Common Stock</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Number of Shares</w:t>
            </w:r>
          </w:p>
        </w:tc>
      </w:tr>
      <w:tr>
        <w:trPr>
          <w:trHeight w:val="176"/>
        </w:trPr>
        <w:tc>
          <w:tcPr>
            <w:tcW w:w="3800" w:type="dxa"/>
            <w:vAlign w:val="bottom"/>
          </w:tcPr>
          <w:p>
            <w:pPr>
              <w:jc w:val="center"/>
              <w:ind w:right="884"/>
              <w:spacing w:after="0"/>
              <w:rPr>
                <w:sz w:val="20"/>
                <w:szCs w:val="20"/>
                <w:color w:val="auto"/>
              </w:rPr>
            </w:pPr>
            <w:r>
              <w:rPr>
                <w:rFonts w:ascii="Courier New" w:cs="Courier New" w:eastAsia="Courier New" w:hAnsi="Courier New"/>
                <w:sz w:val="15"/>
                <w:szCs w:val="15"/>
                <w:color w:val="auto"/>
              </w:rPr>
              <w:t>---------------------</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center"/>
              <w:ind w:right="884"/>
              <w:spacing w:after="0"/>
              <w:rPr>
                <w:sz w:val="20"/>
                <w:szCs w:val="20"/>
                <w:color w:val="auto"/>
              </w:rPr>
            </w:pPr>
            <w:r>
              <w:rPr>
                <w:rFonts w:ascii="Courier New" w:cs="Courier New" w:eastAsia="Courier New" w:hAnsi="Courier New"/>
                <w:sz w:val="15"/>
                <w:szCs w:val="15"/>
                <w:color w:val="auto"/>
              </w:rPr>
              <w:t>Class A Stock, $0.001 par value</w:t>
            </w:r>
          </w:p>
        </w:tc>
        <w:tc>
          <w:tcPr>
            <w:tcW w:w="24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3,639,625</w:t>
            </w:r>
          </w:p>
        </w:tc>
      </w:tr>
      <w:tr>
        <w:trPr>
          <w:trHeight w:val="176"/>
        </w:trPr>
        <w:tc>
          <w:tcPr>
            <w:tcW w:w="3800" w:type="dxa"/>
            <w:vAlign w:val="bottom"/>
          </w:tcPr>
          <w:p>
            <w:pPr>
              <w:spacing w:after="0"/>
              <w:rPr>
                <w:sz w:val="20"/>
                <w:szCs w:val="20"/>
                <w:color w:val="auto"/>
              </w:rPr>
            </w:pPr>
            <w:r>
              <w:rPr>
                <w:rFonts w:ascii="Courier New" w:cs="Courier New" w:eastAsia="Courier New" w:hAnsi="Courier New"/>
                <w:sz w:val="15"/>
                <w:szCs w:val="15"/>
                <w:color w:val="auto"/>
              </w:rPr>
              <w:t>Common Stock, $0.001 par value</w:t>
            </w:r>
          </w:p>
        </w:tc>
        <w:tc>
          <w:tcPr>
            <w:tcW w:w="24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27,374,769</w:t>
            </w:r>
          </w:p>
        </w:tc>
      </w:tr>
    </w:tbl>
    <w:p>
      <w:pPr>
        <w:sectPr>
          <w:pgSz w:w="11900" w:h="16838" w:orient="portrait"/>
          <w:cols w:equalWidth="0" w:num="1">
            <w:col w:w="10225"/>
          </w:cols>
          <w:pgMar w:left="234" w:top="917" w:right="1440"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20" w:type="dxa"/>
            <w:vAlign w:val="bottom"/>
          </w:tcPr>
          <w:p>
            <w:pPr>
              <w:jc w:val="center"/>
              <w:ind w:right="2424"/>
              <w:spacing w:after="0"/>
              <w:rPr>
                <w:sz w:val="20"/>
                <w:szCs w:val="20"/>
                <w:color w:val="auto"/>
              </w:rPr>
            </w:pPr>
            <w:r>
              <w:rPr>
                <w:rFonts w:ascii="Courier New" w:cs="Courier New" w:eastAsia="Courier New" w:hAnsi="Courier New"/>
                <w:sz w:val="15"/>
                <w:szCs w:val="15"/>
                <w:color w:val="auto"/>
              </w:rPr>
              <w:t>REGENERON PHARMACEUTICALS, INC.</w:t>
            </w:r>
          </w:p>
        </w:tc>
        <w:tc>
          <w:tcPr>
            <w:tcW w:w="1980" w:type="dxa"/>
            <w:vAlign w:val="bottom"/>
          </w:tcPr>
          <w:p>
            <w:pPr>
              <w:spacing w:after="0"/>
              <w:rPr>
                <w:sz w:val="14"/>
                <w:szCs w:val="14"/>
                <w:color w:val="auto"/>
              </w:rPr>
            </w:pPr>
          </w:p>
        </w:tc>
      </w:tr>
      <w:tr>
        <w:trPr>
          <w:trHeight w:val="176"/>
        </w:trPr>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20" w:type="dxa"/>
            <w:vAlign w:val="bottom"/>
          </w:tcPr>
          <w:p>
            <w:pPr>
              <w:jc w:val="center"/>
              <w:ind w:right="2424"/>
              <w:spacing w:after="0"/>
              <w:rPr>
                <w:sz w:val="20"/>
                <w:szCs w:val="20"/>
                <w:color w:val="auto"/>
              </w:rPr>
            </w:pPr>
            <w:r>
              <w:rPr>
                <w:rFonts w:ascii="Courier New" w:cs="Courier New" w:eastAsia="Courier New" w:hAnsi="Courier New"/>
                <w:sz w:val="15"/>
                <w:szCs w:val="15"/>
                <w:color w:val="auto"/>
              </w:rPr>
              <w:t>Table of Contents</w:t>
            </w:r>
          </w:p>
        </w:tc>
        <w:tc>
          <w:tcPr>
            <w:tcW w:w="198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20" w:type="dxa"/>
            <w:vAlign w:val="bottom"/>
          </w:tcPr>
          <w:p>
            <w:pPr>
              <w:jc w:val="center"/>
              <w:ind w:right="2444"/>
              <w:spacing w:after="0"/>
              <w:rPr>
                <w:sz w:val="20"/>
                <w:szCs w:val="20"/>
                <w:color w:val="auto"/>
              </w:rPr>
            </w:pPr>
            <w:r>
              <w:rPr>
                <w:rFonts w:ascii="Courier New" w:cs="Courier New" w:eastAsia="Courier New" w:hAnsi="Courier New"/>
                <w:sz w:val="15"/>
                <w:szCs w:val="15"/>
                <w:color w:val="auto"/>
              </w:rPr>
              <w:t>June 30, 1998</w:t>
            </w:r>
          </w:p>
        </w:tc>
        <w:tc>
          <w:tcPr>
            <w:tcW w:w="1980" w:type="dxa"/>
            <w:vAlign w:val="bottom"/>
          </w:tcPr>
          <w:p>
            <w:pPr>
              <w:spacing w:after="0"/>
              <w:rPr>
                <w:sz w:val="15"/>
                <w:szCs w:val="15"/>
                <w:color w:val="auto"/>
              </w:rPr>
            </w:pPr>
          </w:p>
        </w:tc>
      </w:tr>
      <w:tr>
        <w:trPr>
          <w:trHeight w:val="1233"/>
        </w:trPr>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980" w:type="dxa"/>
            <w:vAlign w:val="bottom"/>
          </w:tcPr>
          <w:p>
            <w:pPr>
              <w:ind w:left="880"/>
              <w:spacing w:after="0"/>
              <w:rPr>
                <w:sz w:val="20"/>
                <w:szCs w:val="20"/>
                <w:color w:val="auto"/>
              </w:rPr>
            </w:pPr>
            <w:r>
              <w:rPr>
                <w:rFonts w:ascii="Courier New" w:cs="Courier New" w:eastAsia="Courier New" w:hAnsi="Courier New"/>
                <w:sz w:val="15"/>
                <w:szCs w:val="15"/>
                <w:color w:val="auto"/>
                <w:w w:val="99"/>
              </w:rPr>
              <w:t>Page Numbers</w:t>
            </w:r>
          </w:p>
        </w:tc>
      </w:tr>
      <w:tr>
        <w:trPr>
          <w:trHeight w:val="176"/>
        </w:trPr>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980" w:type="dxa"/>
            <w:vAlign w:val="bottom"/>
          </w:tcPr>
          <w:p>
            <w:pPr>
              <w:ind w:left="880"/>
              <w:spacing w:after="0"/>
              <w:rPr>
                <w:sz w:val="20"/>
                <w:szCs w:val="20"/>
                <w:color w:val="auto"/>
              </w:rPr>
            </w:pPr>
            <w:r>
              <w:rPr>
                <w:rFonts w:ascii="Courier New" w:cs="Courier New" w:eastAsia="Courier New" w:hAnsi="Courier New"/>
                <w:sz w:val="15"/>
                <w:szCs w:val="15"/>
                <w:color w:val="auto"/>
                <w:w w:val="99"/>
              </w:rPr>
              <w:t>------------</w:t>
            </w:r>
          </w:p>
        </w:tc>
      </w:tr>
      <w:tr>
        <w:trPr>
          <w:trHeight w:val="529"/>
        </w:trPr>
        <w:tc>
          <w:tcPr>
            <w:tcW w:w="7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7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FINANCIAL INFORMATION</w:t>
            </w:r>
          </w:p>
        </w:tc>
        <w:tc>
          <w:tcPr>
            <w:tcW w:w="1980" w:type="dxa"/>
            <w:vAlign w:val="bottom"/>
          </w:tcPr>
          <w:p>
            <w:pPr>
              <w:spacing w:after="0"/>
              <w:rPr>
                <w:sz w:val="24"/>
                <w:szCs w:val="24"/>
                <w:color w:val="auto"/>
              </w:rPr>
            </w:pPr>
          </w:p>
        </w:tc>
      </w:tr>
      <w:tr>
        <w:trPr>
          <w:trHeight w:val="705"/>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80" w:type="dxa"/>
            <w:vAlign w:val="bottom"/>
          </w:tcPr>
          <w:p>
            <w:pPr>
              <w:spacing w:after="0"/>
              <w:rPr>
                <w:sz w:val="24"/>
                <w:szCs w:val="24"/>
                <w:color w:val="auto"/>
              </w:rPr>
            </w:pP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w:t>
            </w:r>
          </w:p>
        </w:tc>
        <w:tc>
          <w:tcPr>
            <w:tcW w:w="1980" w:type="dxa"/>
            <w:vAlign w:val="bottom"/>
          </w:tcPr>
          <w:p>
            <w:pPr>
              <w:spacing w:after="0"/>
              <w:rPr>
                <w:sz w:val="24"/>
                <w:szCs w:val="24"/>
                <w:color w:val="auto"/>
              </w:rPr>
            </w:pP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80" w:type="dxa"/>
            <w:vAlign w:val="bottom"/>
          </w:tcPr>
          <w:p>
            <w:pPr>
              <w:spacing w:after="0"/>
              <w:rPr>
                <w:sz w:val="15"/>
                <w:szCs w:val="15"/>
                <w:color w:val="auto"/>
              </w:rPr>
            </w:pPr>
          </w:p>
        </w:tc>
        <w:tc>
          <w:tcPr>
            <w:tcW w:w="68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spacing w:after="0"/>
              <w:rPr>
                <w:sz w:val="15"/>
                <w:szCs w:val="15"/>
                <w:color w:val="auto"/>
              </w:rPr>
            </w:pPr>
          </w:p>
        </w:tc>
      </w:tr>
      <w:tr>
        <w:trPr>
          <w:trHeight w:val="352"/>
        </w:trPr>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Condensed balance sheets (unaudited) at June 30, 1998</w:t>
            </w:r>
          </w:p>
        </w:tc>
        <w:tc>
          <w:tcPr>
            <w:tcW w:w="1980" w:type="dxa"/>
            <w:vAlign w:val="bottom"/>
          </w:tcPr>
          <w:p>
            <w:pPr>
              <w:spacing w:after="0"/>
              <w:rPr>
                <w:sz w:val="24"/>
                <w:szCs w:val="24"/>
                <w:color w:val="auto"/>
              </w:rPr>
            </w:pPr>
          </w:p>
        </w:tc>
      </w:tr>
      <w:tr>
        <w:trPr>
          <w:trHeight w:val="176"/>
        </w:trPr>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and December 31, 1997</w:t>
            </w:r>
          </w:p>
        </w:tc>
        <w:tc>
          <w:tcPr>
            <w:tcW w:w="1980" w:type="dxa"/>
            <w:vAlign w:val="bottom"/>
          </w:tcPr>
          <w:p>
            <w:pPr>
              <w:ind w:left="1420"/>
              <w:spacing w:after="0"/>
              <w:rPr>
                <w:sz w:val="20"/>
                <w:szCs w:val="20"/>
                <w:color w:val="auto"/>
              </w:rPr>
            </w:pPr>
            <w:r>
              <w:rPr>
                <w:rFonts w:ascii="Courier New" w:cs="Courier New" w:eastAsia="Courier New" w:hAnsi="Courier New"/>
                <w:sz w:val="15"/>
                <w:szCs w:val="15"/>
                <w:color w:val="auto"/>
              </w:rPr>
              <w:t>3</w:t>
            </w:r>
          </w:p>
        </w:tc>
      </w:tr>
      <w:tr>
        <w:trPr>
          <w:trHeight w:val="352"/>
        </w:trPr>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Condensed statements of operations (unaudited) for the three</w:t>
            </w:r>
          </w:p>
        </w:tc>
        <w:tc>
          <w:tcPr>
            <w:tcW w:w="1980" w:type="dxa"/>
            <w:vAlign w:val="bottom"/>
          </w:tcPr>
          <w:p>
            <w:pPr>
              <w:spacing w:after="0"/>
              <w:rPr>
                <w:sz w:val="24"/>
                <w:szCs w:val="24"/>
                <w:color w:val="auto"/>
              </w:rPr>
            </w:pPr>
          </w:p>
        </w:tc>
      </w:tr>
      <w:tr>
        <w:trPr>
          <w:trHeight w:val="176"/>
        </w:trPr>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months and six months ended June 30, 1998 and 1997</w:t>
            </w:r>
          </w:p>
        </w:tc>
        <w:tc>
          <w:tcPr>
            <w:tcW w:w="1980" w:type="dxa"/>
            <w:vAlign w:val="bottom"/>
          </w:tcPr>
          <w:p>
            <w:pPr>
              <w:ind w:left="1420"/>
              <w:spacing w:after="0"/>
              <w:rPr>
                <w:sz w:val="20"/>
                <w:szCs w:val="20"/>
                <w:color w:val="auto"/>
              </w:rPr>
            </w:pPr>
            <w:r>
              <w:rPr>
                <w:rFonts w:ascii="Courier New" w:cs="Courier New" w:eastAsia="Courier New" w:hAnsi="Courier New"/>
                <w:sz w:val="15"/>
                <w:szCs w:val="15"/>
                <w:color w:val="auto"/>
              </w:rPr>
              <w:t>4</w:t>
            </w:r>
          </w:p>
        </w:tc>
      </w:tr>
      <w:tr>
        <w:trPr>
          <w:trHeight w:val="352"/>
        </w:trPr>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Condensed statement of stockholders' equity (unaudited) for the</w:t>
            </w:r>
          </w:p>
        </w:tc>
        <w:tc>
          <w:tcPr>
            <w:tcW w:w="1980" w:type="dxa"/>
            <w:vAlign w:val="bottom"/>
          </w:tcPr>
          <w:p>
            <w:pPr>
              <w:spacing w:after="0"/>
              <w:rPr>
                <w:sz w:val="24"/>
                <w:szCs w:val="24"/>
                <w:color w:val="auto"/>
              </w:rPr>
            </w:pPr>
          </w:p>
        </w:tc>
      </w:tr>
      <w:tr>
        <w:trPr>
          <w:trHeight w:val="176"/>
        </w:trPr>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six months ended June 30, 1998</w:t>
            </w:r>
          </w:p>
        </w:tc>
        <w:tc>
          <w:tcPr>
            <w:tcW w:w="1980" w:type="dxa"/>
            <w:vAlign w:val="bottom"/>
          </w:tcPr>
          <w:p>
            <w:pPr>
              <w:ind w:left="1420"/>
              <w:spacing w:after="0"/>
              <w:rPr>
                <w:sz w:val="20"/>
                <w:szCs w:val="20"/>
                <w:color w:val="auto"/>
              </w:rPr>
            </w:pPr>
            <w:r>
              <w:rPr>
                <w:rFonts w:ascii="Courier New" w:cs="Courier New" w:eastAsia="Courier New" w:hAnsi="Courier New"/>
                <w:sz w:val="15"/>
                <w:szCs w:val="15"/>
                <w:color w:val="auto"/>
              </w:rPr>
              <w:t>5</w:t>
            </w:r>
          </w:p>
        </w:tc>
      </w:tr>
      <w:tr>
        <w:trPr>
          <w:trHeight w:val="352"/>
        </w:trPr>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Condensed statements of cash flows (unaudited) for the</w:t>
            </w:r>
          </w:p>
        </w:tc>
        <w:tc>
          <w:tcPr>
            <w:tcW w:w="1980" w:type="dxa"/>
            <w:vAlign w:val="bottom"/>
          </w:tcPr>
          <w:p>
            <w:pPr>
              <w:spacing w:after="0"/>
              <w:rPr>
                <w:sz w:val="24"/>
                <w:szCs w:val="24"/>
                <w:color w:val="auto"/>
              </w:rPr>
            </w:pPr>
          </w:p>
        </w:tc>
      </w:tr>
      <w:tr>
        <w:trPr>
          <w:trHeight w:val="176"/>
        </w:trPr>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three months and six months ended June 30, 1998 and 1997</w:t>
            </w:r>
          </w:p>
        </w:tc>
        <w:tc>
          <w:tcPr>
            <w:tcW w:w="1980" w:type="dxa"/>
            <w:vAlign w:val="bottom"/>
          </w:tcPr>
          <w:p>
            <w:pPr>
              <w:ind w:left="1420"/>
              <w:spacing w:after="0"/>
              <w:rPr>
                <w:sz w:val="20"/>
                <w:szCs w:val="20"/>
                <w:color w:val="auto"/>
              </w:rPr>
            </w:pPr>
            <w:r>
              <w:rPr>
                <w:rFonts w:ascii="Courier New" w:cs="Courier New" w:eastAsia="Courier New" w:hAnsi="Courier New"/>
                <w:sz w:val="15"/>
                <w:szCs w:val="15"/>
                <w:color w:val="auto"/>
              </w:rPr>
              <w:t>6</w:t>
            </w:r>
          </w:p>
        </w:tc>
      </w:tr>
      <w:tr>
        <w:trPr>
          <w:trHeight w:val="352"/>
        </w:trPr>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Notes to condensed financial statements</w:t>
            </w:r>
          </w:p>
        </w:tc>
        <w:tc>
          <w:tcPr>
            <w:tcW w:w="1980" w:type="dxa"/>
            <w:vAlign w:val="bottom"/>
          </w:tcPr>
          <w:p>
            <w:pPr>
              <w:ind w:left="1420"/>
              <w:spacing w:after="0"/>
              <w:rPr>
                <w:sz w:val="20"/>
                <w:szCs w:val="20"/>
                <w:color w:val="auto"/>
              </w:rPr>
            </w:pPr>
            <w:r>
              <w:rPr>
                <w:rFonts w:ascii="Courier New" w:cs="Courier New" w:eastAsia="Courier New" w:hAnsi="Courier New"/>
                <w:sz w:val="15"/>
                <w:szCs w:val="15"/>
                <w:color w:val="auto"/>
              </w:rPr>
              <w:t>7-11</w:t>
            </w:r>
          </w:p>
        </w:tc>
      </w:tr>
      <w:tr>
        <w:trPr>
          <w:trHeight w:val="35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80" w:type="dxa"/>
            <w:vAlign w:val="bottom"/>
          </w:tcPr>
          <w:p>
            <w:pPr>
              <w:spacing w:after="0"/>
              <w:rPr>
                <w:sz w:val="24"/>
                <w:szCs w:val="24"/>
                <w:color w:val="auto"/>
              </w:rPr>
            </w:pP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1980" w:type="dxa"/>
            <w:vAlign w:val="bottom"/>
          </w:tcPr>
          <w:p>
            <w:pPr>
              <w:spacing w:after="0"/>
              <w:rPr>
                <w:sz w:val="24"/>
                <w:szCs w:val="24"/>
                <w:color w:val="auto"/>
              </w:rPr>
            </w:pP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80" w:type="dxa"/>
            <w:vAlign w:val="bottom"/>
          </w:tcPr>
          <w:p>
            <w:pPr>
              <w:spacing w:after="0"/>
              <w:rPr>
                <w:sz w:val="15"/>
                <w:szCs w:val="15"/>
                <w:color w:val="auto"/>
              </w:rPr>
            </w:pPr>
          </w:p>
        </w:tc>
        <w:tc>
          <w:tcPr>
            <w:tcW w:w="68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and Results of Operations</w:t>
            </w:r>
          </w:p>
        </w:tc>
        <w:tc>
          <w:tcPr>
            <w:tcW w:w="1980" w:type="dxa"/>
            <w:vAlign w:val="bottom"/>
          </w:tcPr>
          <w:p>
            <w:pPr>
              <w:ind w:left="1340"/>
              <w:spacing w:after="0"/>
              <w:rPr>
                <w:sz w:val="20"/>
                <w:szCs w:val="20"/>
                <w:color w:val="auto"/>
              </w:rPr>
            </w:pPr>
            <w:r>
              <w:rPr>
                <w:rFonts w:ascii="Courier New" w:cs="Courier New" w:eastAsia="Courier New" w:hAnsi="Courier New"/>
                <w:sz w:val="15"/>
                <w:szCs w:val="15"/>
                <w:color w:val="auto"/>
              </w:rPr>
              <w:t>12-21</w:t>
            </w:r>
          </w:p>
        </w:tc>
      </w:tr>
      <w:tr>
        <w:trPr>
          <w:trHeight w:val="176"/>
        </w:trPr>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spacing w:after="0"/>
              <w:rPr>
                <w:sz w:val="15"/>
                <w:szCs w:val="15"/>
                <w:color w:val="auto"/>
              </w:rPr>
            </w:pPr>
          </w:p>
        </w:tc>
      </w:tr>
      <w:tr>
        <w:trPr>
          <w:trHeight w:val="529"/>
        </w:trPr>
        <w:tc>
          <w:tcPr>
            <w:tcW w:w="7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7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OTHER INFORMATION</w:t>
            </w:r>
          </w:p>
        </w:tc>
        <w:tc>
          <w:tcPr>
            <w:tcW w:w="1980" w:type="dxa"/>
            <w:vAlign w:val="bottom"/>
          </w:tcPr>
          <w:p>
            <w:pPr>
              <w:spacing w:after="0"/>
              <w:rPr>
                <w:sz w:val="24"/>
                <w:szCs w:val="24"/>
                <w:color w:val="auto"/>
              </w:rPr>
            </w:pPr>
          </w:p>
        </w:tc>
      </w:tr>
      <w:tr>
        <w:trPr>
          <w:trHeight w:val="529"/>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680" w:type="dxa"/>
            <w:vAlign w:val="bottom"/>
          </w:tcPr>
          <w:p>
            <w:pPr>
              <w:spacing w:after="0"/>
              <w:rPr>
                <w:sz w:val="24"/>
                <w:szCs w:val="24"/>
                <w:color w:val="auto"/>
              </w:rPr>
            </w:pP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1980" w:type="dxa"/>
            <w:vAlign w:val="bottom"/>
          </w:tcPr>
          <w:p>
            <w:pPr>
              <w:ind w:left="1420"/>
              <w:spacing w:after="0"/>
              <w:rPr>
                <w:sz w:val="20"/>
                <w:szCs w:val="20"/>
                <w:color w:val="auto"/>
              </w:rPr>
            </w:pPr>
            <w:r>
              <w:rPr>
                <w:rFonts w:ascii="Courier New" w:cs="Courier New" w:eastAsia="Courier New" w:hAnsi="Courier New"/>
                <w:sz w:val="15"/>
                <w:szCs w:val="15"/>
                <w:color w:val="auto"/>
              </w:rPr>
              <w:t>22</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80" w:type="dxa"/>
            <w:vAlign w:val="bottom"/>
          </w:tcPr>
          <w:p>
            <w:pPr>
              <w:spacing w:after="0"/>
              <w:rPr>
                <w:sz w:val="15"/>
                <w:szCs w:val="15"/>
                <w:color w:val="auto"/>
              </w:rPr>
            </w:pPr>
          </w:p>
        </w:tc>
        <w:tc>
          <w:tcPr>
            <w:tcW w:w="68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spacing w:after="0"/>
              <w:rPr>
                <w:sz w:val="15"/>
                <w:szCs w:val="15"/>
                <w:color w:val="auto"/>
              </w:rPr>
            </w:pPr>
          </w:p>
        </w:tc>
      </w:tr>
      <w:tr>
        <w:trPr>
          <w:trHeight w:val="35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80" w:type="dxa"/>
            <w:vAlign w:val="bottom"/>
          </w:tcPr>
          <w:p>
            <w:pPr>
              <w:spacing w:after="0"/>
              <w:rPr>
                <w:sz w:val="24"/>
                <w:szCs w:val="24"/>
                <w:color w:val="auto"/>
              </w:rPr>
            </w:pP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Exhibits and Reports on Form 8-K</w:t>
            </w:r>
          </w:p>
        </w:tc>
        <w:tc>
          <w:tcPr>
            <w:tcW w:w="1980" w:type="dxa"/>
            <w:vAlign w:val="bottom"/>
          </w:tcPr>
          <w:p>
            <w:pPr>
              <w:ind w:left="1420"/>
              <w:spacing w:after="0"/>
              <w:rPr>
                <w:sz w:val="20"/>
                <w:szCs w:val="20"/>
                <w:color w:val="auto"/>
              </w:rPr>
            </w:pPr>
            <w:r>
              <w:rPr>
                <w:rFonts w:ascii="Courier New" w:cs="Courier New" w:eastAsia="Courier New" w:hAnsi="Courier New"/>
                <w:sz w:val="15"/>
                <w:szCs w:val="15"/>
                <w:color w:val="auto"/>
              </w:rPr>
              <w:t>23</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80" w:type="dxa"/>
            <w:vAlign w:val="bottom"/>
          </w:tcPr>
          <w:p>
            <w:pPr>
              <w:spacing w:after="0"/>
              <w:rPr>
                <w:sz w:val="15"/>
                <w:szCs w:val="15"/>
                <w:color w:val="auto"/>
              </w:rPr>
            </w:pPr>
          </w:p>
        </w:tc>
        <w:tc>
          <w:tcPr>
            <w:tcW w:w="68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spacing w:after="0"/>
              <w:rPr>
                <w:sz w:val="15"/>
                <w:szCs w:val="15"/>
                <w:color w:val="auto"/>
              </w:rPr>
            </w:pPr>
          </w:p>
        </w:tc>
      </w:tr>
      <w:tr>
        <w:trPr>
          <w:trHeight w:val="705"/>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SIGNATURE PAGE</w:t>
            </w:r>
          </w:p>
        </w:tc>
        <w:tc>
          <w:tcPr>
            <w:tcW w:w="6820" w:type="dxa"/>
            <w:vAlign w:val="bottom"/>
          </w:tcPr>
          <w:p>
            <w:pPr>
              <w:spacing w:after="0"/>
              <w:rPr>
                <w:sz w:val="24"/>
                <w:szCs w:val="24"/>
                <w:color w:val="auto"/>
              </w:rPr>
            </w:pPr>
          </w:p>
        </w:tc>
        <w:tc>
          <w:tcPr>
            <w:tcW w:w="1980" w:type="dxa"/>
            <w:vAlign w:val="bottom"/>
          </w:tcPr>
          <w:p>
            <w:pPr>
              <w:ind w:left="1420"/>
              <w:spacing w:after="0"/>
              <w:rPr>
                <w:sz w:val="20"/>
                <w:szCs w:val="20"/>
                <w:color w:val="auto"/>
              </w:rPr>
            </w:pPr>
            <w:r>
              <w:rPr>
                <w:rFonts w:ascii="Courier New" w:cs="Courier New" w:eastAsia="Courier New" w:hAnsi="Courier New"/>
                <w:sz w:val="15"/>
                <w:szCs w:val="15"/>
                <w:color w:val="auto"/>
              </w:rPr>
              <w:t>24</w:t>
            </w:r>
          </w:p>
        </w:tc>
      </w:tr>
      <w:tr>
        <w:trPr>
          <w:trHeight w:val="529"/>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Exhibit 27</w:t>
            </w:r>
          </w:p>
        </w:tc>
        <w:tc>
          <w:tcPr>
            <w:tcW w:w="6820" w:type="dxa"/>
            <w:vAlign w:val="bottom"/>
          </w:tcPr>
          <w:p>
            <w:pPr>
              <w:ind w:left="180"/>
              <w:spacing w:after="0"/>
              <w:rPr>
                <w:sz w:val="20"/>
                <w:szCs w:val="20"/>
                <w:color w:val="auto"/>
              </w:rPr>
            </w:pPr>
            <w:r>
              <w:rPr>
                <w:rFonts w:ascii="Courier New" w:cs="Courier New" w:eastAsia="Courier New" w:hAnsi="Courier New"/>
                <w:sz w:val="15"/>
                <w:szCs w:val="15"/>
                <w:color w:val="auto"/>
              </w:rPr>
              <w:t>Financial data schedule</w:t>
            </w:r>
          </w:p>
        </w:tc>
        <w:tc>
          <w:tcPr>
            <w:tcW w:w="1980" w:type="dxa"/>
            <w:vAlign w:val="bottom"/>
          </w:tcPr>
          <w:p>
            <w:pPr>
              <w:spacing w:after="0"/>
              <w:rPr>
                <w:sz w:val="24"/>
                <w:szCs w:val="24"/>
                <w:color w:val="auto"/>
              </w:rPr>
            </w:pPr>
          </w:p>
        </w:tc>
      </w:tr>
      <w:tr>
        <w:trPr>
          <w:trHeight w:val="881"/>
        </w:trPr>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20" w:type="dxa"/>
            <w:vAlign w:val="bottom"/>
          </w:tcPr>
          <w:p>
            <w:pPr>
              <w:ind w:left="4220"/>
              <w:spacing w:after="0"/>
              <w:rPr>
                <w:sz w:val="20"/>
                <w:szCs w:val="20"/>
                <w:color w:val="auto"/>
              </w:rPr>
            </w:pPr>
            <w:r>
              <w:rPr>
                <w:rFonts w:ascii="Courier New" w:cs="Courier New" w:eastAsia="Courier New" w:hAnsi="Courier New"/>
                <w:sz w:val="15"/>
                <w:szCs w:val="15"/>
                <w:color w:val="auto"/>
              </w:rPr>
              <w:t>2</w:t>
            </w:r>
          </w:p>
        </w:tc>
        <w:tc>
          <w:tcPr>
            <w:tcW w:w="1980" w:type="dxa"/>
            <w:vAlign w:val="bottom"/>
          </w:tcPr>
          <w:p>
            <w:pPr>
              <w:spacing w:after="0"/>
              <w:rPr>
                <w:sz w:val="24"/>
                <w:szCs w:val="24"/>
                <w:color w:val="auto"/>
              </w:rPr>
            </w:pPr>
          </w:p>
        </w:tc>
      </w:tr>
    </w:tbl>
    <w:p>
      <w:pPr>
        <w:sectPr>
          <w:pgSz w:w="11900" w:h="16838" w:orient="portrait"/>
          <w:cols w:equalWidth="0" w:num="1">
            <w:col w:w="10260"/>
          </w:cols>
          <w:pgMar w:left="240" w:top="647" w:right="13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PART I.</w:t>
            </w:r>
          </w:p>
        </w:tc>
        <w:tc>
          <w:tcPr>
            <w:tcW w:w="7000" w:type="dxa"/>
            <w:vAlign w:val="bottom"/>
          </w:tcPr>
          <w:p>
            <w:pPr>
              <w:jc w:val="right"/>
              <w:ind w:right="4824"/>
              <w:spacing w:after="0"/>
              <w:rPr>
                <w:sz w:val="20"/>
                <w:szCs w:val="20"/>
                <w:color w:val="auto"/>
              </w:rPr>
            </w:pPr>
            <w:r>
              <w:rPr>
                <w:rFonts w:ascii="Courier New" w:cs="Courier New" w:eastAsia="Courier New" w:hAnsi="Courier New"/>
                <w:sz w:val="15"/>
                <w:szCs w:val="15"/>
                <w:color w:val="auto"/>
              </w:rPr>
              <w:t>FINANCIAL INFORMATION</w:t>
            </w:r>
          </w:p>
        </w:tc>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6"/>
        </w:trPr>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ITEM 1.</w:t>
            </w:r>
          </w:p>
        </w:tc>
        <w:tc>
          <w:tcPr>
            <w:tcW w:w="7000" w:type="dxa"/>
            <w:vAlign w:val="bottom"/>
          </w:tcPr>
          <w:p>
            <w:pPr>
              <w:jc w:val="right"/>
              <w:ind w:right="4824"/>
              <w:spacing w:after="0"/>
              <w:rPr>
                <w:sz w:val="20"/>
                <w:szCs w:val="20"/>
                <w:color w:val="auto"/>
              </w:rPr>
            </w:pPr>
            <w:r>
              <w:rPr>
                <w:rFonts w:ascii="Courier New" w:cs="Courier New" w:eastAsia="Courier New" w:hAnsi="Courier New"/>
                <w:sz w:val="15"/>
                <w:szCs w:val="15"/>
                <w:color w:val="auto"/>
              </w:rPr>
              <w:t>FINANCIAL STATEMENTS</w:t>
            </w:r>
          </w:p>
        </w:tc>
        <w:tc>
          <w:tcPr>
            <w:tcW w:w="2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52"/>
        </w:trPr>
        <w:tc>
          <w:tcPr>
            <w:tcW w:w="7640" w:type="dxa"/>
            <w:vAlign w:val="bottom"/>
            <w:gridSpan w:val="2"/>
          </w:tcPr>
          <w:p>
            <w:pPr>
              <w:spacing w:after="0"/>
              <w:rPr>
                <w:sz w:val="20"/>
                <w:szCs w:val="20"/>
                <w:color w:val="auto"/>
              </w:rPr>
            </w:pPr>
            <w:r>
              <w:rPr>
                <w:rFonts w:ascii="Courier New" w:cs="Courier New" w:eastAsia="Courier New" w:hAnsi="Courier New"/>
                <w:sz w:val="15"/>
                <w:szCs w:val="15"/>
                <w:color w:val="auto"/>
              </w:rPr>
              <w:t>REGENERON PHARMACEUTICALS, INC.</w:t>
            </w:r>
          </w:p>
        </w:tc>
        <w:tc>
          <w:tcPr>
            <w:tcW w:w="2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6"/>
        </w:trPr>
        <w:tc>
          <w:tcPr>
            <w:tcW w:w="7640" w:type="dxa"/>
            <w:vAlign w:val="bottom"/>
            <w:gridSpan w:val="2"/>
          </w:tcPr>
          <w:p>
            <w:pPr>
              <w:spacing w:after="0"/>
              <w:rPr>
                <w:sz w:val="20"/>
                <w:szCs w:val="20"/>
                <w:color w:val="auto"/>
              </w:rPr>
            </w:pPr>
            <w:r>
              <w:rPr>
                <w:rFonts w:ascii="Courier New" w:cs="Courier New" w:eastAsia="Courier New" w:hAnsi="Courier New"/>
                <w:sz w:val="15"/>
                <w:szCs w:val="15"/>
                <w:color w:val="auto"/>
              </w:rPr>
              <w:t>CONDENSED BALANCE SHEETS AT JUNE 30, 1998 AND DECEMBER 31, 1997 (Unaudited)</w:t>
            </w:r>
          </w:p>
        </w:tc>
        <w:tc>
          <w:tcPr>
            <w:tcW w:w="2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764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2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529"/>
        </w:trPr>
        <w:tc>
          <w:tcPr>
            <w:tcW w:w="6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2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June 30,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640" w:type="dxa"/>
            <w:vAlign w:val="bottom"/>
          </w:tcPr>
          <w:p>
            <w:pPr>
              <w:spacing w:after="0"/>
              <w:rPr>
                <w:sz w:val="15"/>
                <w:szCs w:val="15"/>
                <w:color w:val="auto"/>
              </w:rPr>
            </w:pPr>
          </w:p>
        </w:tc>
        <w:tc>
          <w:tcPr>
            <w:tcW w:w="7000" w:type="dxa"/>
            <w:vAlign w:val="bottom"/>
          </w:tcPr>
          <w:p>
            <w:pPr>
              <w:ind w:left="3120"/>
              <w:spacing w:after="0"/>
              <w:rPr>
                <w:sz w:val="20"/>
                <w:szCs w:val="20"/>
                <w:color w:val="auto"/>
              </w:rPr>
            </w:pPr>
            <w:r>
              <w:rPr>
                <w:rFonts w:ascii="Courier New" w:cs="Courier New" w:eastAsia="Courier New" w:hAnsi="Courier New"/>
                <w:sz w:val="15"/>
                <w:szCs w:val="15"/>
                <w:color w:val="auto"/>
              </w:rPr>
              <w:t>ASSETS</w:t>
            </w:r>
          </w:p>
        </w:tc>
        <w:tc>
          <w:tcPr>
            <w:tcW w:w="220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1998</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6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352"/>
        </w:trPr>
        <w:tc>
          <w:tcPr>
            <w:tcW w:w="764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2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Cash and cash equivalents</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$22,538</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$28,921</w:t>
            </w: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Marketable securities</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52,453</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63,602</w:t>
            </w: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The Procter &amp; Gamble Company</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9,782</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2,403</w:t>
            </w: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Merck &amp; Co., Inc.</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1,290</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1,707</w:t>
            </w: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Amgen-Regeneron Partners</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474</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356</w:t>
            </w: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Sumitomo Pharmaceuticals Co., Ltd.</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935</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2,115</w:t>
            </w: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926</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536</w:t>
            </w:r>
          </w:p>
        </w:tc>
      </w:tr>
      <w:tr>
        <w:trPr>
          <w:trHeight w:val="176"/>
        </w:trPr>
        <w:tc>
          <w:tcPr>
            <w:tcW w:w="6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0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4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88,398</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99,640</w:t>
            </w:r>
          </w:p>
        </w:tc>
      </w:tr>
      <w:tr>
        <w:trPr>
          <w:trHeight w:val="352"/>
        </w:trPr>
        <w:tc>
          <w:tcPr>
            <w:tcW w:w="7640" w:type="dxa"/>
            <w:vAlign w:val="bottom"/>
            <w:gridSpan w:val="2"/>
          </w:tcPr>
          <w:p>
            <w:pPr>
              <w:spacing w:after="0"/>
              <w:rPr>
                <w:sz w:val="20"/>
                <w:szCs w:val="20"/>
                <w:color w:val="auto"/>
              </w:rPr>
            </w:pPr>
            <w:r>
              <w:rPr>
                <w:rFonts w:ascii="Courier New" w:cs="Courier New" w:eastAsia="Courier New" w:hAnsi="Courier New"/>
                <w:sz w:val="15"/>
                <w:szCs w:val="15"/>
                <w:color w:val="auto"/>
              </w:rPr>
              <w:t>Marketable securities</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42,431</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35,518</w:t>
            </w:r>
          </w:p>
        </w:tc>
      </w:tr>
      <w:tr>
        <w:trPr>
          <w:trHeight w:val="176"/>
        </w:trPr>
        <w:tc>
          <w:tcPr>
            <w:tcW w:w="7640" w:type="dxa"/>
            <w:vAlign w:val="bottom"/>
            <w:gridSpan w:val="2"/>
          </w:tcPr>
          <w:p>
            <w:pPr>
              <w:spacing w:after="0"/>
              <w:rPr>
                <w:sz w:val="20"/>
                <w:szCs w:val="20"/>
                <w:color w:val="auto"/>
              </w:rPr>
            </w:pPr>
            <w:r>
              <w:rPr>
                <w:rFonts w:ascii="Courier New" w:cs="Courier New" w:eastAsia="Courier New" w:hAnsi="Courier New"/>
                <w:sz w:val="15"/>
                <w:szCs w:val="15"/>
                <w:color w:val="auto"/>
              </w:rPr>
              <w:t>Investment in Amgen-Regeneron Partners</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1,914</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364</w:t>
            </w:r>
          </w:p>
        </w:tc>
      </w:tr>
      <w:tr>
        <w:trPr>
          <w:trHeight w:val="176"/>
        </w:trPr>
        <w:tc>
          <w:tcPr>
            <w:tcW w:w="7640" w:type="dxa"/>
            <w:vAlign w:val="bottom"/>
            <w:gridSpan w:val="2"/>
          </w:tcPr>
          <w:p>
            <w:pPr>
              <w:spacing w:after="0"/>
              <w:rPr>
                <w:sz w:val="20"/>
                <w:szCs w:val="20"/>
                <w:color w:val="auto"/>
              </w:rPr>
            </w:pPr>
            <w:r>
              <w:rPr>
                <w:rFonts w:ascii="Courier New" w:cs="Courier New" w:eastAsia="Courier New" w:hAnsi="Courier New"/>
                <w:sz w:val="15"/>
                <w:szCs w:val="15"/>
                <w:color w:val="auto"/>
              </w:rPr>
              <w:t>Property, plant and equipment, at cost, net of accumulated depreciation</w:t>
            </w:r>
          </w:p>
        </w:tc>
        <w:tc>
          <w:tcPr>
            <w:tcW w:w="2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and amortization</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32,160</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32,713</w:t>
            </w:r>
          </w:p>
        </w:tc>
      </w:tr>
      <w:tr>
        <w:trPr>
          <w:trHeight w:val="176"/>
        </w:trPr>
        <w:tc>
          <w:tcPr>
            <w:tcW w:w="764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216</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w:t>
            </w:r>
          </w:p>
        </w:tc>
      </w:tr>
      <w:tr>
        <w:trPr>
          <w:trHeight w:val="176"/>
        </w:trPr>
        <w:tc>
          <w:tcPr>
            <w:tcW w:w="6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0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4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$165,119</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$168,380</w:t>
            </w:r>
          </w:p>
        </w:tc>
      </w:tr>
      <w:tr>
        <w:trPr>
          <w:trHeight w:val="176"/>
        </w:trPr>
        <w:tc>
          <w:tcPr>
            <w:tcW w:w="6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0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640" w:type="dxa"/>
            <w:vAlign w:val="bottom"/>
          </w:tcPr>
          <w:p>
            <w:pPr>
              <w:spacing w:after="0"/>
              <w:rPr>
                <w:sz w:val="24"/>
                <w:szCs w:val="24"/>
                <w:color w:val="auto"/>
              </w:rPr>
            </w:pPr>
          </w:p>
        </w:tc>
        <w:tc>
          <w:tcPr>
            <w:tcW w:w="7000" w:type="dxa"/>
            <w:vAlign w:val="bottom"/>
          </w:tcPr>
          <w:p>
            <w:pPr>
              <w:ind w:left="1740"/>
              <w:spacing w:after="0"/>
              <w:rPr>
                <w:sz w:val="20"/>
                <w:szCs w:val="20"/>
                <w:color w:val="auto"/>
              </w:rPr>
            </w:pPr>
            <w:r>
              <w:rPr>
                <w:rFonts w:ascii="Courier New" w:cs="Courier New" w:eastAsia="Courier New" w:hAnsi="Courier New"/>
                <w:sz w:val="15"/>
                <w:szCs w:val="15"/>
                <w:color w:val="auto"/>
              </w:rPr>
              <w:t>LIABILITIES and STOCKHOLDERS' EQUITY</w:t>
            </w:r>
          </w:p>
        </w:tc>
        <w:tc>
          <w:tcPr>
            <w:tcW w:w="2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6"/>
        </w:trPr>
        <w:tc>
          <w:tcPr>
            <w:tcW w:w="764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Accounts payable and accrued expenses</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$5,079</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$4,663</w:t>
            </w: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Capital lease obligations, current portion</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1,157</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1,770</w:t>
            </w: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Note payable, current portion</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72</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w:t>
            </w: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Deferred revenue, current portion</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2,205</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4,182</w:t>
            </w:r>
          </w:p>
        </w:tc>
      </w:tr>
      <w:tr>
        <w:trPr>
          <w:trHeight w:val="176"/>
        </w:trPr>
        <w:tc>
          <w:tcPr>
            <w:tcW w:w="6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0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4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8,513</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10,688</w:t>
            </w:r>
          </w:p>
        </w:tc>
      </w:tr>
      <w:tr>
        <w:trPr>
          <w:trHeight w:val="352"/>
        </w:trPr>
        <w:tc>
          <w:tcPr>
            <w:tcW w:w="764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1,961</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2,077</w:t>
            </w:r>
          </w:p>
        </w:tc>
      </w:tr>
      <w:tr>
        <w:trPr>
          <w:trHeight w:val="176"/>
        </w:trPr>
        <w:tc>
          <w:tcPr>
            <w:tcW w:w="7640" w:type="dxa"/>
            <w:vAlign w:val="bottom"/>
            <w:gridSpan w:val="2"/>
          </w:tcPr>
          <w:p>
            <w:pPr>
              <w:spacing w:after="0"/>
              <w:rPr>
                <w:sz w:val="20"/>
                <w:szCs w:val="20"/>
                <w:color w:val="auto"/>
              </w:rPr>
            </w:pPr>
            <w:r>
              <w:rPr>
                <w:rFonts w:ascii="Courier New" w:cs="Courier New" w:eastAsia="Courier New" w:hAnsi="Courier New"/>
                <w:sz w:val="15"/>
                <w:szCs w:val="15"/>
                <w:color w:val="auto"/>
              </w:rPr>
              <w:t>Note payable</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1,640</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1,675</w:t>
            </w:r>
          </w:p>
        </w:tc>
      </w:tr>
      <w:tr>
        <w:trPr>
          <w:trHeight w:val="176"/>
        </w:trPr>
        <w:tc>
          <w:tcPr>
            <w:tcW w:w="764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262</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242</w:t>
            </w:r>
          </w:p>
        </w:tc>
      </w:tr>
      <w:tr>
        <w:trPr>
          <w:trHeight w:val="176"/>
        </w:trPr>
        <w:tc>
          <w:tcPr>
            <w:tcW w:w="7640" w:type="dxa"/>
            <w:vAlign w:val="bottom"/>
            <w:gridSpan w:val="2"/>
          </w:tcPr>
          <w:p>
            <w:pPr>
              <w:spacing w:after="0"/>
              <w:rPr>
                <w:sz w:val="20"/>
                <w:szCs w:val="20"/>
                <w:color w:val="auto"/>
              </w:rPr>
            </w:pPr>
            <w:r>
              <w:rPr>
                <w:rFonts w:ascii="Courier New" w:cs="Courier New" w:eastAsia="Courier New" w:hAnsi="Courier New"/>
                <w:sz w:val="15"/>
                <w:szCs w:val="15"/>
                <w:color w:val="auto"/>
              </w:rPr>
              <w:t>Deferred revenue</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14,971</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14,801</w:t>
            </w:r>
          </w:p>
        </w:tc>
      </w:tr>
      <w:tr>
        <w:trPr>
          <w:trHeight w:val="352"/>
        </w:trPr>
        <w:tc>
          <w:tcPr>
            <w:tcW w:w="764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52"/>
        </w:trPr>
        <w:tc>
          <w:tcPr>
            <w:tcW w:w="76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Preferred stock, $.01 par value; 30,000,000 shares authorized; issued and</w:t>
            </w:r>
          </w:p>
        </w:tc>
        <w:tc>
          <w:tcPr>
            <w:tcW w:w="2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640" w:type="dxa"/>
            <w:vAlign w:val="bottom"/>
          </w:tcPr>
          <w:p>
            <w:pPr>
              <w:spacing w:after="0"/>
              <w:rPr>
                <w:sz w:val="15"/>
                <w:szCs w:val="15"/>
                <w:color w:val="auto"/>
              </w:rPr>
            </w:pPr>
          </w:p>
        </w:tc>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outstanding - none</w:t>
            </w:r>
          </w:p>
        </w:tc>
        <w:tc>
          <w:tcPr>
            <w:tcW w:w="2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Class A Stock, convertible, $.001 par value; 40,000,000 shares authorized;</w:t>
            </w:r>
          </w:p>
        </w:tc>
        <w:tc>
          <w:tcPr>
            <w:tcW w:w="2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640" w:type="dxa"/>
            <w:vAlign w:val="bottom"/>
          </w:tcPr>
          <w:p>
            <w:pPr>
              <w:spacing w:after="0"/>
              <w:rPr>
                <w:sz w:val="15"/>
                <w:szCs w:val="15"/>
                <w:color w:val="auto"/>
              </w:rPr>
            </w:pPr>
          </w:p>
        </w:tc>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3,643,720 shares issued and outstanding in 1998</w:t>
            </w:r>
          </w:p>
        </w:tc>
        <w:tc>
          <w:tcPr>
            <w:tcW w:w="2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640" w:type="dxa"/>
            <w:vAlign w:val="bottom"/>
          </w:tcPr>
          <w:p>
            <w:pPr>
              <w:spacing w:after="0"/>
              <w:rPr>
                <w:sz w:val="15"/>
                <w:szCs w:val="15"/>
                <w:color w:val="auto"/>
              </w:rPr>
            </w:pPr>
          </w:p>
        </w:tc>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4,117,540 shares issued and outstanding in 1997</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w:t>
            </w: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Common Stock, $.001 par value; 60,000,000 shares authorized;</w:t>
            </w:r>
          </w:p>
        </w:tc>
        <w:tc>
          <w:tcPr>
            <w:tcW w:w="2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640" w:type="dxa"/>
            <w:vAlign w:val="bottom"/>
          </w:tcPr>
          <w:p>
            <w:pPr>
              <w:spacing w:after="0"/>
              <w:rPr>
                <w:sz w:val="15"/>
                <w:szCs w:val="15"/>
                <w:color w:val="auto"/>
              </w:rPr>
            </w:pPr>
          </w:p>
        </w:tc>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27,363,854 shares issued and outstanding in 1998</w:t>
            </w:r>
          </w:p>
        </w:tc>
        <w:tc>
          <w:tcPr>
            <w:tcW w:w="2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640" w:type="dxa"/>
            <w:vAlign w:val="bottom"/>
          </w:tcPr>
          <w:p>
            <w:pPr>
              <w:spacing w:after="0"/>
              <w:rPr>
                <w:sz w:val="15"/>
                <w:szCs w:val="15"/>
                <w:color w:val="auto"/>
              </w:rPr>
            </w:pPr>
          </w:p>
        </w:tc>
        <w:tc>
          <w:tcPr>
            <w:tcW w:w="7000" w:type="dxa"/>
            <w:vAlign w:val="bottom"/>
          </w:tcPr>
          <w:p>
            <w:pPr>
              <w:ind w:left="80"/>
              <w:spacing w:after="0"/>
              <w:rPr>
                <w:sz w:val="20"/>
                <w:szCs w:val="20"/>
                <w:color w:val="auto"/>
              </w:rPr>
            </w:pPr>
            <w:r>
              <w:rPr>
                <w:rFonts w:ascii="Courier New" w:cs="Courier New" w:eastAsia="Courier New" w:hAnsi="Courier New"/>
                <w:sz w:val="15"/>
                <w:szCs w:val="15"/>
                <w:color w:val="auto"/>
              </w:rPr>
              <w:t>26,804,941 shares issued and outstanding in 1997</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w:t>
            </w: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Additional paid-in capital</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308,516</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308,109</w:t>
            </w: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Unearned compensation</w:t>
            </w:r>
          </w:p>
        </w:tc>
        <w:tc>
          <w:tcPr>
            <w:tcW w:w="2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Accumulated deficit</w:t>
            </w:r>
          </w:p>
        </w:tc>
        <w:tc>
          <w:tcPr>
            <w:tcW w:w="2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(170,297)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(168,608)</w:t>
            </w:r>
          </w:p>
        </w:tc>
      </w:tr>
      <w:tr>
        <w:trPr>
          <w:trHeight w:val="176"/>
        </w:trPr>
        <w:tc>
          <w:tcPr>
            <w:tcW w:w="7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Accumulated other comprehensive income</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w:t>
            </w:r>
          </w:p>
        </w:tc>
      </w:tr>
      <w:tr>
        <w:trPr>
          <w:trHeight w:val="176"/>
        </w:trPr>
        <w:tc>
          <w:tcPr>
            <w:tcW w:w="6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0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4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137,772</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138,897</w:t>
            </w:r>
          </w:p>
        </w:tc>
      </w:tr>
      <w:tr>
        <w:trPr>
          <w:trHeight w:val="176"/>
        </w:trPr>
        <w:tc>
          <w:tcPr>
            <w:tcW w:w="6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0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4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$165,119</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$168,380</w:t>
            </w:r>
          </w:p>
        </w:tc>
      </w:tr>
      <w:tr>
        <w:trPr>
          <w:trHeight w:val="176"/>
        </w:trPr>
        <w:tc>
          <w:tcPr>
            <w:tcW w:w="6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0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82"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440"/>
          </w:cols>
          <w:pgMar w:left="240" w:top="647" w:right="2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OPERATIONS (Unaudited)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35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Three months ended June 30,</w:t>
            </w:r>
          </w:p>
        </w:tc>
        <w:tc>
          <w:tcPr>
            <w:tcW w:w="334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Six months ended June 30,</w:t>
            </w:r>
          </w:p>
        </w:tc>
      </w:tr>
      <w:tr>
        <w:trPr>
          <w:trHeight w:val="176"/>
        </w:trPr>
        <w:tc>
          <w:tcPr>
            <w:tcW w:w="3700" w:type="dxa"/>
            <w:vAlign w:val="bottom"/>
          </w:tcPr>
          <w:p>
            <w:pPr>
              <w:spacing w:after="0"/>
              <w:rPr>
                <w:sz w:val="15"/>
                <w:szCs w:val="15"/>
                <w:color w:val="auto"/>
              </w:rPr>
            </w:pPr>
          </w:p>
        </w:tc>
        <w:tc>
          <w:tcPr>
            <w:tcW w:w="17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1998</w:t>
            </w:r>
          </w:p>
        </w:tc>
        <w:tc>
          <w:tcPr>
            <w:tcW w:w="18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1997</w:t>
            </w:r>
          </w:p>
        </w:tc>
        <w:tc>
          <w:tcPr>
            <w:tcW w:w="1880" w:type="dxa"/>
            <w:vAlign w:val="bottom"/>
          </w:tcPr>
          <w:p>
            <w:pPr>
              <w:ind w:left="680"/>
              <w:spacing w:after="0"/>
              <w:rPr>
                <w:sz w:val="20"/>
                <w:szCs w:val="20"/>
                <w:color w:val="auto"/>
              </w:rPr>
            </w:pPr>
            <w:r>
              <w:rPr>
                <w:rFonts w:ascii="Courier New" w:cs="Courier New" w:eastAsia="Courier New" w:hAnsi="Courier New"/>
                <w:sz w:val="15"/>
                <w:szCs w:val="15"/>
                <w:color w:val="auto"/>
              </w:rPr>
              <w:t>1998</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3700" w:type="dxa"/>
            <w:vAlign w:val="bottom"/>
          </w:tcPr>
          <w:p>
            <w:pPr>
              <w:spacing w:after="0"/>
              <w:rPr>
                <w:sz w:val="15"/>
                <w:szCs w:val="15"/>
                <w:color w:val="auto"/>
              </w:rPr>
            </w:pPr>
          </w:p>
        </w:tc>
        <w:tc>
          <w:tcPr>
            <w:tcW w:w="1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37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6"/>
        </w:trPr>
        <w:tc>
          <w:tcPr>
            <w:tcW w:w="3700" w:type="dxa"/>
            <w:vAlign w:val="bottom"/>
          </w:tcPr>
          <w:p>
            <w:pPr>
              <w:ind w:left="540"/>
              <w:spacing w:after="0"/>
              <w:rPr>
                <w:sz w:val="20"/>
                <w:szCs w:val="20"/>
                <w:color w:val="auto"/>
              </w:rPr>
            </w:pPr>
            <w:r>
              <w:rPr>
                <w:rFonts w:ascii="Courier New" w:cs="Courier New" w:eastAsia="Courier New" w:hAnsi="Courier New"/>
                <w:sz w:val="15"/>
                <w:szCs w:val="15"/>
                <w:color w:val="auto"/>
              </w:rPr>
              <w:t>Contract research and development</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$6,202</w:t>
            </w:r>
          </w:p>
        </w:tc>
        <w:tc>
          <w:tcPr>
            <w:tcW w:w="1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$4,377</w:t>
            </w:r>
          </w:p>
        </w:tc>
        <w:tc>
          <w:tcPr>
            <w:tcW w:w="1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$10,776</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$8,616</w:t>
            </w:r>
          </w:p>
        </w:tc>
      </w:tr>
      <w:tr>
        <w:trPr>
          <w:trHeight w:val="176"/>
        </w:trPr>
        <w:tc>
          <w:tcPr>
            <w:tcW w:w="3700" w:type="dxa"/>
            <w:vAlign w:val="bottom"/>
          </w:tcPr>
          <w:p>
            <w:pPr>
              <w:ind w:left="540"/>
              <w:spacing w:after="0"/>
              <w:rPr>
                <w:sz w:val="20"/>
                <w:szCs w:val="20"/>
                <w:color w:val="auto"/>
              </w:rPr>
            </w:pPr>
            <w:r>
              <w:rPr>
                <w:rFonts w:ascii="Courier New" w:cs="Courier New" w:eastAsia="Courier New" w:hAnsi="Courier New"/>
                <w:sz w:val="15"/>
                <w:szCs w:val="15"/>
                <w:color w:val="auto"/>
              </w:rPr>
              <w:t>Research progress payments</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5,000</w:t>
            </w:r>
          </w:p>
        </w:tc>
        <w:tc>
          <w:tcPr>
            <w:tcW w:w="1880" w:type="dxa"/>
            <w:vAlign w:val="bottom"/>
          </w:tcPr>
          <w:p>
            <w:pPr>
              <w:spacing w:after="0"/>
              <w:rPr>
                <w:sz w:val="15"/>
                <w:szCs w:val="15"/>
                <w:color w:val="auto"/>
              </w:rPr>
            </w:pPr>
          </w:p>
        </w:tc>
        <w:tc>
          <w:tcPr>
            <w:tcW w:w="1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5,000</w:t>
            </w:r>
          </w:p>
        </w:tc>
        <w:tc>
          <w:tcPr>
            <w:tcW w:w="1460" w:type="dxa"/>
            <w:vAlign w:val="bottom"/>
          </w:tcPr>
          <w:p>
            <w:pPr>
              <w:spacing w:after="0"/>
              <w:rPr>
                <w:sz w:val="15"/>
                <w:szCs w:val="15"/>
                <w:color w:val="auto"/>
              </w:rPr>
            </w:pPr>
          </w:p>
        </w:tc>
      </w:tr>
      <w:tr>
        <w:trPr>
          <w:trHeight w:val="176"/>
        </w:trPr>
        <w:tc>
          <w:tcPr>
            <w:tcW w:w="3700" w:type="dxa"/>
            <w:vAlign w:val="bottom"/>
          </w:tcPr>
          <w:p>
            <w:pPr>
              <w:ind w:left="540"/>
              <w:spacing w:after="0"/>
              <w:rPr>
                <w:sz w:val="20"/>
                <w:szCs w:val="20"/>
                <w:color w:val="auto"/>
              </w:rPr>
            </w:pPr>
            <w:r>
              <w:rPr>
                <w:rFonts w:ascii="Courier New" w:cs="Courier New" w:eastAsia="Courier New" w:hAnsi="Courier New"/>
                <w:sz w:val="15"/>
                <w:szCs w:val="15"/>
                <w:color w:val="auto"/>
              </w:rPr>
              <w:t>Contract manufacturing</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2,281</w:t>
            </w:r>
          </w:p>
        </w:tc>
        <w:tc>
          <w:tcPr>
            <w:tcW w:w="1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858</w:t>
            </w:r>
          </w:p>
        </w:tc>
        <w:tc>
          <w:tcPr>
            <w:tcW w:w="1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4,167</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1,555</w:t>
            </w:r>
          </w:p>
        </w:tc>
      </w:tr>
      <w:tr>
        <w:trPr>
          <w:trHeight w:val="176"/>
        </w:trPr>
        <w:tc>
          <w:tcPr>
            <w:tcW w:w="3700" w:type="dxa"/>
            <w:vAlign w:val="bottom"/>
          </w:tcPr>
          <w:p>
            <w:pPr>
              <w:ind w:left="540"/>
              <w:spacing w:after="0"/>
              <w:rPr>
                <w:sz w:val="20"/>
                <w:szCs w:val="20"/>
                <w:color w:val="auto"/>
              </w:rPr>
            </w:pPr>
            <w:r>
              <w:rPr>
                <w:rFonts w:ascii="Courier New" w:cs="Courier New" w:eastAsia="Courier New" w:hAnsi="Courier New"/>
                <w:sz w:val="15"/>
                <w:szCs w:val="15"/>
                <w:color w:val="auto"/>
              </w:rPr>
              <w:t>Investment income</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1,712</w:t>
            </w:r>
          </w:p>
        </w:tc>
        <w:tc>
          <w:tcPr>
            <w:tcW w:w="1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1,381</w:t>
            </w:r>
          </w:p>
        </w:tc>
        <w:tc>
          <w:tcPr>
            <w:tcW w:w="1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3,502</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2,659</w:t>
            </w:r>
          </w:p>
        </w:tc>
      </w:tr>
      <w:tr>
        <w:trPr>
          <w:trHeight w:val="176"/>
        </w:trPr>
        <w:tc>
          <w:tcPr>
            <w:tcW w:w="3700" w:type="dxa"/>
            <w:vAlign w:val="bottom"/>
          </w:tcPr>
          <w:p>
            <w:pPr>
              <w:spacing w:after="0"/>
              <w:rPr>
                <w:sz w:val="15"/>
                <w:szCs w:val="15"/>
                <w:color w:val="auto"/>
              </w:rPr>
            </w:pPr>
          </w:p>
        </w:tc>
        <w:tc>
          <w:tcPr>
            <w:tcW w:w="1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700" w:type="dxa"/>
            <w:vAlign w:val="bottom"/>
          </w:tcPr>
          <w:p>
            <w:pPr>
              <w:spacing w:after="0"/>
              <w:rPr>
                <w:sz w:val="15"/>
                <w:szCs w:val="15"/>
                <w:color w:val="auto"/>
              </w:rPr>
            </w:pP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15,195</w:t>
            </w:r>
          </w:p>
        </w:tc>
        <w:tc>
          <w:tcPr>
            <w:tcW w:w="1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6,616</w:t>
            </w:r>
          </w:p>
        </w:tc>
        <w:tc>
          <w:tcPr>
            <w:tcW w:w="1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23,445</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12,830</w:t>
            </w:r>
          </w:p>
        </w:tc>
      </w:tr>
      <w:tr>
        <w:trPr>
          <w:trHeight w:val="176"/>
        </w:trPr>
        <w:tc>
          <w:tcPr>
            <w:tcW w:w="3700" w:type="dxa"/>
            <w:vAlign w:val="bottom"/>
          </w:tcPr>
          <w:p>
            <w:pPr>
              <w:spacing w:after="0"/>
              <w:rPr>
                <w:sz w:val="15"/>
                <w:szCs w:val="15"/>
                <w:color w:val="auto"/>
              </w:rPr>
            </w:pPr>
          </w:p>
        </w:tc>
        <w:tc>
          <w:tcPr>
            <w:tcW w:w="1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37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6"/>
        </w:trPr>
        <w:tc>
          <w:tcPr>
            <w:tcW w:w="3700" w:type="dxa"/>
            <w:vAlign w:val="bottom"/>
          </w:tcPr>
          <w:p>
            <w:pPr>
              <w:ind w:left="540"/>
              <w:spacing w:after="0"/>
              <w:rPr>
                <w:sz w:val="20"/>
                <w:szCs w:val="20"/>
                <w:color w:val="auto"/>
              </w:rPr>
            </w:pPr>
            <w:r>
              <w:rPr>
                <w:rFonts w:ascii="Courier New" w:cs="Courier New" w:eastAsia="Courier New" w:hAnsi="Courier New"/>
                <w:sz w:val="15"/>
                <w:szCs w:val="15"/>
                <w:color w:val="auto"/>
              </w:rPr>
              <w:t>Research and development</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9,054</w:t>
            </w:r>
          </w:p>
        </w:tc>
        <w:tc>
          <w:tcPr>
            <w:tcW w:w="1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6,881</w:t>
            </w:r>
          </w:p>
        </w:tc>
        <w:tc>
          <w:tcPr>
            <w:tcW w:w="1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17,204</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13,957</w:t>
            </w:r>
          </w:p>
        </w:tc>
      </w:tr>
      <w:tr>
        <w:trPr>
          <w:trHeight w:val="176"/>
        </w:trPr>
        <w:tc>
          <w:tcPr>
            <w:tcW w:w="3700" w:type="dxa"/>
            <w:vAlign w:val="bottom"/>
          </w:tcPr>
          <w:p>
            <w:pPr>
              <w:ind w:left="540"/>
              <w:spacing w:after="0"/>
              <w:rPr>
                <w:sz w:val="20"/>
                <w:szCs w:val="20"/>
                <w:color w:val="auto"/>
              </w:rPr>
            </w:pPr>
            <w:r>
              <w:rPr>
                <w:rFonts w:ascii="Courier New" w:cs="Courier New" w:eastAsia="Courier New" w:hAnsi="Courier New"/>
                <w:sz w:val="15"/>
                <w:szCs w:val="15"/>
                <w:color w:val="auto"/>
              </w:rPr>
              <w:t>Loss in Amgen-Regeneron Partners</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186</w:t>
            </w:r>
          </w:p>
        </w:tc>
        <w:tc>
          <w:tcPr>
            <w:tcW w:w="1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479</w:t>
            </w:r>
          </w:p>
        </w:tc>
        <w:tc>
          <w:tcPr>
            <w:tcW w:w="1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873</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2,179</w:t>
            </w:r>
          </w:p>
        </w:tc>
      </w:tr>
      <w:tr>
        <w:trPr>
          <w:trHeight w:val="176"/>
        </w:trPr>
        <w:tc>
          <w:tcPr>
            <w:tcW w:w="3700" w:type="dxa"/>
            <w:vAlign w:val="bottom"/>
          </w:tcPr>
          <w:p>
            <w:pPr>
              <w:ind w:left="540"/>
              <w:spacing w:after="0"/>
              <w:rPr>
                <w:sz w:val="20"/>
                <w:szCs w:val="20"/>
                <w:color w:val="auto"/>
              </w:rPr>
            </w:pPr>
            <w:r>
              <w:rPr>
                <w:rFonts w:ascii="Courier New" w:cs="Courier New" w:eastAsia="Courier New" w:hAnsi="Courier New"/>
                <w:sz w:val="15"/>
                <w:szCs w:val="15"/>
                <w:color w:val="auto"/>
              </w:rPr>
              <w:t>General and administrative</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1,693</w:t>
            </w:r>
          </w:p>
        </w:tc>
        <w:tc>
          <w:tcPr>
            <w:tcW w:w="1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1,688</w:t>
            </w:r>
          </w:p>
        </w:tc>
        <w:tc>
          <w:tcPr>
            <w:tcW w:w="1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3,077</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3,152</w:t>
            </w:r>
          </w:p>
        </w:tc>
      </w:tr>
      <w:tr>
        <w:trPr>
          <w:trHeight w:val="176"/>
        </w:trPr>
        <w:tc>
          <w:tcPr>
            <w:tcW w:w="3700" w:type="dxa"/>
            <w:vAlign w:val="bottom"/>
          </w:tcPr>
          <w:p>
            <w:pPr>
              <w:ind w:left="540"/>
              <w:spacing w:after="0"/>
              <w:rPr>
                <w:sz w:val="20"/>
                <w:szCs w:val="20"/>
                <w:color w:val="auto"/>
              </w:rPr>
            </w:pPr>
            <w:r>
              <w:rPr>
                <w:rFonts w:ascii="Courier New" w:cs="Courier New" w:eastAsia="Courier New" w:hAnsi="Courier New"/>
                <w:sz w:val="15"/>
                <w:szCs w:val="15"/>
                <w:color w:val="auto"/>
              </w:rPr>
              <w:t>Depreciation and amortization</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780</w:t>
            </w:r>
          </w:p>
        </w:tc>
        <w:tc>
          <w:tcPr>
            <w:tcW w:w="1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1,165</w:t>
            </w:r>
          </w:p>
        </w:tc>
        <w:tc>
          <w:tcPr>
            <w:tcW w:w="1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1,649</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2,367</w:t>
            </w:r>
          </w:p>
        </w:tc>
      </w:tr>
      <w:tr>
        <w:trPr>
          <w:trHeight w:val="176"/>
        </w:trPr>
        <w:tc>
          <w:tcPr>
            <w:tcW w:w="3700" w:type="dxa"/>
            <w:vAlign w:val="bottom"/>
          </w:tcPr>
          <w:p>
            <w:pPr>
              <w:ind w:left="540"/>
              <w:spacing w:after="0"/>
              <w:rPr>
                <w:sz w:val="20"/>
                <w:szCs w:val="20"/>
                <w:color w:val="auto"/>
              </w:rPr>
            </w:pPr>
            <w:r>
              <w:rPr>
                <w:rFonts w:ascii="Courier New" w:cs="Courier New" w:eastAsia="Courier New" w:hAnsi="Courier New"/>
                <w:sz w:val="15"/>
                <w:szCs w:val="15"/>
                <w:color w:val="auto"/>
              </w:rPr>
              <w:t>Contract manufacturing</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1,235</w:t>
            </w:r>
          </w:p>
        </w:tc>
        <w:tc>
          <w:tcPr>
            <w:tcW w:w="1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476</w:t>
            </w:r>
          </w:p>
        </w:tc>
        <w:tc>
          <w:tcPr>
            <w:tcW w:w="1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2,103</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969</w:t>
            </w:r>
          </w:p>
        </w:tc>
      </w:tr>
      <w:tr>
        <w:trPr>
          <w:trHeight w:val="176"/>
        </w:trPr>
        <w:tc>
          <w:tcPr>
            <w:tcW w:w="3700" w:type="dxa"/>
            <w:vAlign w:val="bottom"/>
          </w:tcPr>
          <w:p>
            <w:pPr>
              <w:ind w:left="540"/>
              <w:spacing w:after="0"/>
              <w:rPr>
                <w:sz w:val="20"/>
                <w:szCs w:val="20"/>
                <w:color w:val="auto"/>
              </w:rPr>
            </w:pPr>
            <w:r>
              <w:rPr>
                <w:rFonts w:ascii="Courier New" w:cs="Courier New" w:eastAsia="Courier New" w:hAnsi="Courier New"/>
                <w:sz w:val="15"/>
                <w:szCs w:val="15"/>
                <w:color w:val="auto"/>
              </w:rPr>
              <w:t>Interest</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107</w:t>
            </w:r>
          </w:p>
        </w:tc>
        <w:tc>
          <w:tcPr>
            <w:tcW w:w="1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197</w:t>
            </w:r>
          </w:p>
        </w:tc>
        <w:tc>
          <w:tcPr>
            <w:tcW w:w="1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228</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405</w:t>
            </w:r>
          </w:p>
        </w:tc>
      </w:tr>
      <w:tr>
        <w:trPr>
          <w:trHeight w:val="176"/>
        </w:trPr>
        <w:tc>
          <w:tcPr>
            <w:tcW w:w="3700" w:type="dxa"/>
            <w:vAlign w:val="bottom"/>
          </w:tcPr>
          <w:p>
            <w:pPr>
              <w:spacing w:after="0"/>
              <w:rPr>
                <w:sz w:val="15"/>
                <w:szCs w:val="15"/>
                <w:color w:val="auto"/>
              </w:rPr>
            </w:pPr>
          </w:p>
        </w:tc>
        <w:tc>
          <w:tcPr>
            <w:tcW w:w="1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700" w:type="dxa"/>
            <w:vAlign w:val="bottom"/>
          </w:tcPr>
          <w:p>
            <w:pPr>
              <w:spacing w:after="0"/>
              <w:rPr>
                <w:sz w:val="15"/>
                <w:szCs w:val="15"/>
                <w:color w:val="auto"/>
              </w:rPr>
            </w:pP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13,055</w:t>
            </w:r>
          </w:p>
        </w:tc>
        <w:tc>
          <w:tcPr>
            <w:tcW w:w="1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10,886</w:t>
            </w:r>
          </w:p>
        </w:tc>
        <w:tc>
          <w:tcPr>
            <w:tcW w:w="1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25,134</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23,029</w:t>
            </w:r>
          </w:p>
        </w:tc>
      </w:tr>
      <w:tr>
        <w:trPr>
          <w:trHeight w:val="176"/>
        </w:trPr>
        <w:tc>
          <w:tcPr>
            <w:tcW w:w="3700" w:type="dxa"/>
            <w:vAlign w:val="bottom"/>
          </w:tcPr>
          <w:p>
            <w:pPr>
              <w:spacing w:after="0"/>
              <w:rPr>
                <w:sz w:val="15"/>
                <w:szCs w:val="15"/>
                <w:color w:val="auto"/>
              </w:rPr>
            </w:pPr>
          </w:p>
        </w:tc>
        <w:tc>
          <w:tcPr>
            <w:tcW w:w="1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$2,140</w:t>
            </w:r>
          </w:p>
        </w:tc>
        <w:tc>
          <w:tcPr>
            <w:tcW w:w="1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($4,270)</w:t>
            </w:r>
          </w:p>
        </w:tc>
        <w:tc>
          <w:tcPr>
            <w:tcW w:w="1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($1,689)</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($10,199)</w:t>
            </w:r>
          </w:p>
        </w:tc>
      </w:tr>
      <w:tr>
        <w:trPr>
          <w:trHeight w:val="176"/>
        </w:trPr>
        <w:tc>
          <w:tcPr>
            <w:tcW w:w="3700" w:type="dxa"/>
            <w:vAlign w:val="bottom"/>
          </w:tcPr>
          <w:p>
            <w:pPr>
              <w:spacing w:after="0"/>
              <w:rPr>
                <w:sz w:val="15"/>
                <w:szCs w:val="15"/>
                <w:color w:val="auto"/>
              </w:rPr>
            </w:pPr>
          </w:p>
        </w:tc>
        <w:tc>
          <w:tcPr>
            <w:tcW w:w="1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income (loss) per share,</w:t>
            </w:r>
          </w:p>
        </w:tc>
        <w:tc>
          <w:tcPr>
            <w:tcW w:w="1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6"/>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basic and diluted</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$0.07</w:t>
            </w:r>
          </w:p>
        </w:tc>
        <w:tc>
          <w:tcPr>
            <w:tcW w:w="1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($0.16)</w:t>
            </w:r>
          </w:p>
        </w:tc>
        <w:tc>
          <w:tcPr>
            <w:tcW w:w="1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($0.05)</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($0.38)</w:t>
            </w:r>
          </w:p>
        </w:tc>
      </w:tr>
      <w:tr>
        <w:trPr>
          <w:trHeight w:val="176"/>
        </w:trPr>
        <w:tc>
          <w:tcPr>
            <w:tcW w:w="3700" w:type="dxa"/>
            <w:vAlign w:val="bottom"/>
          </w:tcPr>
          <w:p>
            <w:pPr>
              <w:spacing w:after="0"/>
              <w:rPr>
                <w:sz w:val="15"/>
                <w:szCs w:val="15"/>
                <w:color w:val="auto"/>
              </w:rPr>
            </w:pPr>
          </w:p>
        </w:tc>
        <w:tc>
          <w:tcPr>
            <w:tcW w:w="1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59"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620"/>
          </w:cols>
          <w:pgMar w:left="240" w:top="647" w:right="10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 OF STOCKHOLDERS' EQUITY (Unaudited)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six months ended June 30, 1998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1180"/>
          </w:cols>
          <w:pgMar w:left="240" w:top="64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Class A Stock</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660"/>
        <w:spacing w:after="0"/>
        <w:tabs>
          <w:tab w:leader="none" w:pos="482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6" w:lineRule="exact"/>
        <w:rPr>
          <w:sz w:val="20"/>
          <w:szCs w:val="20"/>
          <w:color w:val="auto"/>
        </w:rPr>
      </w:pPr>
    </w:p>
    <w:p>
      <w:pPr>
        <w:ind w:left="3480"/>
        <w:spacing w:after="0"/>
        <w:tabs>
          <w:tab w:leader="none" w:pos="4640"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550"/>
        <w:spacing w:after="0" w:line="249" w:lineRule="auto"/>
        <w:rPr>
          <w:sz w:val="20"/>
          <w:szCs w:val="20"/>
          <w:color w:val="auto"/>
        </w:rPr>
      </w:pPr>
      <w:r>
        <w:rPr>
          <w:rFonts w:ascii="Courier New" w:cs="Courier New" w:eastAsia="Courier New" w:hAnsi="Courier New"/>
          <w:sz w:val="15"/>
          <w:szCs w:val="15"/>
          <w:color w:val="auto"/>
        </w:rPr>
        <w:t>Common Stock ----------------------- Shares Amount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Additional</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Paid-in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Capital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183"/>
        <w:spacing w:after="0" w:line="249" w:lineRule="auto"/>
        <w:rPr>
          <w:sz w:val="20"/>
          <w:szCs w:val="20"/>
          <w:color w:val="auto"/>
        </w:rPr>
      </w:pPr>
      <w:r>
        <w:rPr>
          <w:rFonts w:ascii="Courier New" w:cs="Courier New" w:eastAsia="Courier New" w:hAnsi="Courier New"/>
          <w:sz w:val="15"/>
          <w:szCs w:val="15"/>
          <w:color w:val="auto"/>
        </w:rPr>
        <w:t>Unearned Compensation --------------</w:t>
      </w:r>
    </w:p>
    <w:p>
      <w:pPr>
        <w:spacing w:after="0" w:line="200" w:lineRule="exact"/>
        <w:rPr>
          <w:sz w:val="20"/>
          <w:szCs w:val="20"/>
          <w:color w:val="auto"/>
        </w:rPr>
      </w:pPr>
    </w:p>
    <w:p>
      <w:pPr>
        <w:sectPr>
          <w:pgSz w:w="11900" w:h="16838" w:orient="portrait"/>
          <w:cols w:equalWidth="0" w:num="4">
            <w:col w:w="5680" w:space="260"/>
            <w:col w:w="2120" w:space="360"/>
            <w:col w:w="1100" w:space="360"/>
            <w:col w:w="1300"/>
          </w:cols>
          <w:pgMar w:left="240" w:top="647" w:right="479" w:bottom="1440" w:gutter="0" w:footer="0" w:header="0"/>
          <w:type w:val="continuous"/>
        </w:sectPr>
      </w:pP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Balance, December 31, 1997</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5"/>
          <w:szCs w:val="15"/>
          <w:color w:val="auto"/>
        </w:rPr>
        <w:t>4,118</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26,805</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$308,109</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($720)</w:t>
      </w:r>
    </w:p>
    <w:p>
      <w:pPr>
        <w:spacing w:after="0" w:line="182" w:lineRule="exact"/>
        <w:rPr>
          <w:sz w:val="20"/>
          <w:szCs w:val="20"/>
          <w:color w:val="auto"/>
        </w:rPr>
      </w:pPr>
    </w:p>
    <w:p>
      <w:pPr>
        <w:sectPr>
          <w:pgSz w:w="11900" w:h="16838" w:orient="portrait"/>
          <w:cols w:equalWidth="0" w:num="7">
            <w:col w:w="3220" w:space="720"/>
            <w:col w:w="740" w:space="720"/>
            <w:col w:w="200" w:space="720"/>
            <w:col w:w="640" w:space="720"/>
            <w:col w:w="300" w:space="720"/>
            <w:col w:w="840" w:space="720"/>
            <w:col w:w="920"/>
          </w:cols>
          <w:pgMar w:left="240" w:top="647" w:right="4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Amortization of unearned</w:t>
      </w:r>
    </w:p>
    <w:p>
      <w:pPr>
        <w:sectPr>
          <w:pgSz w:w="11900" w:h="16838" w:orient="portrait"/>
          <w:cols w:equalWidth="0" w:num="1">
            <w:col w:w="11180"/>
          </w:cols>
          <w:pgMar w:left="240" w:top="647" w:right="479" w:bottom="144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180</w:t>
      </w:r>
    </w:p>
    <w:p>
      <w:pPr>
        <w:spacing w:after="0" w:line="6" w:lineRule="exact"/>
        <w:rPr>
          <w:sz w:val="20"/>
          <w:szCs w:val="20"/>
          <w:color w:val="auto"/>
        </w:rPr>
      </w:pPr>
    </w:p>
    <w:p>
      <w:pPr>
        <w:sectPr>
          <w:pgSz w:w="11900" w:h="16838" w:orient="portrait"/>
          <w:cols w:equalWidth="0" w:num="2">
            <w:col w:w="9720" w:space="720"/>
            <w:col w:w="740"/>
          </w:cols>
          <w:pgMar w:left="240" w:top="647" w:right="4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Issuance of Common Stock in</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connection with exercise</w:t>
      </w:r>
    </w:p>
    <w:p>
      <w:pPr>
        <w:sectPr>
          <w:pgSz w:w="11900" w:h="16838" w:orient="portrait"/>
          <w:cols w:equalWidth="0" w:num="1">
            <w:col w:w="11180"/>
          </w:cols>
          <w:pgMar w:left="240" w:top="647" w:right="479" w:bottom="144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407</w:t>
      </w:r>
    </w:p>
    <w:p>
      <w:pPr>
        <w:spacing w:after="0" w:line="6" w:lineRule="exact"/>
        <w:rPr>
          <w:sz w:val="20"/>
          <w:szCs w:val="20"/>
          <w:color w:val="auto"/>
        </w:rPr>
      </w:pPr>
    </w:p>
    <w:p>
      <w:pPr>
        <w:sectPr>
          <w:pgSz w:w="11900" w:h="16838" w:orient="portrait"/>
          <w:cols w:equalWidth="0" w:num="3">
            <w:col w:w="5960" w:space="720"/>
            <w:col w:w="1760" w:space="720"/>
            <w:col w:w="2020"/>
          </w:cols>
          <w:pgMar w:left="240" w:top="647" w:right="4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Conversion of Class A Stock to</w:t>
      </w:r>
    </w:p>
    <w:p>
      <w:pPr>
        <w:sectPr>
          <w:pgSz w:w="11900" w:h="16838" w:orient="portrait"/>
          <w:cols w:equalWidth="0" w:num="1">
            <w:col w:w="11180"/>
          </w:cols>
          <w:pgMar w:left="240" w:top="647" w:right="479" w:bottom="1440" w:gutter="0" w:footer="0" w:header="0"/>
          <w:type w:val="continuous"/>
        </w:sectPr>
      </w:pP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474</w:t>
      </w:r>
    </w:p>
    <w:p>
      <w:pPr>
        <w:spacing w:after="0" w:line="17" w:lineRule="exact"/>
        <w:rPr>
          <w:sz w:val="20"/>
          <w:szCs w:val="20"/>
          <w:color w:val="auto"/>
        </w:rPr>
      </w:pPr>
    </w:p>
    <w:p>
      <w:pPr>
        <w:sectPr>
          <w:pgSz w:w="11900" w:h="16838" w:orient="portrait"/>
          <w:cols w:equalWidth="0" w:num="3">
            <w:col w:w="3300" w:space="720"/>
            <w:col w:w="1860" w:space="720"/>
            <w:col w:w="4580"/>
          </w:cols>
          <w:pgMar w:left="240" w:top="647" w:right="4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loss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net unrealized gain</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on marketable securities</w:t>
      </w:r>
    </w:p>
    <w:p>
      <w:pPr>
        <w:sectPr>
          <w:pgSz w:w="11900" w:h="16838" w:orient="portrait"/>
          <w:cols w:equalWidth="0" w:num="1">
            <w:col w:w="11180"/>
          </w:cols>
          <w:pgMar w:left="240" w:top="647" w:right="479" w:bottom="1440" w:gutter="0" w:footer="0" w:header="0"/>
          <w:type w:val="continuous"/>
        </w:sectPr>
      </w:pP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tabs>
          <w:tab w:leader="none" w:pos="3920" w:val="left"/>
          <w:tab w:leader="none" w:pos="5380" w:val="left"/>
          <w:tab w:leader="none" w:pos="6300" w:val="left"/>
          <w:tab w:leader="none" w:pos="7660" w:val="left"/>
          <w:tab w:leader="none" w:pos="8680" w:val="left"/>
          <w:tab w:leader="none" w:pos="10240" w:val="left"/>
        </w:tabs>
        <w:rPr>
          <w:sz w:val="20"/>
          <w:szCs w:val="20"/>
          <w:color w:val="auto"/>
        </w:rPr>
      </w:pPr>
      <w:r>
        <w:rPr>
          <w:rFonts w:ascii="Courier New" w:cs="Courier New" w:eastAsia="Courier New" w:hAnsi="Courier New"/>
          <w:sz w:val="15"/>
          <w:szCs w:val="15"/>
          <w:color w:val="auto"/>
        </w:rPr>
        <w:t>Balance, June 30, 1998</w:t>
      </w:r>
      <w:r>
        <w:rPr>
          <w:sz w:val="20"/>
          <w:szCs w:val="20"/>
          <w:color w:val="auto"/>
        </w:rPr>
        <w:tab/>
      </w:r>
      <w:r>
        <w:rPr>
          <w:rFonts w:ascii="Courier New" w:cs="Courier New" w:eastAsia="Courier New" w:hAnsi="Courier New"/>
          <w:sz w:val="15"/>
          <w:szCs w:val="15"/>
          <w:color w:val="auto"/>
        </w:rPr>
        <w:t>3,644</w:t>
      </w:r>
      <w:r>
        <w:rPr>
          <w:sz w:val="20"/>
          <w:szCs w:val="20"/>
          <w:color w:val="auto"/>
        </w:rPr>
        <w:tab/>
      </w: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27,364</w:t>
      </w:r>
      <w:r>
        <w:rPr>
          <w:sz w:val="20"/>
          <w:szCs w:val="20"/>
          <w:color w:val="auto"/>
        </w:rPr>
        <w:tab/>
      </w: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$308,516</w:t>
      </w:r>
      <w:r>
        <w:rPr>
          <w:sz w:val="20"/>
          <w:szCs w:val="20"/>
          <w:color w:val="auto"/>
        </w:rPr>
        <w:tab/>
      </w:r>
      <w:r>
        <w:rPr>
          <w:rFonts w:ascii="Courier New" w:cs="Courier New" w:eastAsia="Courier New" w:hAnsi="Courier New"/>
          <w:sz w:val="15"/>
          <w:szCs w:val="15"/>
          <w:color w:val="auto"/>
        </w:rPr>
        <w:t>($540)</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180"/>
          </w:cols>
          <w:pgMar w:left="240" w:top="647"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Accumulated</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Deficit</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Accumulated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Comprehensive</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Income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Total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Equity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Comprehensive</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Loss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4660" w:space="460"/>
            <w:col w:w="1740" w:space="180"/>
            <w:col w:w="1380" w:space="360"/>
            <w:col w:w="2400"/>
          </w:cols>
          <w:pgMar w:left="240" w:top="647" w:right="479" w:bottom="1440" w:gutter="0" w:footer="0" w:header="0"/>
          <w:type w:val="continuous"/>
        </w:sectPr>
      </w:pPr>
    </w:p>
    <w:p>
      <w:pPr>
        <w:spacing w:after="0" w:line="15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Balance, December 31, 1997</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($168,608)</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$138,897</w:t>
      </w:r>
    </w:p>
    <w:p>
      <w:pPr>
        <w:spacing w:after="0" w:line="182" w:lineRule="exact"/>
        <w:rPr>
          <w:sz w:val="20"/>
          <w:szCs w:val="20"/>
          <w:color w:val="auto"/>
        </w:rPr>
      </w:pPr>
    </w:p>
    <w:p>
      <w:pPr>
        <w:sectPr>
          <w:pgSz w:w="11900" w:h="16838" w:orient="portrait"/>
          <w:cols w:equalWidth="0" w:num="4">
            <w:col w:w="3040" w:space="720"/>
            <w:col w:w="1740" w:space="720"/>
            <w:col w:w="660" w:space="720"/>
            <w:col w:w="3580"/>
          </w:cols>
          <w:pgMar w:left="240" w:top="647" w:right="4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Amortization of unearned</w:t>
      </w:r>
    </w:p>
    <w:p>
      <w:pPr>
        <w:sectPr>
          <w:pgSz w:w="11900" w:h="16838" w:orient="portrait"/>
          <w:cols w:equalWidth="0" w:num="1">
            <w:col w:w="11180"/>
          </w:cols>
          <w:pgMar w:left="240" w:top="647" w:right="479" w:bottom="144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180</w:t>
      </w:r>
    </w:p>
    <w:p>
      <w:pPr>
        <w:spacing w:after="0" w:line="6" w:lineRule="exact"/>
        <w:rPr>
          <w:sz w:val="20"/>
          <w:szCs w:val="20"/>
          <w:color w:val="auto"/>
        </w:rPr>
      </w:pPr>
    </w:p>
    <w:p>
      <w:pPr>
        <w:sectPr>
          <w:pgSz w:w="11900" w:h="16838" w:orient="portrait"/>
          <w:cols w:equalWidth="0" w:num="2">
            <w:col w:w="7340" w:space="720"/>
            <w:col w:w="3120"/>
          </w:cols>
          <w:pgMar w:left="240" w:top="647" w:right="4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Issuance of Common Stock in</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connection with exercise</w:t>
      </w:r>
    </w:p>
    <w:p>
      <w:pPr>
        <w:sectPr>
          <w:pgSz w:w="11900" w:h="16838" w:orient="portrait"/>
          <w:cols w:equalWidth="0" w:num="1">
            <w:col w:w="11180"/>
          </w:cols>
          <w:pgMar w:left="240" w:top="647" w:right="479" w:bottom="144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407</w:t>
      </w:r>
    </w:p>
    <w:p>
      <w:pPr>
        <w:spacing w:after="0" w:line="6" w:lineRule="exact"/>
        <w:rPr>
          <w:sz w:val="20"/>
          <w:szCs w:val="20"/>
          <w:color w:val="auto"/>
        </w:rPr>
      </w:pPr>
    </w:p>
    <w:p>
      <w:pPr>
        <w:sectPr>
          <w:pgSz w:w="11900" w:h="16838" w:orient="portrait"/>
          <w:cols w:equalWidth="0" w:num="2">
            <w:col w:w="7340" w:space="720"/>
            <w:col w:w="3120"/>
          </w:cols>
          <w:pgMar w:left="240" w:top="647" w:right="4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Conversion of Class A Stock to</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Common Stock</w:t>
      </w:r>
    </w:p>
    <w:p>
      <w:pPr>
        <w:sectPr>
          <w:pgSz w:w="11900" w:h="16838" w:orient="portrait"/>
          <w:cols w:equalWidth="0" w:num="1">
            <w:col w:w="11180"/>
          </w:cols>
          <w:pgMar w:left="240" w:top="647" w:right="47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net unrealized gain</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on marketable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(1,689)</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br w:type="column"/>
      </w:r>
    </w:p>
    <w:p>
      <w:pPr>
        <w:jc w:val="right"/>
        <w:ind w:right="380"/>
        <w:spacing w:after="0"/>
        <w:rPr>
          <w:sz w:val="20"/>
          <w:szCs w:val="20"/>
          <w:color w:val="auto"/>
        </w:rPr>
      </w:pPr>
      <w:r>
        <w:rPr>
          <w:rFonts w:ascii="Courier New" w:cs="Courier New" w:eastAsia="Courier New" w:hAnsi="Courier New"/>
          <w:sz w:val="15"/>
          <w:szCs w:val="15"/>
          <w:color w:val="auto"/>
        </w:rPr>
        <w:t>(1,689)</w:t>
      </w:r>
    </w:p>
    <w:p>
      <w:pPr>
        <w:spacing w:after="0" w:line="182" w:lineRule="exact"/>
        <w:rPr>
          <w:sz w:val="20"/>
          <w:szCs w:val="20"/>
          <w:color w:val="auto"/>
        </w:rPr>
      </w:pPr>
    </w:p>
    <w:p>
      <w:pPr>
        <w:jc w:val="right"/>
        <w:ind w:right="38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br w:type="column"/>
      </w:r>
    </w:p>
    <w:p>
      <w:pPr>
        <w:jc w:val="right"/>
        <w:ind w:right="920"/>
        <w:spacing w:after="0"/>
        <w:rPr>
          <w:sz w:val="20"/>
          <w:szCs w:val="20"/>
          <w:color w:val="auto"/>
        </w:rPr>
      </w:pPr>
      <w:r>
        <w:rPr>
          <w:rFonts w:ascii="Courier New" w:cs="Courier New" w:eastAsia="Courier New" w:hAnsi="Courier New"/>
          <w:sz w:val="15"/>
          <w:szCs w:val="15"/>
          <w:color w:val="auto"/>
        </w:rPr>
        <w:t>($1,689)</w:t>
      </w:r>
    </w:p>
    <w:p>
      <w:pPr>
        <w:spacing w:after="0" w:line="182" w:lineRule="exact"/>
        <w:rPr>
          <w:sz w:val="20"/>
          <w:szCs w:val="20"/>
          <w:color w:val="auto"/>
        </w:rPr>
      </w:pPr>
    </w:p>
    <w:p>
      <w:pPr>
        <w:jc w:val="right"/>
        <w:ind w:right="920"/>
        <w:spacing w:after="0"/>
        <w:rPr>
          <w:sz w:val="20"/>
          <w:szCs w:val="20"/>
          <w:color w:val="auto"/>
        </w:rPr>
      </w:pPr>
      <w:r>
        <w:rPr>
          <w:rFonts w:ascii="Courier New" w:cs="Courier New" w:eastAsia="Courier New" w:hAnsi="Courier New"/>
          <w:sz w:val="15"/>
          <w:szCs w:val="15"/>
          <w:color w:val="auto"/>
        </w:rPr>
        <w:t>(23)</w:t>
      </w:r>
    </w:p>
    <w:p>
      <w:pPr>
        <w:spacing w:after="0" w:line="182" w:lineRule="exact"/>
        <w:rPr>
          <w:sz w:val="20"/>
          <w:szCs w:val="20"/>
          <w:color w:val="auto"/>
        </w:rPr>
      </w:pPr>
    </w:p>
    <w:p>
      <w:pPr>
        <w:sectPr>
          <w:pgSz w:w="11900" w:h="16838" w:orient="portrait"/>
          <w:cols w:equalWidth="0" w:num="5">
            <w:col w:w="3300" w:space="720"/>
            <w:col w:w="1480" w:space="720"/>
            <w:col w:w="840" w:space="720"/>
            <w:col w:w="1020" w:space="720"/>
            <w:col w:w="1660"/>
          </w:cols>
          <w:pgMar w:left="240" w:top="647" w:right="479" w:bottom="1440" w:gutter="0" w:footer="0" w:header="0"/>
          <w:type w:val="continuous"/>
        </w:sectPr>
      </w:pP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Balance, June 30, 1998</w:t>
      </w:r>
    </w:p>
    <w:p>
      <w:pPr>
        <w:spacing w:after="0" w:line="20" w:lineRule="exact"/>
        <w:rPr>
          <w:sz w:val="20"/>
          <w:szCs w:val="20"/>
          <w:color w:val="auto"/>
        </w:rPr>
      </w:pPr>
      <w:r>
        <w:rPr>
          <w:sz w:val="20"/>
          <w:szCs w:val="20"/>
          <w:color w:val="auto"/>
        </w:rPr>
        <w:br w:type="column"/>
      </w:r>
    </w:p>
    <w:p>
      <w:pPr>
        <w:jc w:val="right"/>
        <w:ind w:right="920"/>
        <w:spacing w:after="0" w:line="249" w:lineRule="auto"/>
        <w:rPr>
          <w:sz w:val="20"/>
          <w:szCs w:val="20"/>
          <w:color w:val="auto"/>
        </w:rPr>
      </w:pPr>
      <w:r>
        <w:rPr>
          <w:rFonts w:ascii="Courier New" w:cs="Courier New" w:eastAsia="Courier New" w:hAnsi="Courier New"/>
          <w:sz w:val="15"/>
          <w:szCs w:val="15"/>
          <w:color w:val="auto"/>
        </w:rPr>
        <w:t>========================================================================== ($170,297)                 $62            $137,772             ($1,712) ==========================================================================</w:t>
      </w:r>
    </w:p>
    <w:p>
      <w:pPr>
        <w:spacing w:after="0" w:line="200" w:lineRule="exact"/>
        <w:rPr>
          <w:sz w:val="20"/>
          <w:szCs w:val="20"/>
          <w:color w:val="auto"/>
        </w:rPr>
      </w:pPr>
    </w:p>
    <w:p>
      <w:pPr>
        <w:sectPr>
          <w:pgSz w:w="11900" w:h="16838" w:orient="portrait"/>
          <w:cols w:equalWidth="0" w:num="2">
            <w:col w:w="2760" w:space="720"/>
            <w:col w:w="7700"/>
          </w:cols>
          <w:pgMar w:left="240" w:top="647" w:right="479" w:bottom="1440" w:gutter="0" w:footer="0" w:header="0"/>
          <w:type w:val="continuous"/>
        </w:sectPr>
      </w:pPr>
    </w:p>
    <w:p>
      <w:pPr>
        <w:spacing w:after="0" w:line="15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59"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180"/>
          </w:cols>
          <w:pgMar w:left="240" w:top="647" w:right="479"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CASH FLOWS (Unaudited)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(Decrease) in Cash and Cash Equivalents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35" w:lineRule="exact"/>
        <w:rPr>
          <w:sz w:val="20"/>
          <w:szCs w:val="20"/>
          <w:color w:val="auto"/>
        </w:rPr>
      </w:pPr>
    </w:p>
    <w:p>
      <w:pPr>
        <w:ind w:left="8520"/>
        <w:spacing w:after="0"/>
        <w:rPr>
          <w:sz w:val="20"/>
          <w:szCs w:val="20"/>
          <w:color w:val="auto"/>
        </w:rPr>
      </w:pPr>
      <w:r>
        <w:rPr>
          <w:rFonts w:ascii="Courier New" w:cs="Courier New" w:eastAsia="Courier New" w:hAnsi="Courier New"/>
          <w:sz w:val="15"/>
          <w:szCs w:val="15"/>
          <w:color w:val="auto"/>
        </w:rPr>
        <w:t>Six months ended June 30,</w:t>
      </w:r>
    </w:p>
    <w:p>
      <w:pPr>
        <w:spacing w:after="0" w:line="6" w:lineRule="exact"/>
        <w:rPr>
          <w:sz w:val="20"/>
          <w:szCs w:val="20"/>
          <w:color w:val="auto"/>
        </w:rPr>
      </w:pPr>
    </w:p>
    <w:p>
      <w:pPr>
        <w:ind w:left="8340"/>
        <w:spacing w:after="0"/>
        <w:tabs>
          <w:tab w:leader="none" w:pos="1042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6" w:lineRule="exact"/>
        <w:rPr>
          <w:sz w:val="20"/>
          <w:szCs w:val="20"/>
          <w:color w:val="auto"/>
        </w:rPr>
      </w:pPr>
    </w:p>
    <w:p>
      <w:pPr>
        <w:ind w:left="8340"/>
        <w:spacing w:after="0"/>
        <w:tabs>
          <w:tab w:leader="none" w:pos="10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0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52"/>
        </w:trPr>
        <w:tc>
          <w:tcPr>
            <w:tcW w:w="7640" w:type="dxa"/>
            <w:vAlign w:val="bottom"/>
          </w:tcPr>
          <w:p>
            <w:pPr>
              <w:ind w:left="260"/>
              <w:spacing w:after="0"/>
              <w:rPr>
                <w:sz w:val="20"/>
                <w:szCs w:val="20"/>
                <w:color w:val="auto"/>
              </w:rPr>
            </w:pPr>
            <w:r>
              <w:rPr>
                <w:rFonts w:ascii="Courier New" w:cs="Courier New" w:eastAsia="Courier New" w:hAnsi="Courier New"/>
                <w:sz w:val="15"/>
                <w:szCs w:val="15"/>
                <w:color w:val="auto"/>
              </w:rPr>
              <w:t>Net loss</w:t>
            </w: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($1,689)</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($10,199)</w:t>
            </w:r>
          </w:p>
        </w:tc>
      </w:tr>
      <w:tr>
        <w:trPr>
          <w:trHeight w:val="176"/>
        </w:trPr>
        <w:tc>
          <w:tcPr>
            <w:tcW w:w="7640" w:type="dxa"/>
            <w:vAlign w:val="bottom"/>
          </w:tcPr>
          <w:p>
            <w:pPr>
              <w:spacing w:after="0"/>
              <w:rPr>
                <w:sz w:val="15"/>
                <w:szCs w:val="15"/>
                <w:color w:val="auto"/>
              </w:rPr>
            </w:pP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764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2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6"/>
        </w:trPr>
        <w:tc>
          <w:tcPr>
            <w:tcW w:w="7640" w:type="dxa"/>
            <w:vAlign w:val="bottom"/>
          </w:tcPr>
          <w:p>
            <w:pPr>
              <w:ind w:left="460"/>
              <w:spacing w:after="0"/>
              <w:rPr>
                <w:sz w:val="20"/>
                <w:szCs w:val="20"/>
                <w:color w:val="auto"/>
              </w:rPr>
            </w:pPr>
            <w:r>
              <w:rPr>
                <w:rFonts w:ascii="Courier New" w:cs="Courier New" w:eastAsia="Courier New" w:hAnsi="Courier New"/>
                <w:sz w:val="15"/>
                <w:szCs w:val="15"/>
                <w:color w:val="auto"/>
              </w:rPr>
              <w:t>used in operating activities</w:t>
            </w:r>
          </w:p>
        </w:tc>
        <w:tc>
          <w:tcPr>
            <w:tcW w:w="2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6"/>
        </w:trPr>
        <w:tc>
          <w:tcPr>
            <w:tcW w:w="7640" w:type="dxa"/>
            <w:vAlign w:val="bottom"/>
          </w:tcPr>
          <w:p>
            <w:pPr>
              <w:ind w:left="540"/>
              <w:spacing w:after="0"/>
              <w:rPr>
                <w:sz w:val="20"/>
                <w:szCs w:val="20"/>
                <w:color w:val="auto"/>
              </w:rPr>
            </w:pPr>
            <w:r>
              <w:rPr>
                <w:rFonts w:ascii="Courier New" w:cs="Courier New" w:eastAsia="Courier New" w:hAnsi="Courier New"/>
                <w:sz w:val="15"/>
                <w:szCs w:val="15"/>
                <w:color w:val="auto"/>
              </w:rPr>
              <w:t>Loss in Amgen-Regeneron Partners</w:t>
            </w:r>
          </w:p>
        </w:tc>
        <w:tc>
          <w:tcPr>
            <w:tcW w:w="2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873</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2,179</w:t>
            </w:r>
          </w:p>
        </w:tc>
      </w:tr>
      <w:tr>
        <w:trPr>
          <w:trHeight w:val="176"/>
        </w:trPr>
        <w:tc>
          <w:tcPr>
            <w:tcW w:w="7640" w:type="dxa"/>
            <w:vAlign w:val="bottom"/>
          </w:tcPr>
          <w:p>
            <w:pPr>
              <w:ind w:left="540"/>
              <w:spacing w:after="0"/>
              <w:rPr>
                <w:sz w:val="20"/>
                <w:szCs w:val="20"/>
                <w:color w:val="auto"/>
              </w:rPr>
            </w:pPr>
            <w:r>
              <w:rPr>
                <w:rFonts w:ascii="Courier New" w:cs="Courier New" w:eastAsia="Courier New" w:hAnsi="Courier New"/>
                <w:sz w:val="15"/>
                <w:szCs w:val="15"/>
                <w:color w:val="auto"/>
              </w:rPr>
              <w:t>Depreciation and amortization</w:t>
            </w:r>
          </w:p>
        </w:tc>
        <w:tc>
          <w:tcPr>
            <w:tcW w:w="2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1,649</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2,367</w:t>
            </w:r>
          </w:p>
        </w:tc>
      </w:tr>
      <w:tr>
        <w:trPr>
          <w:trHeight w:val="176"/>
        </w:trPr>
        <w:tc>
          <w:tcPr>
            <w:tcW w:w="7640" w:type="dxa"/>
            <w:vAlign w:val="bottom"/>
          </w:tcPr>
          <w:p>
            <w:pPr>
              <w:ind w:left="540"/>
              <w:spacing w:after="0"/>
              <w:rPr>
                <w:sz w:val="20"/>
                <w:szCs w:val="20"/>
                <w:color w:val="auto"/>
              </w:rPr>
            </w:pPr>
            <w:r>
              <w:rPr>
                <w:rFonts w:ascii="Courier New" w:cs="Courier New" w:eastAsia="Courier New" w:hAnsi="Courier New"/>
                <w:sz w:val="15"/>
                <w:szCs w:val="15"/>
                <w:color w:val="auto"/>
              </w:rPr>
              <w:t>Stock issued in consideration for services rendered</w:t>
            </w:r>
          </w:p>
        </w:tc>
        <w:tc>
          <w:tcPr>
            <w:tcW w:w="2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180</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180</w:t>
            </w:r>
          </w:p>
        </w:tc>
      </w:tr>
      <w:tr>
        <w:trPr>
          <w:trHeight w:val="176"/>
        </w:trPr>
        <w:tc>
          <w:tcPr>
            <w:tcW w:w="7640" w:type="dxa"/>
            <w:vAlign w:val="bottom"/>
          </w:tcPr>
          <w:p>
            <w:pPr>
              <w:ind w:left="540"/>
              <w:spacing w:after="0"/>
              <w:rPr>
                <w:sz w:val="20"/>
                <w:szCs w:val="20"/>
                <w:color w:val="auto"/>
              </w:rPr>
            </w:pPr>
            <w:r>
              <w:rPr>
                <w:rFonts w:ascii="Courier New" w:cs="Courier New" w:eastAsia="Courier New" w:hAnsi="Courier New"/>
                <w:sz w:val="15"/>
                <w:szCs w:val="15"/>
                <w:color w:val="auto"/>
              </w:rPr>
              <w:t>Changes in assets and liabilities</w:t>
            </w:r>
          </w:p>
        </w:tc>
        <w:tc>
          <w:tcPr>
            <w:tcW w:w="2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6"/>
        </w:trPr>
        <w:tc>
          <w:tcPr>
            <w:tcW w:w="7640" w:type="dxa"/>
            <w:vAlign w:val="bottom"/>
          </w:tcPr>
          <w:p>
            <w:pPr>
              <w:ind w:left="720"/>
              <w:spacing w:after="0"/>
              <w:rPr>
                <w:sz w:val="20"/>
                <w:szCs w:val="20"/>
                <w:color w:val="auto"/>
              </w:rPr>
            </w:pPr>
            <w:r>
              <w:rPr>
                <w:rFonts w:ascii="Courier New" w:cs="Courier New" w:eastAsia="Courier New" w:hAnsi="Courier New"/>
                <w:sz w:val="15"/>
                <w:szCs w:val="15"/>
                <w:color w:val="auto"/>
              </w:rPr>
              <w:t>Increase in amounts due from The Procter &amp; Gamble Company</w:t>
            </w: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(7,379)</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(938)</w:t>
            </w:r>
          </w:p>
        </w:tc>
      </w:tr>
      <w:tr>
        <w:trPr>
          <w:trHeight w:val="176"/>
        </w:trPr>
        <w:tc>
          <w:tcPr>
            <w:tcW w:w="7640" w:type="dxa"/>
            <w:vAlign w:val="bottom"/>
          </w:tcPr>
          <w:p>
            <w:pPr>
              <w:ind w:left="720"/>
              <w:spacing w:after="0"/>
              <w:rPr>
                <w:sz w:val="20"/>
                <w:szCs w:val="20"/>
                <w:color w:val="auto"/>
              </w:rPr>
            </w:pPr>
            <w:r>
              <w:rPr>
                <w:rFonts w:ascii="Courier New" w:cs="Courier New" w:eastAsia="Courier New" w:hAnsi="Courier New"/>
                <w:sz w:val="15"/>
                <w:szCs w:val="15"/>
                <w:color w:val="auto"/>
              </w:rPr>
              <w:t>Decrease (increase) in amounts due from Merck &amp; Co., Inc.</w:t>
            </w:r>
          </w:p>
        </w:tc>
        <w:tc>
          <w:tcPr>
            <w:tcW w:w="2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417</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6"/>
        </w:trPr>
        <w:tc>
          <w:tcPr>
            <w:tcW w:w="7640" w:type="dxa"/>
            <w:vAlign w:val="bottom"/>
          </w:tcPr>
          <w:p>
            <w:pPr>
              <w:ind w:left="720"/>
              <w:spacing w:after="0"/>
              <w:rPr>
                <w:sz w:val="20"/>
                <w:szCs w:val="20"/>
                <w:color w:val="auto"/>
              </w:rPr>
            </w:pPr>
            <w:r>
              <w:rPr>
                <w:rFonts w:ascii="Courier New" w:cs="Courier New" w:eastAsia="Courier New" w:hAnsi="Courier New"/>
                <w:sz w:val="15"/>
                <w:szCs w:val="15"/>
                <w:color w:val="auto"/>
              </w:rPr>
              <w:t>Increase in amounts due from Amgen-Regeneron Partners</w:t>
            </w: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(118)</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(359)</w:t>
            </w:r>
          </w:p>
        </w:tc>
      </w:tr>
      <w:tr>
        <w:trPr>
          <w:trHeight w:val="176"/>
        </w:trPr>
        <w:tc>
          <w:tcPr>
            <w:tcW w:w="7640" w:type="dxa"/>
            <w:vAlign w:val="bottom"/>
          </w:tcPr>
          <w:p>
            <w:pPr>
              <w:ind w:left="720"/>
              <w:spacing w:after="0"/>
              <w:rPr>
                <w:sz w:val="20"/>
                <w:szCs w:val="20"/>
                <w:color w:val="auto"/>
              </w:rPr>
            </w:pPr>
            <w:r>
              <w:rPr>
                <w:rFonts w:ascii="Courier New" w:cs="Courier New" w:eastAsia="Courier New" w:hAnsi="Courier New"/>
                <w:sz w:val="15"/>
                <w:szCs w:val="15"/>
                <w:color w:val="auto"/>
              </w:rPr>
              <w:t>Decrease (increase) in amounts due from Sumitomo Pharmaceuticals Co., Ltd.</w:t>
            </w:r>
          </w:p>
        </w:tc>
        <w:tc>
          <w:tcPr>
            <w:tcW w:w="2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1,180</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r>
      <w:tr>
        <w:trPr>
          <w:trHeight w:val="176"/>
        </w:trPr>
        <w:tc>
          <w:tcPr>
            <w:tcW w:w="7640" w:type="dxa"/>
            <w:vAlign w:val="bottom"/>
          </w:tcPr>
          <w:p>
            <w:pPr>
              <w:ind w:left="720"/>
              <w:spacing w:after="0"/>
              <w:rPr>
                <w:sz w:val="20"/>
                <w:szCs w:val="20"/>
                <w:color w:val="auto"/>
              </w:rPr>
            </w:pPr>
            <w:r>
              <w:rPr>
                <w:rFonts w:ascii="Courier New" w:cs="Courier New" w:eastAsia="Courier New" w:hAnsi="Courier New"/>
                <w:sz w:val="15"/>
                <w:szCs w:val="15"/>
                <w:color w:val="auto"/>
              </w:rPr>
              <w:t>Increase in investment in Amgen-Regeneron Partners</w:t>
            </w: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(2,423)</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6"/>
        </w:trPr>
        <w:tc>
          <w:tcPr>
            <w:tcW w:w="7640" w:type="dxa"/>
            <w:vAlign w:val="bottom"/>
          </w:tcPr>
          <w:p>
            <w:pPr>
              <w:ind w:left="720"/>
              <w:spacing w:after="0"/>
              <w:rPr>
                <w:sz w:val="20"/>
                <w:szCs w:val="20"/>
                <w:color w:val="auto"/>
              </w:rPr>
            </w:pPr>
            <w:r>
              <w:rPr>
                <w:rFonts w:ascii="Courier New" w:cs="Courier New" w:eastAsia="Courier New" w:hAnsi="Courier New"/>
                <w:sz w:val="15"/>
                <w:szCs w:val="15"/>
                <w:color w:val="auto"/>
              </w:rPr>
              <w:t>(Increase) decrease in prepaid expenses and other assets</w:t>
            </w: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(461)</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221</w:t>
            </w:r>
          </w:p>
        </w:tc>
      </w:tr>
      <w:tr>
        <w:trPr>
          <w:trHeight w:val="176"/>
        </w:trPr>
        <w:tc>
          <w:tcPr>
            <w:tcW w:w="7640" w:type="dxa"/>
            <w:vAlign w:val="bottom"/>
          </w:tcPr>
          <w:p>
            <w:pPr>
              <w:ind w:left="720"/>
              <w:spacing w:after="0"/>
              <w:rPr>
                <w:sz w:val="20"/>
                <w:szCs w:val="20"/>
                <w:color w:val="auto"/>
              </w:rPr>
            </w:pPr>
            <w:r>
              <w:rPr>
                <w:rFonts w:ascii="Courier New" w:cs="Courier New" w:eastAsia="Courier New" w:hAnsi="Courier New"/>
                <w:sz w:val="15"/>
                <w:szCs w:val="15"/>
                <w:color w:val="auto"/>
              </w:rPr>
              <w:t>Decrease in deferred revenue</w:t>
            </w: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(1,807)</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(925)</w:t>
            </w:r>
          </w:p>
        </w:tc>
      </w:tr>
      <w:tr>
        <w:trPr>
          <w:trHeight w:val="176"/>
        </w:trPr>
        <w:tc>
          <w:tcPr>
            <w:tcW w:w="7640" w:type="dxa"/>
            <w:vAlign w:val="bottom"/>
          </w:tcPr>
          <w:p>
            <w:pPr>
              <w:ind w:left="720"/>
              <w:spacing w:after="0"/>
              <w:rPr>
                <w:sz w:val="20"/>
                <w:szCs w:val="20"/>
                <w:color w:val="auto"/>
              </w:rPr>
            </w:pPr>
            <w:r>
              <w:rPr>
                <w:rFonts w:ascii="Courier New" w:cs="Courier New" w:eastAsia="Courier New" w:hAnsi="Courier New"/>
                <w:sz w:val="15"/>
                <w:szCs w:val="15"/>
                <w:color w:val="auto"/>
              </w:rPr>
              <w:t>Increase in accounts payable, accrued expenses,</w:t>
            </w:r>
          </w:p>
        </w:tc>
        <w:tc>
          <w:tcPr>
            <w:tcW w:w="2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6"/>
        </w:trPr>
        <w:tc>
          <w:tcPr>
            <w:tcW w:w="7640" w:type="dxa"/>
            <w:vAlign w:val="bottom"/>
          </w:tcPr>
          <w:p>
            <w:pPr>
              <w:ind w:left="920"/>
              <w:spacing w:after="0"/>
              <w:rPr>
                <w:sz w:val="20"/>
                <w:szCs w:val="20"/>
                <w:color w:val="auto"/>
              </w:rPr>
            </w:pPr>
            <w:r>
              <w:rPr>
                <w:rFonts w:ascii="Courier New" w:cs="Courier New" w:eastAsia="Courier New" w:hAnsi="Courier New"/>
                <w:sz w:val="15"/>
                <w:szCs w:val="15"/>
                <w:color w:val="auto"/>
              </w:rPr>
              <w:t>and other liabilities</w:t>
            </w:r>
          </w:p>
        </w:tc>
        <w:tc>
          <w:tcPr>
            <w:tcW w:w="2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881</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371</w:t>
            </w:r>
          </w:p>
        </w:tc>
      </w:tr>
      <w:tr>
        <w:trPr>
          <w:trHeight w:val="176"/>
        </w:trPr>
        <w:tc>
          <w:tcPr>
            <w:tcW w:w="7640" w:type="dxa"/>
            <w:vAlign w:val="bottom"/>
          </w:tcPr>
          <w:p>
            <w:pPr>
              <w:spacing w:after="0"/>
              <w:rPr>
                <w:sz w:val="15"/>
                <w:szCs w:val="15"/>
                <w:color w:val="auto"/>
              </w:rPr>
            </w:pP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7640" w:type="dxa"/>
            <w:vAlign w:val="bottom"/>
          </w:tcPr>
          <w:p>
            <w:pPr>
              <w:ind w:left="1560"/>
              <w:spacing w:after="0"/>
              <w:rPr>
                <w:sz w:val="20"/>
                <w:szCs w:val="20"/>
                <w:color w:val="auto"/>
              </w:rPr>
            </w:pPr>
            <w:r>
              <w:rPr>
                <w:rFonts w:ascii="Courier New" w:cs="Courier New" w:eastAsia="Courier New" w:hAnsi="Courier New"/>
                <w:sz w:val="15"/>
                <w:szCs w:val="15"/>
                <w:color w:val="auto"/>
              </w:rPr>
              <w:t>Total adjustments</w:t>
            </w: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(7,008)</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2,734</w:t>
            </w:r>
          </w:p>
        </w:tc>
      </w:tr>
      <w:tr>
        <w:trPr>
          <w:trHeight w:val="176"/>
        </w:trPr>
        <w:tc>
          <w:tcPr>
            <w:tcW w:w="7640" w:type="dxa"/>
            <w:vAlign w:val="bottom"/>
          </w:tcPr>
          <w:p>
            <w:pPr>
              <w:spacing w:after="0"/>
              <w:rPr>
                <w:sz w:val="15"/>
                <w:szCs w:val="15"/>
                <w:color w:val="auto"/>
              </w:rPr>
            </w:pP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7640" w:type="dxa"/>
            <w:vAlign w:val="bottom"/>
          </w:tcPr>
          <w:p>
            <w:pPr>
              <w:ind w:left="920"/>
              <w:spacing w:after="0"/>
              <w:rPr>
                <w:sz w:val="20"/>
                <w:szCs w:val="20"/>
                <w:color w:val="auto"/>
              </w:rPr>
            </w:pPr>
            <w:r>
              <w:rPr>
                <w:rFonts w:ascii="Courier New" w:cs="Courier New" w:eastAsia="Courier New" w:hAnsi="Courier New"/>
                <w:sz w:val="15"/>
                <w:szCs w:val="15"/>
                <w:color w:val="auto"/>
              </w:rPr>
              <w:t>Net cash used in operating activities</w:t>
            </w: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(8,697)</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(7,465)</w:t>
            </w:r>
          </w:p>
        </w:tc>
      </w:tr>
      <w:tr>
        <w:trPr>
          <w:trHeight w:val="176"/>
        </w:trPr>
        <w:tc>
          <w:tcPr>
            <w:tcW w:w="7640" w:type="dxa"/>
            <w:vAlign w:val="bottom"/>
          </w:tcPr>
          <w:p>
            <w:pPr>
              <w:spacing w:after="0"/>
              <w:rPr>
                <w:sz w:val="15"/>
                <w:szCs w:val="15"/>
                <w:color w:val="auto"/>
              </w:rPr>
            </w:pP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76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0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6"/>
        </w:trPr>
        <w:tc>
          <w:tcPr>
            <w:tcW w:w="7640" w:type="dxa"/>
            <w:vAlign w:val="bottom"/>
          </w:tcPr>
          <w:p>
            <w:pPr>
              <w:ind w:left="260"/>
              <w:spacing w:after="0"/>
              <w:rPr>
                <w:sz w:val="20"/>
                <w:szCs w:val="20"/>
                <w:color w:val="auto"/>
              </w:rPr>
            </w:pPr>
            <w:r>
              <w:rPr>
                <w:rFonts w:ascii="Courier New" w:cs="Courier New" w:eastAsia="Courier New" w:hAnsi="Courier New"/>
                <w:sz w:val="15"/>
                <w:szCs w:val="15"/>
                <w:color w:val="auto"/>
              </w:rPr>
              <w:t>Purchases of marketable securities</w:t>
            </w: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(43,883)</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(46,078)</w:t>
            </w:r>
          </w:p>
        </w:tc>
      </w:tr>
      <w:tr>
        <w:trPr>
          <w:trHeight w:val="176"/>
        </w:trPr>
        <w:tc>
          <w:tcPr>
            <w:tcW w:w="7640" w:type="dxa"/>
            <w:vAlign w:val="bottom"/>
          </w:tcPr>
          <w:p>
            <w:pPr>
              <w:ind w:left="260"/>
              <w:spacing w:after="0"/>
              <w:rPr>
                <w:sz w:val="20"/>
                <w:szCs w:val="20"/>
                <w:color w:val="auto"/>
              </w:rPr>
            </w:pPr>
            <w:r>
              <w:rPr>
                <w:rFonts w:ascii="Courier New" w:cs="Courier New" w:eastAsia="Courier New" w:hAnsi="Courier New"/>
                <w:sz w:val="15"/>
                <w:szCs w:val="15"/>
                <w:color w:val="auto"/>
              </w:rPr>
              <w:t>Sales of marketable securities</w:t>
            </w:r>
          </w:p>
        </w:tc>
        <w:tc>
          <w:tcPr>
            <w:tcW w:w="2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48,096</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30,440</w:t>
            </w:r>
          </w:p>
        </w:tc>
      </w:tr>
      <w:tr>
        <w:trPr>
          <w:trHeight w:val="176"/>
        </w:trPr>
        <w:tc>
          <w:tcPr>
            <w:tcW w:w="7640" w:type="dxa"/>
            <w:vAlign w:val="bottom"/>
          </w:tcPr>
          <w:p>
            <w:pPr>
              <w:ind w:left="260"/>
              <w:spacing w:after="0"/>
              <w:rPr>
                <w:sz w:val="20"/>
                <w:szCs w:val="20"/>
                <w:color w:val="auto"/>
              </w:rPr>
            </w:pPr>
            <w:r>
              <w:rPr>
                <w:rFonts w:ascii="Courier New" w:cs="Courier New" w:eastAsia="Courier New" w:hAnsi="Courier New"/>
                <w:sz w:val="15"/>
                <w:szCs w:val="15"/>
                <w:color w:val="auto"/>
              </w:rPr>
              <w:t>Capital expenditures</w:t>
            </w: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(1,090)</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(1,085)</w:t>
            </w:r>
          </w:p>
        </w:tc>
      </w:tr>
      <w:tr>
        <w:trPr>
          <w:trHeight w:val="176"/>
        </w:trPr>
        <w:tc>
          <w:tcPr>
            <w:tcW w:w="7640" w:type="dxa"/>
            <w:vAlign w:val="bottom"/>
          </w:tcPr>
          <w:p>
            <w:pPr>
              <w:spacing w:after="0"/>
              <w:rPr>
                <w:sz w:val="15"/>
                <w:szCs w:val="15"/>
                <w:color w:val="auto"/>
              </w:rPr>
            </w:pP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7640" w:type="dxa"/>
            <w:vAlign w:val="bottom"/>
          </w:tcPr>
          <w:p>
            <w:pPr>
              <w:ind w:left="920"/>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2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3,123</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(16,723)</w:t>
            </w:r>
          </w:p>
        </w:tc>
      </w:tr>
      <w:tr>
        <w:trPr>
          <w:trHeight w:val="176"/>
        </w:trPr>
        <w:tc>
          <w:tcPr>
            <w:tcW w:w="7640" w:type="dxa"/>
            <w:vAlign w:val="bottom"/>
          </w:tcPr>
          <w:p>
            <w:pPr>
              <w:spacing w:after="0"/>
              <w:rPr>
                <w:sz w:val="15"/>
                <w:szCs w:val="15"/>
                <w:color w:val="auto"/>
              </w:rPr>
            </w:pP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76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0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6"/>
        </w:trPr>
        <w:tc>
          <w:tcPr>
            <w:tcW w:w="7640" w:type="dxa"/>
            <w:vAlign w:val="bottom"/>
          </w:tcPr>
          <w:p>
            <w:pPr>
              <w:ind w:left="260"/>
              <w:spacing w:after="0"/>
              <w:rPr>
                <w:sz w:val="20"/>
                <w:szCs w:val="20"/>
                <w:color w:val="auto"/>
              </w:rPr>
            </w:pPr>
            <w:r>
              <w:rPr>
                <w:rFonts w:ascii="Courier New" w:cs="Courier New" w:eastAsia="Courier New" w:hAnsi="Courier New"/>
                <w:sz w:val="15"/>
                <w:szCs w:val="15"/>
                <w:color w:val="auto"/>
              </w:rPr>
              <w:t>Net proceeds from the issuance of stock</w:t>
            </w:r>
          </w:p>
        </w:tc>
        <w:tc>
          <w:tcPr>
            <w:tcW w:w="2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407</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43,207</w:t>
            </w:r>
          </w:p>
        </w:tc>
      </w:tr>
      <w:tr>
        <w:trPr>
          <w:trHeight w:val="176"/>
        </w:trPr>
        <w:tc>
          <w:tcPr>
            <w:tcW w:w="7640" w:type="dxa"/>
            <w:vAlign w:val="bottom"/>
          </w:tcPr>
          <w:p>
            <w:pPr>
              <w:ind w:left="260"/>
              <w:spacing w:after="0"/>
              <w:rPr>
                <w:sz w:val="20"/>
                <w:szCs w:val="20"/>
                <w:color w:val="auto"/>
              </w:rPr>
            </w:pPr>
            <w:r>
              <w:rPr>
                <w:rFonts w:ascii="Courier New" w:cs="Courier New" w:eastAsia="Courier New" w:hAnsi="Courier New"/>
                <w:sz w:val="15"/>
                <w:szCs w:val="15"/>
                <w:color w:val="auto"/>
              </w:rPr>
              <w:t>Principal payments on note payable</w:t>
            </w: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6"/>
        </w:trPr>
        <w:tc>
          <w:tcPr>
            <w:tcW w:w="7640" w:type="dxa"/>
            <w:vAlign w:val="bottom"/>
          </w:tcPr>
          <w:p>
            <w:pPr>
              <w:ind w:left="260"/>
              <w:spacing w:after="0"/>
              <w:rPr>
                <w:sz w:val="20"/>
                <w:szCs w:val="20"/>
                <w:color w:val="auto"/>
              </w:rPr>
            </w:pPr>
            <w:r>
              <w:rPr>
                <w:rFonts w:ascii="Courier New" w:cs="Courier New" w:eastAsia="Courier New" w:hAnsi="Courier New"/>
                <w:sz w:val="15"/>
                <w:szCs w:val="15"/>
                <w:color w:val="auto"/>
              </w:rPr>
              <w:t>Capital lease payments</w:t>
            </w: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(1,180)</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(2,011)</w:t>
            </w:r>
          </w:p>
        </w:tc>
      </w:tr>
      <w:tr>
        <w:trPr>
          <w:trHeight w:val="176"/>
        </w:trPr>
        <w:tc>
          <w:tcPr>
            <w:tcW w:w="7640" w:type="dxa"/>
            <w:vAlign w:val="bottom"/>
          </w:tcPr>
          <w:p>
            <w:pPr>
              <w:spacing w:after="0"/>
              <w:rPr>
                <w:sz w:val="15"/>
                <w:szCs w:val="15"/>
                <w:color w:val="auto"/>
              </w:rPr>
            </w:pP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7640" w:type="dxa"/>
            <w:vAlign w:val="bottom"/>
          </w:tcPr>
          <w:p>
            <w:pPr>
              <w:ind w:left="920"/>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(809)</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41,158</w:t>
            </w:r>
          </w:p>
        </w:tc>
      </w:tr>
      <w:tr>
        <w:trPr>
          <w:trHeight w:val="176"/>
        </w:trPr>
        <w:tc>
          <w:tcPr>
            <w:tcW w:w="7640" w:type="dxa"/>
            <w:vAlign w:val="bottom"/>
          </w:tcPr>
          <w:p>
            <w:pPr>
              <w:spacing w:after="0"/>
              <w:rPr>
                <w:sz w:val="15"/>
                <w:szCs w:val="15"/>
                <w:color w:val="auto"/>
              </w:rPr>
            </w:pP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7640" w:type="dxa"/>
            <w:vAlign w:val="bottom"/>
          </w:tcPr>
          <w:p>
            <w:pPr>
              <w:ind w:left="920"/>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(6,383)</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16,970</w:t>
            </w:r>
          </w:p>
        </w:tc>
      </w:tr>
      <w:tr>
        <w:trPr>
          <w:trHeight w:val="176"/>
        </w:trPr>
        <w:tc>
          <w:tcPr>
            <w:tcW w:w="7640" w:type="dxa"/>
            <w:vAlign w:val="bottom"/>
          </w:tcPr>
          <w:p>
            <w:pPr>
              <w:spacing w:after="0"/>
              <w:rPr>
                <w:sz w:val="15"/>
                <w:szCs w:val="15"/>
                <w:color w:val="auto"/>
              </w:rPr>
            </w:pP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76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28,921</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34,475</w:t>
            </w:r>
          </w:p>
        </w:tc>
      </w:tr>
      <w:tr>
        <w:trPr>
          <w:trHeight w:val="176"/>
        </w:trPr>
        <w:tc>
          <w:tcPr>
            <w:tcW w:w="7640" w:type="dxa"/>
            <w:vAlign w:val="bottom"/>
          </w:tcPr>
          <w:p>
            <w:pPr>
              <w:spacing w:after="0"/>
              <w:rPr>
                <w:sz w:val="15"/>
                <w:szCs w:val="15"/>
                <w:color w:val="auto"/>
              </w:rPr>
            </w:pP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7640" w:type="dxa"/>
            <w:vAlign w:val="bottom"/>
          </w:tcPr>
          <w:p>
            <w:pPr>
              <w:ind w:left="92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$22,538</w:t>
            </w:r>
          </w:p>
        </w:tc>
        <w:tc>
          <w:tcPr>
            <w:tcW w:w="1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$51,445</w:t>
            </w:r>
          </w:p>
        </w:tc>
      </w:tr>
      <w:tr>
        <w:trPr>
          <w:trHeight w:val="176"/>
        </w:trPr>
        <w:tc>
          <w:tcPr>
            <w:tcW w:w="7640" w:type="dxa"/>
            <w:vAlign w:val="bottom"/>
          </w:tcPr>
          <w:p>
            <w:pPr>
              <w:spacing w:after="0"/>
              <w:rPr>
                <w:sz w:val="15"/>
                <w:szCs w:val="15"/>
                <w:color w:val="auto"/>
              </w:rPr>
            </w:pPr>
          </w:p>
        </w:tc>
        <w:tc>
          <w:tcPr>
            <w:tcW w:w="20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82"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20"/>
          </w:cols>
          <w:pgMar w:left="240" w:top="470" w:right="139" w:bottom="1440" w:gutter="0" w:footer="0" w:header="0"/>
        </w:sectPr>
      </w:pPr>
    </w:p>
    <w:bookmarkStart w:id="6" w:name="page7"/>
    <w:bookmarkEnd w:id="6"/>
    <w:p>
      <w:pPr>
        <w:ind w:left="6"/>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9" w:lineRule="exact"/>
        <w:rPr>
          <w:sz w:val="20"/>
          <w:szCs w:val="20"/>
          <w:color w:val="auto"/>
        </w:rPr>
      </w:pPr>
    </w:p>
    <w:p>
      <w:pPr>
        <w:ind w:left="826" w:hanging="826"/>
        <w:spacing w:after="0"/>
        <w:tabs>
          <w:tab w:leader="none" w:pos="82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Financial Statements</w:t>
      </w:r>
    </w:p>
    <w:p>
      <w:pPr>
        <w:spacing w:after="0" w:line="182" w:lineRule="exact"/>
        <w:rPr>
          <w:rFonts w:ascii="Courier New" w:cs="Courier New" w:eastAsia="Courier New" w:hAnsi="Courier New"/>
          <w:sz w:val="15"/>
          <w:szCs w:val="15"/>
          <w:color w:val="auto"/>
        </w:rPr>
      </w:pPr>
    </w:p>
    <w:p>
      <w:pPr>
        <w:ind w:left="826" w:right="297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Condensed Financial Statements of Regeneron Pharmaceuticals, Inc.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 and cash flows for such periods. The results of operations for any interim periods are not necessarily indicative of the results for the full year. These financial statements should be read in conjunction with the financial statements and notes thereto contained in the Company's Annual Report on Form 10-K for the year ended December 31, 1997.</w:t>
      </w:r>
    </w:p>
    <w:p>
      <w:pPr>
        <w:spacing w:after="0" w:line="361"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w:t>
      </w:r>
    </w:p>
    <w:p>
      <w:pPr>
        <w:spacing w:after="0" w:line="182"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disclosure of noncash investing and financing activities:</w:t>
      </w:r>
    </w:p>
    <w:p>
      <w:pPr>
        <w:spacing w:after="0" w:line="182" w:lineRule="exact"/>
        <w:rPr>
          <w:rFonts w:ascii="Courier New" w:cs="Courier New" w:eastAsia="Courier New" w:hAnsi="Courier New"/>
          <w:sz w:val="15"/>
          <w:szCs w:val="15"/>
          <w:color w:val="auto"/>
        </w:rPr>
      </w:pPr>
    </w:p>
    <w:p>
      <w:pPr>
        <w:ind w:left="826" w:right="325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Capital lease obligations of $451 and $619 were incurred during the first six months of 1998 and 1997, respectively, when the Company leased new equipment.</w:t>
      </w:r>
    </w:p>
    <w:p>
      <w:pPr>
        <w:spacing w:after="0" w:line="175" w:lineRule="exact"/>
        <w:rPr>
          <w:rFonts w:ascii="Courier New" w:cs="Courier New" w:eastAsia="Courier New" w:hAnsi="Courier New"/>
          <w:sz w:val="15"/>
          <w:szCs w:val="15"/>
          <w:color w:val="auto"/>
        </w:rPr>
      </w:pPr>
    </w:p>
    <w:p>
      <w:pPr>
        <w:ind w:left="82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accounts payable and accrued expenses at June 30, 1998 and December 31, 1997 were approximately $190 and $635, respectively, of accrued capital expenditures. Included in accounts payable and accrued expenses at June 30, 1997 and December 31, 1996 were approximately $1,127 and $800, respectively, of accrued capital expenditures. In addition, approximately $40 of costs incurred in connection with the Company's issuance of equity securities were included in accounts payable and accrued expenses at June 30, 1997.</w:t>
      </w:r>
    </w:p>
    <w:p>
      <w:pPr>
        <w:spacing w:after="0" w:line="351"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82" w:lineRule="exact"/>
        <w:rPr>
          <w:rFonts w:ascii="Courier New" w:cs="Courier New" w:eastAsia="Courier New" w:hAnsi="Courier New"/>
          <w:sz w:val="15"/>
          <w:szCs w:val="15"/>
          <w:color w:val="auto"/>
        </w:rPr>
      </w:pPr>
    </w:p>
    <w:p>
      <w:pPr>
        <w:ind w:left="826" w:right="29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 as of June 30, 1998 and December 31, 1997 consist of the following:</w:t>
      </w:r>
    </w:p>
    <w:p>
      <w:pPr>
        <w:spacing w:after="0" w:line="175" w:lineRule="exact"/>
        <w:rPr>
          <w:sz w:val="20"/>
          <w:szCs w:val="20"/>
          <w:color w:val="auto"/>
        </w:rPr>
      </w:pPr>
    </w:p>
    <w:tbl>
      <w:tblPr>
        <w:tblLayout w:type="fixed"/>
        <w:tblInd w:w="826"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June 30,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3480" w:type="dxa"/>
            <w:vAlign w:val="bottom"/>
          </w:tcPr>
          <w:p>
            <w:pPr>
              <w:spacing w:after="0"/>
              <w:rPr>
                <w:sz w:val="15"/>
                <w:szCs w:val="15"/>
                <w:color w:val="auto"/>
              </w:rPr>
            </w:pP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3480" w:type="dxa"/>
            <w:vAlign w:val="bottom"/>
          </w:tcPr>
          <w:p>
            <w:pPr>
              <w:spacing w:after="0"/>
              <w:rPr>
                <w:sz w:val="15"/>
                <w:szCs w:val="15"/>
                <w:color w:val="auto"/>
              </w:rPr>
            </w:pP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$2,439</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$2,947</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Accrued payroll and related costs</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1,343</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654</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Accrued clinical trial expense</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320</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320</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Accrued expenses, other</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690</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392</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287</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350</w:t>
            </w:r>
          </w:p>
        </w:tc>
      </w:tr>
      <w:tr>
        <w:trPr>
          <w:trHeight w:val="176"/>
        </w:trPr>
        <w:tc>
          <w:tcPr>
            <w:tcW w:w="3480" w:type="dxa"/>
            <w:vAlign w:val="bottom"/>
          </w:tcPr>
          <w:p>
            <w:pPr>
              <w:spacing w:after="0"/>
              <w:rPr>
                <w:sz w:val="15"/>
                <w:szCs w:val="15"/>
                <w:color w:val="auto"/>
              </w:rPr>
            </w:pP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15"/>
                <w:szCs w:val="15"/>
                <w:color w:val="auto"/>
              </w:rPr>
            </w:pP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$5,079</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$4,663</w:t>
            </w:r>
          </w:p>
        </w:tc>
      </w:tr>
      <w:tr>
        <w:trPr>
          <w:trHeight w:val="176"/>
        </w:trPr>
        <w:tc>
          <w:tcPr>
            <w:tcW w:w="3480" w:type="dxa"/>
            <w:vAlign w:val="bottom"/>
          </w:tcPr>
          <w:p>
            <w:pPr>
              <w:spacing w:after="0"/>
              <w:rPr>
                <w:sz w:val="15"/>
                <w:szCs w:val="15"/>
                <w:color w:val="auto"/>
              </w:rPr>
            </w:pP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705"/>
        </w:trPr>
        <w:tc>
          <w:tcPr>
            <w:tcW w:w="3480" w:type="dxa"/>
            <w:vAlign w:val="bottom"/>
          </w:tcPr>
          <w:p>
            <w:pPr>
              <w:ind w:left="2740"/>
              <w:spacing w:after="0"/>
              <w:rPr>
                <w:sz w:val="20"/>
                <w:szCs w:val="20"/>
                <w:color w:val="auto"/>
              </w:rPr>
            </w:pPr>
            <w:r>
              <w:rPr>
                <w:rFonts w:ascii="Courier New" w:cs="Courier New" w:eastAsia="Courier New" w:hAnsi="Courier New"/>
                <w:sz w:val="15"/>
                <w:szCs w:val="15"/>
                <w:color w:val="auto"/>
              </w:rPr>
              <w:t>7</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25"/>
          </w:cols>
          <w:pgMar w:left="234" w:top="647" w:right="1440" w:bottom="1440" w:gutter="0" w:footer="0" w:header="0"/>
        </w:sectPr>
      </w:pPr>
    </w:p>
    <w:bookmarkStart w:id="7" w:name="page8"/>
    <w:bookmarkEnd w:id="7"/>
    <w:p>
      <w:pPr>
        <w:ind w:left="6"/>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9" w:lineRule="exact"/>
        <w:rPr>
          <w:sz w:val="20"/>
          <w:szCs w:val="20"/>
          <w:color w:val="auto"/>
        </w:rPr>
      </w:pPr>
    </w:p>
    <w:p>
      <w:pPr>
        <w:ind w:left="826" w:hanging="826"/>
        <w:spacing w:after="0"/>
        <w:tabs>
          <w:tab w:leader="none" w:pos="82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2" w:lineRule="exact"/>
        <w:rPr>
          <w:rFonts w:ascii="Courier New" w:cs="Courier New" w:eastAsia="Courier New" w:hAnsi="Courier New"/>
          <w:sz w:val="15"/>
          <w:szCs w:val="15"/>
          <w:color w:val="auto"/>
        </w:rPr>
      </w:pPr>
    </w:p>
    <w:p>
      <w:pPr>
        <w:ind w:left="826"/>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three months ended June 30, 1998, the Company did not record a provision for income taxes. The Company was able to apply net operating loss carry-forwards against its taxable net income, and the effect of the alternative minimum tax was not material.</w:t>
      </w:r>
    </w:p>
    <w:p>
      <w:pPr>
        <w:spacing w:after="0" w:line="351"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Amgen-Regeneron Partners Research Collaboration Agreement</w:t>
      </w:r>
    </w:p>
    <w:p>
      <w:pPr>
        <w:spacing w:after="0" w:line="182" w:lineRule="exact"/>
        <w:rPr>
          <w:rFonts w:ascii="Courier New" w:cs="Courier New" w:eastAsia="Courier New" w:hAnsi="Courier New"/>
          <w:sz w:val="15"/>
          <w:szCs w:val="15"/>
          <w:color w:val="auto"/>
        </w:rPr>
      </w:pPr>
    </w:p>
    <w:p>
      <w:pPr>
        <w:ind w:left="826" w:right="100"/>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1990, the Company and Amgen Inc. formed a partnership, Amgen-Regeneron Partners (the "Partnership"), whereby the revenues earned and expenses incurred by the Partnership for the research and development of BDNF and NT-3 are shared equally. The Company accounts for its investment in the Partnership in accordance with the equity method of accounting.</w:t>
      </w:r>
    </w:p>
    <w:p>
      <w:pPr>
        <w:spacing w:after="0" w:line="175" w:lineRule="exact"/>
        <w:rPr>
          <w:rFonts w:ascii="Courier New" w:cs="Courier New" w:eastAsia="Courier New" w:hAnsi="Courier New"/>
          <w:sz w:val="15"/>
          <w:szCs w:val="15"/>
          <w:color w:val="auto"/>
        </w:rPr>
      </w:pPr>
    </w:p>
    <w:p>
      <w:pPr>
        <w:ind w:left="826" w:right="280"/>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income statement data of the Partnership for the three and six months ended June 30, 1998 and 1997 are as follows:</w:t>
      </w:r>
    </w:p>
    <w:p>
      <w:pPr>
        <w:spacing w:after="0" w:line="200" w:lineRule="exact"/>
        <w:rPr>
          <w:sz w:val="20"/>
          <w:szCs w:val="20"/>
          <w:color w:val="auto"/>
        </w:rPr>
      </w:pPr>
    </w:p>
    <w:p>
      <w:pPr>
        <w:spacing w:after="0" w:line="327" w:lineRule="exact"/>
        <w:rPr>
          <w:sz w:val="20"/>
          <w:szCs w:val="20"/>
          <w:color w:val="auto"/>
        </w:rPr>
      </w:pPr>
    </w:p>
    <w:p>
      <w:pPr>
        <w:ind w:left="4026"/>
        <w:spacing w:after="0"/>
        <w:rPr>
          <w:sz w:val="20"/>
          <w:szCs w:val="20"/>
          <w:color w:val="auto"/>
        </w:rPr>
      </w:pPr>
      <w:r>
        <w:rPr>
          <w:rFonts w:ascii="Courier New" w:cs="Courier New" w:eastAsia="Courier New" w:hAnsi="Courier New"/>
          <w:sz w:val="15"/>
          <w:szCs w:val="15"/>
          <w:color w:val="auto"/>
        </w:rPr>
        <w:t>Three Months Ended June 30,</w:t>
      </w:r>
    </w:p>
    <w:p>
      <w:pPr>
        <w:spacing w:after="0" w:line="6" w:lineRule="exact"/>
        <w:rPr>
          <w:sz w:val="20"/>
          <w:szCs w:val="20"/>
          <w:color w:val="auto"/>
        </w:rPr>
      </w:pPr>
    </w:p>
    <w:p>
      <w:pPr>
        <w:ind w:left="402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206"/>
        <w:spacing w:after="0"/>
        <w:tabs>
          <w:tab w:leader="none" w:pos="5846"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6" w:lineRule="exact"/>
        <w:rPr>
          <w:sz w:val="20"/>
          <w:szCs w:val="20"/>
          <w:color w:val="auto"/>
        </w:rPr>
      </w:pPr>
    </w:p>
    <w:p>
      <w:pPr>
        <w:ind w:left="4206"/>
        <w:spacing w:after="0"/>
        <w:tabs>
          <w:tab w:leader="none" w:pos="584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ind w:left="1006"/>
        <w:spacing w:after="0"/>
        <w:tabs>
          <w:tab w:leader="none" w:pos="4286" w:val="left"/>
          <w:tab w:leader="none" w:pos="5926" w:val="left"/>
        </w:tabs>
        <w:rPr>
          <w:sz w:val="20"/>
          <w:szCs w:val="20"/>
          <w:color w:val="auto"/>
        </w:rPr>
      </w:pPr>
      <w:r>
        <w:rPr>
          <w:rFonts w:ascii="Courier New" w:cs="Courier New" w:eastAsia="Courier New" w:hAnsi="Courier New"/>
          <w:sz w:val="15"/>
          <w:szCs w:val="15"/>
          <w:color w:val="auto"/>
        </w:rPr>
        <w:t>Total revenues</w:t>
      </w:r>
      <w:r>
        <w:rPr>
          <w:sz w:val="20"/>
          <w:szCs w:val="20"/>
          <w:color w:val="auto"/>
        </w:rPr>
        <w:tab/>
      </w: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$37</w:t>
      </w:r>
    </w:p>
    <w:p>
      <w:pPr>
        <w:spacing w:after="0" w:line="6" w:lineRule="exact"/>
        <w:rPr>
          <w:sz w:val="20"/>
          <w:szCs w:val="20"/>
          <w:color w:val="auto"/>
        </w:rPr>
      </w:pPr>
    </w:p>
    <w:p>
      <w:pPr>
        <w:ind w:left="1006"/>
        <w:spacing w:after="0"/>
        <w:tabs>
          <w:tab w:leader="none" w:pos="4186" w:val="left"/>
          <w:tab w:leader="none" w:pos="5846" w:val="left"/>
        </w:tabs>
        <w:rPr>
          <w:sz w:val="20"/>
          <w:szCs w:val="20"/>
          <w:color w:val="auto"/>
        </w:rPr>
      </w:pPr>
      <w:r>
        <w:rPr>
          <w:rFonts w:ascii="Courier New" w:cs="Courier New" w:eastAsia="Courier New" w:hAnsi="Courier New"/>
          <w:sz w:val="15"/>
          <w:szCs w:val="15"/>
          <w:color w:val="auto"/>
        </w:rPr>
        <w:t>Total expenses</w:t>
      </w:r>
      <w:r>
        <w:rPr>
          <w:sz w:val="20"/>
          <w:szCs w:val="20"/>
          <w:color w:val="auto"/>
        </w:rPr>
        <w:tab/>
      </w:r>
      <w:r>
        <w:rPr>
          <w:rFonts w:ascii="Courier New" w:cs="Courier New" w:eastAsia="Courier New" w:hAnsi="Courier New"/>
          <w:sz w:val="15"/>
          <w:szCs w:val="15"/>
          <w:color w:val="auto"/>
        </w:rPr>
        <w:t>(416)</w:t>
      </w:r>
      <w:r>
        <w:rPr>
          <w:sz w:val="20"/>
          <w:szCs w:val="20"/>
          <w:color w:val="auto"/>
        </w:rPr>
        <w:tab/>
      </w:r>
      <w:r>
        <w:rPr>
          <w:rFonts w:ascii="Courier New" w:cs="Courier New" w:eastAsia="Courier New" w:hAnsi="Courier New"/>
          <w:sz w:val="15"/>
          <w:szCs w:val="15"/>
          <w:color w:val="auto"/>
        </w:rPr>
        <w:t>(995)</w:t>
      </w:r>
    </w:p>
    <w:p>
      <w:pPr>
        <w:spacing w:after="0" w:line="6" w:lineRule="exact"/>
        <w:rPr>
          <w:sz w:val="20"/>
          <w:szCs w:val="20"/>
          <w:color w:val="auto"/>
        </w:rPr>
      </w:pPr>
    </w:p>
    <w:p>
      <w:pPr>
        <w:ind w:left="4126"/>
        <w:spacing w:after="0"/>
        <w:tabs>
          <w:tab w:leader="none" w:pos="574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ind w:left="1006"/>
        <w:spacing w:after="0"/>
        <w:tabs>
          <w:tab w:leader="none" w:pos="4106" w:val="left"/>
          <w:tab w:leader="none" w:pos="5746" w:val="left"/>
        </w:tabs>
        <w:rPr>
          <w:sz w:val="20"/>
          <w:szCs w:val="20"/>
          <w:color w:val="auto"/>
        </w:rPr>
      </w:pPr>
      <w:r>
        <w:rPr>
          <w:rFonts w:ascii="Courier New" w:cs="Courier New" w:eastAsia="Courier New" w:hAnsi="Courier New"/>
          <w:sz w:val="15"/>
          <w:szCs w:val="15"/>
          <w:color w:val="auto"/>
        </w:rPr>
        <w:t>Net loss</w:t>
      </w:r>
      <w:r>
        <w:rPr>
          <w:sz w:val="20"/>
          <w:szCs w:val="20"/>
          <w:color w:val="auto"/>
        </w:rPr>
        <w:tab/>
      </w:r>
      <w:r>
        <w:rPr>
          <w:rFonts w:ascii="Courier New" w:cs="Courier New" w:eastAsia="Courier New" w:hAnsi="Courier New"/>
          <w:sz w:val="15"/>
          <w:szCs w:val="15"/>
          <w:color w:val="auto"/>
        </w:rPr>
        <w:t>($373)</w:t>
      </w:r>
      <w:r>
        <w:rPr>
          <w:sz w:val="20"/>
          <w:szCs w:val="20"/>
          <w:color w:val="auto"/>
        </w:rPr>
        <w:tab/>
      </w:r>
      <w:r>
        <w:rPr>
          <w:rFonts w:ascii="Courier New" w:cs="Courier New" w:eastAsia="Courier New" w:hAnsi="Courier New"/>
          <w:sz w:val="15"/>
          <w:szCs w:val="15"/>
          <w:color w:val="auto"/>
        </w:rPr>
        <w:t>($958)</w:t>
      </w:r>
    </w:p>
    <w:p>
      <w:pPr>
        <w:spacing w:after="0" w:line="6" w:lineRule="exact"/>
        <w:rPr>
          <w:sz w:val="20"/>
          <w:szCs w:val="20"/>
          <w:color w:val="auto"/>
        </w:rPr>
      </w:pPr>
    </w:p>
    <w:p>
      <w:pPr>
        <w:ind w:left="4026"/>
        <w:spacing w:after="0"/>
        <w:tabs>
          <w:tab w:leader="none" w:pos="56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Six Months Ended June 30,</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13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3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$83</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w:t>
            </w:r>
          </w:p>
        </w:tc>
      </w:tr>
      <w:tr>
        <w:trPr>
          <w:trHeight w:val="176"/>
        </w:trPr>
        <w:tc>
          <w:tcPr>
            <w:tcW w:w="134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(1,829)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(4,546)</w:t>
            </w:r>
          </w:p>
        </w:tc>
      </w:tr>
      <w:tr>
        <w:trPr>
          <w:trHeight w:val="176"/>
        </w:trPr>
        <w:tc>
          <w:tcPr>
            <w:tcW w:w="13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134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($1,746)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($4,359)</w:t>
            </w:r>
          </w:p>
        </w:tc>
      </w:tr>
      <w:tr>
        <w:trPr>
          <w:trHeight w:val="176"/>
        </w:trPr>
        <w:tc>
          <w:tcPr>
            <w:tcW w:w="13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246" w:space="720"/>
            <w:col w:w="2660"/>
          </w:cols>
          <w:pgMar w:left="234" w:top="823" w:right="1039" w:bottom="1440" w:gutter="0" w:footer="0" w:header="0"/>
        </w:sectPr>
      </w:pPr>
    </w:p>
    <w:bookmarkStart w:id="8" w:name="page9"/>
    <w:bookmarkEnd w:id="8"/>
    <w:p>
      <w:pPr>
        <w:ind w:left="6"/>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9" w:lineRule="exact"/>
        <w:rPr>
          <w:sz w:val="20"/>
          <w:szCs w:val="20"/>
          <w:color w:val="auto"/>
        </w:rPr>
      </w:pPr>
    </w:p>
    <w:p>
      <w:pPr>
        <w:ind w:left="826" w:hanging="826"/>
        <w:spacing w:after="0"/>
        <w:tabs>
          <w:tab w:leader="none" w:pos="82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82" w:lineRule="exact"/>
        <w:rPr>
          <w:rFonts w:ascii="Courier New" w:cs="Courier New" w:eastAsia="Courier New" w:hAnsi="Courier New"/>
          <w:sz w:val="15"/>
          <w:szCs w:val="15"/>
          <w:color w:val="auto"/>
        </w:rPr>
      </w:pPr>
    </w:p>
    <w:p>
      <w:pPr>
        <w:ind w:left="82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basic net income (loss) per share amounts have been computed by dividing net income (loss) by the weighted average number of Common and Class A shares outstanding. For the three months ended June 30, 1998, the Company reported net income; therefore, common stock equivalents were included in the computation of diluted net income per share. For the three months ended June 30, 1997 and for the six months ended June 30, 1998 and 1997, the Company reported net losses; therefore, no common stock equivalents were included in the computation of diluted net loss per share, since such inclusion would have been antidilutive. The calculations of basic and diluted net income (loss) per share are as follows:</w:t>
      </w:r>
    </w:p>
    <w:p>
      <w:pPr>
        <w:spacing w:after="0" w:line="175" w:lineRule="exact"/>
        <w:rPr>
          <w:sz w:val="20"/>
          <w:szCs w:val="20"/>
          <w:color w:val="auto"/>
        </w:rPr>
      </w:pPr>
    </w:p>
    <w:p>
      <w:pPr>
        <w:ind w:left="3306"/>
        <w:spacing w:after="0"/>
        <w:rPr>
          <w:sz w:val="20"/>
          <w:szCs w:val="20"/>
          <w:color w:val="auto"/>
        </w:rPr>
      </w:pPr>
      <w:r>
        <w:rPr>
          <w:rFonts w:ascii="Courier New" w:cs="Courier New" w:eastAsia="Courier New" w:hAnsi="Courier New"/>
          <w:sz w:val="15"/>
          <w:szCs w:val="15"/>
          <w:color w:val="auto"/>
        </w:rPr>
        <w:t>Three Months Ended June 30,</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2286"/>
        <w:spacing w:after="0"/>
        <w:tabs>
          <w:tab w:leader="none" w:pos="4386" w:val="left"/>
          <w:tab w:leader="none" w:pos="5566" w:val="left"/>
        </w:tabs>
        <w:rPr>
          <w:sz w:val="20"/>
          <w:szCs w:val="20"/>
          <w:color w:val="auto"/>
        </w:rPr>
      </w:pPr>
      <w:r>
        <w:rPr>
          <w:rFonts w:ascii="Courier New" w:cs="Courier New" w:eastAsia="Courier New" w:hAnsi="Courier New"/>
          <w:sz w:val="15"/>
          <w:szCs w:val="15"/>
          <w:color w:val="auto"/>
        </w:rPr>
        <w:t>Net Income (Loss)</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Net Income (Loss)</w:t>
      </w:r>
    </w:p>
    <w:p>
      <w:pPr>
        <w:spacing w:after="0" w:line="6" w:lineRule="exact"/>
        <w:rPr>
          <w:sz w:val="20"/>
          <w:szCs w:val="20"/>
          <w:color w:val="auto"/>
        </w:rPr>
      </w:pPr>
    </w:p>
    <w:p>
      <w:pPr>
        <w:ind w:left="2566"/>
        <w:spacing w:after="0"/>
        <w:tabs>
          <w:tab w:leader="none" w:pos="4006" w:val="left"/>
          <w:tab w:leader="none" w:pos="5926"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Per Share</w:t>
      </w:r>
    </w:p>
    <w:p>
      <w:pPr>
        <w:spacing w:after="0" w:line="6" w:lineRule="exact"/>
        <w:rPr>
          <w:sz w:val="20"/>
          <w:szCs w:val="20"/>
          <w:color w:val="auto"/>
        </w:rPr>
      </w:pPr>
    </w:p>
    <w:p>
      <w:pPr>
        <w:ind w:left="2566"/>
        <w:spacing w:after="0"/>
        <w:tabs>
          <w:tab w:leader="none" w:pos="4006" w:val="left"/>
          <w:tab w:leader="none" w:pos="59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1998:</w:t>
      </w:r>
    </w:p>
    <w:p>
      <w:pPr>
        <w:sectPr>
          <w:pgSz w:w="11900" w:h="16838" w:orient="portrait"/>
          <w:cols w:equalWidth="0" w:num="1">
            <w:col w:w="10225"/>
          </w:cols>
          <w:pgMar w:left="234" w:top="647" w:right="1440" w:bottom="1440" w:gutter="0" w:footer="0" w:header="0"/>
        </w:sectPr>
      </w:pPr>
    </w:p>
    <w:p>
      <w:pPr>
        <w:spacing w:after="0" w:line="6"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Basic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31,003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$0.07</w:t>
      </w:r>
    </w:p>
    <w:p>
      <w:pPr>
        <w:spacing w:after="0" w:line="6" w:lineRule="exact"/>
        <w:rPr>
          <w:sz w:val="20"/>
          <w:szCs w:val="20"/>
          <w:color w:val="auto"/>
        </w:rPr>
      </w:pPr>
    </w:p>
    <w:p>
      <w:pPr>
        <w:sectPr>
          <w:pgSz w:w="11900" w:h="16838" w:orient="portrait"/>
          <w:cols w:equalWidth="0" w:num="4">
            <w:col w:w="2026" w:space="720"/>
            <w:col w:w="940" w:space="720"/>
            <w:col w:w="1100" w:space="720"/>
            <w:col w:w="3999"/>
          </w:cols>
          <w:pgMar w:left="234" w:top="647" w:right="1440" w:bottom="1440" w:gutter="0" w:footer="0" w:header="0"/>
          <w:type w:val="continuous"/>
        </w:sectPr>
      </w:pPr>
    </w:p>
    <w:p>
      <w:pPr>
        <w:ind w:left="266"/>
        <w:spacing w:after="0"/>
        <w:rPr>
          <w:sz w:val="20"/>
          <w:szCs w:val="20"/>
          <w:color w:val="auto"/>
        </w:rPr>
      </w:pPr>
      <w:r>
        <w:rPr>
          <w:rFonts w:ascii="Courier New" w:cs="Courier New" w:eastAsia="Courier New" w:hAnsi="Courier New"/>
          <w:sz w:val="15"/>
          <w:szCs w:val="15"/>
          <w:color w:val="auto"/>
        </w:rPr>
        <w:t>Effect of dilutive</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securities</w:t>
      </w:r>
    </w:p>
    <w:p>
      <w:pPr>
        <w:sectPr>
          <w:pgSz w:w="11900" w:h="16838" w:orient="portrait"/>
          <w:cols w:equalWidth="0" w:num="1">
            <w:col w:w="10225"/>
          </w:cols>
          <w:pgMar w:left="234" w:top="647" w:right="1440" w:bottom="1440" w:gutter="0" w:footer="0" w:header="0"/>
          <w:type w:val="continuous"/>
        </w:sectPr>
      </w:pPr>
    </w:p>
    <w:p>
      <w:pPr>
        <w:spacing w:after="0" w:line="6"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Options</w:t>
      </w:r>
    </w:p>
    <w:p>
      <w:pPr>
        <w:spacing w:after="0" w:line="182"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Diluted</w:t>
      </w:r>
    </w:p>
    <w:p>
      <w:pPr>
        <w:spacing w:after="0" w:line="20" w:lineRule="exact"/>
        <w:rPr>
          <w:sz w:val="20"/>
          <w:szCs w:val="20"/>
          <w:color w:val="auto"/>
        </w:rPr>
      </w:pPr>
      <w:r>
        <w:rPr>
          <w:sz w:val="20"/>
          <w:szCs w:val="20"/>
          <w:color w:val="auto"/>
        </w:rPr>
        <w:br w:type="column"/>
      </w:r>
    </w:p>
    <w:p>
      <w:pPr>
        <w:jc w:val="right"/>
        <w:ind w:right="3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right"/>
        <w:ind w:right="380"/>
        <w:spacing w:after="0"/>
        <w:rPr>
          <w:sz w:val="20"/>
          <w:szCs w:val="20"/>
          <w:color w:val="auto"/>
        </w:rPr>
      </w:pPr>
      <w:r>
        <w:rPr>
          <w:rFonts w:ascii="Courier New" w:cs="Courier New" w:eastAsia="Courier New" w:hAnsi="Courier New"/>
          <w:sz w:val="15"/>
          <w:szCs w:val="15"/>
          <w:color w:val="auto"/>
        </w:rPr>
        <w:t>$2,140</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985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31,988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53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right"/>
        <w:ind w:right="3539"/>
        <w:spacing w:after="0"/>
        <w:rPr>
          <w:sz w:val="20"/>
          <w:szCs w:val="20"/>
          <w:color w:val="auto"/>
        </w:rPr>
      </w:pPr>
      <w:r>
        <w:rPr>
          <w:rFonts w:ascii="Courier New" w:cs="Courier New" w:eastAsia="Courier New" w:hAnsi="Courier New"/>
          <w:sz w:val="15"/>
          <w:szCs w:val="15"/>
          <w:color w:val="auto"/>
        </w:rPr>
        <w:t>$0.07</w:t>
      </w:r>
    </w:p>
    <w:p>
      <w:pPr>
        <w:spacing w:after="0" w:line="182" w:lineRule="exact"/>
        <w:rPr>
          <w:sz w:val="20"/>
          <w:szCs w:val="20"/>
          <w:color w:val="auto"/>
        </w:rPr>
      </w:pPr>
    </w:p>
    <w:p>
      <w:pPr>
        <w:sectPr>
          <w:pgSz w:w="11900" w:h="16838" w:orient="portrait"/>
          <w:cols w:equalWidth="0" w:num="4">
            <w:col w:w="2026" w:space="720"/>
            <w:col w:w="940" w:space="720"/>
            <w:col w:w="1100" w:space="720"/>
            <w:col w:w="3999"/>
          </w:cols>
          <w:pgMar w:left="234" w:top="647"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1997:</w:t>
      </w:r>
    </w:p>
    <w:p>
      <w:pPr>
        <w:sectPr>
          <w:pgSz w:w="11900" w:h="16838" w:orient="portrait"/>
          <w:cols w:equalWidth="0" w:num="1">
            <w:col w:w="10225"/>
          </w:cols>
          <w:pgMar w:left="234" w:top="647" w:right="1440" w:bottom="1440" w:gutter="0" w:footer="0" w:header="0"/>
          <w:type w:val="continuous"/>
        </w:sectPr>
      </w:pPr>
    </w:p>
    <w:p>
      <w:pPr>
        <w:spacing w:after="0" w:line="6"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Basic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($4,270)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27,193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($0.16)</w:t>
      </w:r>
    </w:p>
    <w:p>
      <w:pPr>
        <w:spacing w:after="0" w:line="6" w:lineRule="exact"/>
        <w:rPr>
          <w:sz w:val="20"/>
          <w:szCs w:val="20"/>
          <w:color w:val="auto"/>
        </w:rPr>
      </w:pPr>
    </w:p>
    <w:p>
      <w:pPr>
        <w:sectPr>
          <w:pgSz w:w="11900" w:h="16838" w:orient="portrait"/>
          <w:cols w:equalWidth="0" w:num="4">
            <w:col w:w="1946" w:space="720"/>
            <w:col w:w="1020" w:space="720"/>
            <w:col w:w="1020" w:space="720"/>
            <w:col w:w="4079"/>
          </w:cols>
          <w:pgMar w:left="234" w:top="647" w:right="1440" w:bottom="1440" w:gutter="0" w:footer="0" w:header="0"/>
          <w:type w:val="continuous"/>
        </w:sectPr>
      </w:pPr>
    </w:p>
    <w:p>
      <w:pPr>
        <w:ind w:left="466"/>
        <w:spacing w:after="0"/>
        <w:rPr>
          <w:sz w:val="20"/>
          <w:szCs w:val="20"/>
          <w:color w:val="auto"/>
        </w:rPr>
      </w:pPr>
      <w:r>
        <w:rPr>
          <w:rFonts w:ascii="Courier New" w:cs="Courier New" w:eastAsia="Courier New" w:hAnsi="Courier New"/>
          <w:sz w:val="15"/>
          <w:szCs w:val="15"/>
          <w:color w:val="auto"/>
        </w:rPr>
        <w:t>diluted</w:t>
      </w:r>
    </w:p>
    <w:p>
      <w:pPr>
        <w:sectPr>
          <w:pgSz w:w="11900" w:h="16838" w:orient="portrait"/>
          <w:cols w:equalWidth="0" w:num="1">
            <w:col w:w="10225"/>
          </w:cols>
          <w:pgMar w:left="234" w:top="647" w:right="1440" w:bottom="1440" w:gutter="0" w:footer="0" w:header="0"/>
          <w:type w:val="continuous"/>
        </w:sectPr>
      </w:pP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826" w:right="3259"/>
        <w:spacing w:after="0" w:line="249" w:lineRule="auto"/>
        <w:rPr>
          <w:sz w:val="20"/>
          <w:szCs w:val="20"/>
          <w:color w:val="auto"/>
        </w:rPr>
      </w:pPr>
      <w:r>
        <w:rPr>
          <w:rFonts w:ascii="Courier New" w:cs="Courier New" w:eastAsia="Courier New" w:hAnsi="Courier New"/>
          <w:sz w:val="15"/>
          <w:szCs w:val="15"/>
          <w:color w:val="auto"/>
        </w:rPr>
        <w:t>Options and warrants, which have been excluded from the diluted per share amounts because their effect would have been antidilutive include the following:</w:t>
      </w:r>
    </w:p>
    <w:p>
      <w:pPr>
        <w:spacing w:after="0" w:line="352"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Three Months Ended June 30,</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386"/>
        <w:spacing w:after="0"/>
        <w:tabs>
          <w:tab w:leader="none" w:pos="5566"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6"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946"/>
        <w:spacing w:after="0"/>
        <w:tabs>
          <w:tab w:leader="none" w:pos="6386"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p>
    <w:p>
      <w:pPr>
        <w:spacing w:after="0" w:line="6" w:lineRule="exact"/>
        <w:rPr>
          <w:sz w:val="20"/>
          <w:szCs w:val="20"/>
          <w:color w:val="auto"/>
        </w:rPr>
      </w:pPr>
    </w:p>
    <w:p>
      <w:pPr>
        <w:ind w:left="2566"/>
        <w:spacing w:after="0"/>
        <w:tabs>
          <w:tab w:leader="none" w:pos="4006" w:val="left"/>
          <w:tab w:leader="none" w:pos="5106" w:val="left"/>
          <w:tab w:leader="none" w:pos="6486"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Average</w:t>
      </w:r>
    </w:p>
    <w:p>
      <w:pPr>
        <w:spacing w:after="0" w:line="6" w:lineRule="exact"/>
        <w:rPr>
          <w:sz w:val="20"/>
          <w:szCs w:val="20"/>
          <w:color w:val="auto"/>
        </w:rPr>
      </w:pPr>
    </w:p>
    <w:p>
      <w:pPr>
        <w:ind w:left="2666"/>
        <w:spacing w:after="0"/>
        <w:tabs>
          <w:tab w:leader="none" w:pos="3926" w:val="left"/>
          <w:tab w:leader="none" w:pos="5206" w:val="left"/>
          <w:tab w:leader="none" w:pos="6386"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Exercise</w:t>
      </w:r>
    </w:p>
    <w:p>
      <w:pPr>
        <w:spacing w:after="0" w:line="6" w:lineRule="exact"/>
        <w:rPr>
          <w:sz w:val="20"/>
          <w:szCs w:val="20"/>
          <w:color w:val="auto"/>
        </w:rPr>
      </w:pPr>
    </w:p>
    <w:p>
      <w:pPr>
        <w:ind w:left="2746"/>
        <w:spacing w:after="0"/>
        <w:tabs>
          <w:tab w:leader="none" w:pos="4186" w:val="left"/>
          <w:tab w:leader="none" w:pos="5286" w:val="left"/>
          <w:tab w:leader="none" w:pos="6666"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Price</w:t>
      </w:r>
    </w:p>
    <w:p>
      <w:pPr>
        <w:spacing w:after="0" w:line="6" w:lineRule="exact"/>
        <w:rPr>
          <w:sz w:val="20"/>
          <w:szCs w:val="20"/>
          <w:color w:val="auto"/>
        </w:rPr>
      </w:pPr>
    </w:p>
    <w:p>
      <w:pPr>
        <w:ind w:left="2746"/>
        <w:spacing w:after="0"/>
        <w:tabs>
          <w:tab w:leader="none" w:pos="4186" w:val="left"/>
          <w:tab w:leader="none" w:pos="5286" w:val="left"/>
          <w:tab w:leader="none" w:pos="66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Options with exercise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prices below</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average fair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market value of</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Company's common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stock for the</w:t>
      </w:r>
    </w:p>
    <w:p>
      <w:pPr>
        <w:sectPr>
          <w:pgSz w:w="11900" w:h="16838" w:orient="portrait"/>
          <w:cols w:equalWidth="0" w:num="1">
            <w:col w:w="10225"/>
          </w:cols>
          <w:pgMar w:left="234" w:top="647" w:right="1440" w:bottom="1440" w:gutter="0" w:footer="0" w:header="0"/>
          <w:type w:val="continuous"/>
        </w:sectPr>
      </w:pP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respective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$4.49</w:t>
      </w:r>
    </w:p>
    <w:p>
      <w:pPr>
        <w:spacing w:after="0" w:line="193" w:lineRule="exact"/>
        <w:rPr>
          <w:sz w:val="20"/>
          <w:szCs w:val="20"/>
          <w:color w:val="auto"/>
        </w:rPr>
      </w:pPr>
    </w:p>
    <w:p>
      <w:pPr>
        <w:sectPr>
          <w:pgSz w:w="11900" w:h="16838" w:orient="portrait"/>
          <w:cols w:equalWidth="0" w:num="3">
            <w:col w:w="4586" w:space="720"/>
            <w:col w:w="580" w:space="720"/>
            <w:col w:w="3619"/>
          </w:cols>
          <w:pgMar w:left="234" w:top="647"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Options and warrants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with exercise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prices above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average fair market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value of the Company's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common stock for</w:t>
      </w:r>
    </w:p>
    <w:p>
      <w:pPr>
        <w:spacing w:after="0" w:line="6" w:lineRule="exact"/>
        <w:rPr>
          <w:sz w:val="20"/>
          <w:szCs w:val="20"/>
          <w:color w:val="auto"/>
        </w:rPr>
      </w:pPr>
    </w:p>
    <w:p>
      <w:pPr>
        <w:ind w:left="6"/>
        <w:spacing w:after="0"/>
        <w:tabs>
          <w:tab w:leader="none" w:pos="2826" w:val="left"/>
          <w:tab w:leader="none" w:pos="4006" w:val="left"/>
          <w:tab w:leader="none" w:pos="5286" w:val="left"/>
          <w:tab w:leader="none" w:pos="6486" w:val="left"/>
        </w:tabs>
        <w:rPr>
          <w:sz w:val="20"/>
          <w:szCs w:val="20"/>
          <w:color w:val="auto"/>
        </w:rPr>
      </w:pPr>
      <w:r>
        <w:rPr>
          <w:rFonts w:ascii="Courier New" w:cs="Courier New" w:eastAsia="Courier New" w:hAnsi="Courier New"/>
          <w:sz w:val="15"/>
          <w:szCs w:val="15"/>
          <w:color w:val="auto"/>
        </w:rPr>
        <w:t>the respective period</w:t>
      </w:r>
      <w:r>
        <w:rPr>
          <w:sz w:val="20"/>
          <w:szCs w:val="20"/>
          <w:color w:val="auto"/>
        </w:rPr>
        <w:tab/>
      </w:r>
      <w:r>
        <w:rPr>
          <w:rFonts w:ascii="Courier New" w:cs="Courier New" w:eastAsia="Courier New" w:hAnsi="Courier New"/>
          <w:sz w:val="15"/>
          <w:szCs w:val="15"/>
          <w:color w:val="auto"/>
        </w:rPr>
        <w:t>4,002</w:t>
      </w:r>
      <w:r>
        <w:rPr>
          <w:sz w:val="20"/>
          <w:szCs w:val="20"/>
          <w:color w:val="auto"/>
        </w:rPr>
        <w:tab/>
      </w:r>
      <w:r>
        <w:rPr>
          <w:rFonts w:ascii="Courier New" w:cs="Courier New" w:eastAsia="Courier New" w:hAnsi="Courier New"/>
          <w:sz w:val="15"/>
          <w:szCs w:val="15"/>
          <w:color w:val="auto"/>
        </w:rPr>
        <w:t>$12.05</w:t>
      </w:r>
      <w:r>
        <w:rPr>
          <w:sz w:val="20"/>
          <w:szCs w:val="20"/>
          <w:color w:val="auto"/>
        </w:rPr>
        <w:tab/>
      </w:r>
      <w:r>
        <w:rPr>
          <w:rFonts w:ascii="Courier New" w:cs="Courier New" w:eastAsia="Courier New" w:hAnsi="Courier New"/>
          <w:sz w:val="15"/>
          <w:szCs w:val="15"/>
          <w:color w:val="auto"/>
        </w:rPr>
        <w:t>2,495</w:t>
      </w:r>
      <w:r>
        <w:rPr>
          <w:sz w:val="20"/>
          <w:szCs w:val="20"/>
          <w:color w:val="auto"/>
        </w:rPr>
        <w:tab/>
      </w:r>
      <w:r>
        <w:rPr>
          <w:rFonts w:ascii="Courier New" w:cs="Courier New" w:eastAsia="Courier New" w:hAnsi="Courier New"/>
          <w:sz w:val="15"/>
          <w:szCs w:val="15"/>
          <w:color w:val="auto"/>
        </w:rPr>
        <w:t>$13.34</w:t>
      </w:r>
    </w:p>
    <w:p>
      <w:pPr>
        <w:spacing w:after="0" w:line="6" w:lineRule="exact"/>
        <w:rPr>
          <w:sz w:val="20"/>
          <w:szCs w:val="20"/>
          <w:color w:val="auto"/>
        </w:rPr>
      </w:pPr>
    </w:p>
    <w:p>
      <w:pPr>
        <w:ind w:left="2846"/>
        <w:spacing w:after="0"/>
        <w:tabs>
          <w:tab w:leader="none" w:pos="5286" w:val="left"/>
          <w:tab w:leader="none" w:pos="64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826"/>
        <w:spacing w:after="0"/>
        <w:tabs>
          <w:tab w:leader="none" w:pos="2826" w:val="left"/>
          <w:tab w:leader="none" w:pos="5286"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4,002</w:t>
      </w:r>
      <w:r>
        <w:rPr>
          <w:sz w:val="20"/>
          <w:szCs w:val="20"/>
          <w:color w:val="auto"/>
        </w:rPr>
        <w:tab/>
      </w:r>
      <w:r>
        <w:rPr>
          <w:rFonts w:ascii="Courier New" w:cs="Courier New" w:eastAsia="Courier New" w:hAnsi="Courier New"/>
          <w:sz w:val="15"/>
          <w:szCs w:val="15"/>
          <w:color w:val="auto"/>
        </w:rPr>
        <w:t>4,385</w:t>
      </w:r>
    </w:p>
    <w:p>
      <w:pPr>
        <w:spacing w:after="0" w:line="6" w:lineRule="exact"/>
        <w:rPr>
          <w:sz w:val="20"/>
          <w:szCs w:val="20"/>
          <w:color w:val="auto"/>
        </w:rPr>
      </w:pPr>
    </w:p>
    <w:p>
      <w:pPr>
        <w:ind w:left="2846"/>
        <w:spacing w:after="0"/>
        <w:tabs>
          <w:tab w:leader="none" w:pos="52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5"/>
          </w:cols>
          <w:pgMar w:left="234" w:top="647" w:right="1440" w:bottom="1440" w:gutter="0" w:footer="0" w:header="0"/>
          <w:type w:val="continuous"/>
        </w:sectPr>
      </w:pPr>
    </w:p>
    <w:p>
      <w:pPr>
        <w:spacing w:after="0" w:line="6" w:lineRule="exact"/>
        <w:rPr>
          <w:sz w:val="20"/>
          <w:szCs w:val="20"/>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3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4" w:top="647" w:right="1440" w:bottom="1440" w:gutter="0" w:footer="0" w:header="0"/>
          <w:type w:val="continuous"/>
        </w:sectPr>
      </w:pPr>
    </w:p>
    <w:bookmarkStart w:id="9" w:name="page10"/>
    <w:bookmarkEnd w:id="9"/>
    <w:p>
      <w:pPr>
        <w:ind w:left="6"/>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9" w:lineRule="exact"/>
        <w:rPr>
          <w:sz w:val="20"/>
          <w:szCs w:val="20"/>
          <w:color w:val="auto"/>
        </w:rPr>
      </w:pPr>
    </w:p>
    <w:p>
      <w:pPr>
        <w:ind w:left="826" w:hanging="826"/>
        <w:spacing w:after="0"/>
        <w:tabs>
          <w:tab w:leader="none" w:pos="82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 (continued)</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Six Months Ended June 30,</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Net Loss</w:t>
            </w:r>
          </w:p>
        </w:tc>
        <w:tc>
          <w:tcPr>
            <w:tcW w:w="1620" w:type="dxa"/>
            <w:vAlign w:val="bottom"/>
          </w:tcPr>
          <w:p>
            <w:pPr>
              <w:ind w:left="520"/>
              <w:spacing w:after="0"/>
              <w:rPr>
                <w:sz w:val="20"/>
                <w:szCs w:val="20"/>
                <w:color w:val="auto"/>
              </w:rPr>
            </w:pPr>
            <w:r>
              <w:rPr>
                <w:rFonts w:ascii="Courier New" w:cs="Courier New" w:eastAsia="Courier New" w:hAnsi="Courier New"/>
                <w:sz w:val="15"/>
                <w:szCs w:val="15"/>
                <w:color w:val="auto"/>
              </w:rPr>
              <w:t>Shares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Per Share</w:t>
            </w:r>
          </w:p>
        </w:tc>
      </w:tr>
      <w:tr>
        <w:trPr>
          <w:trHeight w:val="176"/>
        </w:trPr>
        <w:tc>
          <w:tcPr>
            <w:tcW w:w="24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(Numerator)</w:t>
            </w:r>
          </w:p>
        </w:tc>
        <w:tc>
          <w:tcPr>
            <w:tcW w:w="1620" w:type="dxa"/>
            <w:vAlign w:val="bottom"/>
          </w:tcPr>
          <w:p>
            <w:pPr>
              <w:ind w:left="140"/>
              <w:spacing w:after="0"/>
              <w:rPr>
                <w:sz w:val="20"/>
                <w:szCs w:val="20"/>
                <w:color w:val="auto"/>
              </w:rPr>
            </w:pPr>
            <w:r>
              <w:rPr>
                <w:rFonts w:ascii="Courier New" w:cs="Courier New" w:eastAsia="Courier New" w:hAnsi="Courier New"/>
                <w:sz w:val="15"/>
                <w:szCs w:val="15"/>
                <w:color w:val="auto"/>
              </w:rPr>
              <w:t>(Denominator)</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Amount</w:t>
            </w:r>
          </w:p>
        </w:tc>
      </w:tr>
      <w:tr>
        <w:trPr>
          <w:trHeight w:val="176"/>
        </w:trPr>
        <w:tc>
          <w:tcPr>
            <w:tcW w:w="2420" w:type="dxa"/>
            <w:vAlign w:val="bottom"/>
          </w:tcPr>
          <w:p>
            <w:pPr>
              <w:jc w:val="right"/>
              <w:ind w:right="1884"/>
              <w:spacing w:after="0"/>
              <w:rPr>
                <w:sz w:val="20"/>
                <w:szCs w:val="20"/>
                <w:color w:val="auto"/>
              </w:rPr>
            </w:pPr>
            <w:r>
              <w:rPr>
                <w:rFonts w:ascii="Courier New" w:cs="Courier New" w:eastAsia="Courier New" w:hAnsi="Courier New"/>
                <w:sz w:val="15"/>
                <w:szCs w:val="15"/>
                <w:color w:val="auto"/>
                <w:w w:val="97"/>
              </w:rPr>
              <w:t>1998:</w:t>
            </w:r>
          </w:p>
        </w:tc>
        <w:tc>
          <w:tcPr>
            <w:tcW w:w="1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Basic and Diluted</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($1,689)</w:t>
            </w:r>
          </w:p>
        </w:tc>
        <w:tc>
          <w:tcPr>
            <w:tcW w:w="1620" w:type="dxa"/>
            <w:vAlign w:val="bottom"/>
          </w:tcPr>
          <w:p>
            <w:pPr>
              <w:ind w:left="520"/>
              <w:spacing w:after="0"/>
              <w:rPr>
                <w:sz w:val="20"/>
                <w:szCs w:val="20"/>
                <w:color w:val="auto"/>
              </w:rPr>
            </w:pPr>
            <w:r>
              <w:rPr>
                <w:rFonts w:ascii="Courier New" w:cs="Courier New" w:eastAsia="Courier New" w:hAnsi="Courier New"/>
                <w:sz w:val="15"/>
                <w:szCs w:val="15"/>
                <w:color w:val="auto"/>
              </w:rPr>
              <w:t>30,968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($0.05)</w:t>
            </w:r>
          </w:p>
        </w:tc>
      </w:tr>
      <w:tr>
        <w:trPr>
          <w:trHeight w:val="352"/>
        </w:trPr>
        <w:tc>
          <w:tcPr>
            <w:tcW w:w="2420" w:type="dxa"/>
            <w:vAlign w:val="bottom"/>
          </w:tcPr>
          <w:p>
            <w:pPr>
              <w:jc w:val="right"/>
              <w:ind w:right="1884"/>
              <w:spacing w:after="0"/>
              <w:rPr>
                <w:sz w:val="20"/>
                <w:szCs w:val="20"/>
                <w:color w:val="auto"/>
              </w:rPr>
            </w:pPr>
            <w:r>
              <w:rPr>
                <w:rFonts w:ascii="Courier New" w:cs="Courier New" w:eastAsia="Courier New" w:hAnsi="Courier New"/>
                <w:sz w:val="15"/>
                <w:szCs w:val="15"/>
                <w:color w:val="auto"/>
                <w:w w:val="97"/>
              </w:rPr>
              <w:t>1997:</w:t>
            </w: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2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Basic and Diluted</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($10,199)</w:t>
            </w:r>
          </w:p>
        </w:tc>
        <w:tc>
          <w:tcPr>
            <w:tcW w:w="1620" w:type="dxa"/>
            <w:vAlign w:val="bottom"/>
          </w:tcPr>
          <w:p>
            <w:pPr>
              <w:ind w:left="520"/>
              <w:spacing w:after="0"/>
              <w:rPr>
                <w:sz w:val="20"/>
                <w:szCs w:val="20"/>
                <w:color w:val="auto"/>
              </w:rPr>
            </w:pPr>
            <w:r>
              <w:rPr>
                <w:rFonts w:ascii="Courier New" w:cs="Courier New" w:eastAsia="Courier New" w:hAnsi="Courier New"/>
                <w:sz w:val="15"/>
                <w:szCs w:val="15"/>
                <w:color w:val="auto"/>
              </w:rPr>
              <w:t>26,496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($0.38)</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466" w:right="3619"/>
        <w:spacing w:after="0" w:line="249" w:lineRule="auto"/>
        <w:rPr>
          <w:sz w:val="20"/>
          <w:szCs w:val="20"/>
          <w:color w:val="auto"/>
        </w:rPr>
      </w:pPr>
      <w:r>
        <w:rPr>
          <w:rFonts w:ascii="Courier New" w:cs="Courier New" w:eastAsia="Courier New" w:hAnsi="Courier New"/>
          <w:sz w:val="15"/>
          <w:szCs w:val="15"/>
          <w:color w:val="auto"/>
        </w:rPr>
        <w:t>Options and warrants, which have been excluded from the diluted per share amounts because their effect would have been antidilutive include the following:</w:t>
      </w:r>
    </w:p>
    <w:p>
      <w:pPr>
        <w:spacing w:after="0" w:line="176" w:lineRule="exact"/>
        <w:rPr>
          <w:sz w:val="20"/>
          <w:szCs w:val="20"/>
          <w:color w:val="auto"/>
        </w:rPr>
      </w:pPr>
    </w:p>
    <w:p>
      <w:pPr>
        <w:ind w:left="3566"/>
        <w:spacing w:after="0"/>
        <w:tabs>
          <w:tab w:leader="none" w:pos="4006" w:val="left"/>
        </w:tabs>
        <w:rPr>
          <w:sz w:val="20"/>
          <w:szCs w:val="20"/>
          <w:color w:val="auto"/>
        </w:rPr>
      </w:pPr>
      <w:r>
        <w:rPr>
          <w:rFonts w:ascii="Courier New" w:cs="Courier New" w:eastAsia="Courier New" w:hAnsi="Courier New"/>
          <w:sz w:val="15"/>
          <w:szCs w:val="15"/>
          <w:color w:val="auto"/>
        </w:rPr>
        <w:t>Six</w:t>
        <w:tab/>
        <w:t>Months Ended June 30,</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6"/>
        <w:spacing w:after="0"/>
        <w:tabs>
          <w:tab w:leader="none" w:pos="5566"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6"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846"/>
        <w:spacing w:after="0"/>
        <w:tabs>
          <w:tab w:leader="none" w:pos="6026"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p>
    <w:p>
      <w:pPr>
        <w:spacing w:after="0" w:line="6" w:lineRule="exact"/>
        <w:rPr>
          <w:sz w:val="20"/>
          <w:szCs w:val="20"/>
          <w:color w:val="auto"/>
        </w:rPr>
      </w:pPr>
    </w:p>
    <w:p>
      <w:pPr>
        <w:ind w:left="2746"/>
        <w:spacing w:after="0"/>
        <w:tabs>
          <w:tab w:leader="none" w:pos="3926" w:val="left"/>
          <w:tab w:leader="none" w:pos="4926" w:val="left"/>
          <w:tab w:leader="none" w:pos="6126"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Average</w:t>
      </w:r>
    </w:p>
    <w:p>
      <w:pPr>
        <w:spacing w:after="0" w:line="6" w:lineRule="exact"/>
        <w:rPr>
          <w:sz w:val="20"/>
          <w:szCs w:val="20"/>
          <w:color w:val="auto"/>
        </w:rPr>
      </w:pPr>
    </w:p>
    <w:p>
      <w:pPr>
        <w:ind w:left="2846"/>
        <w:spacing w:after="0"/>
        <w:tabs>
          <w:tab w:leader="none" w:pos="3826" w:val="left"/>
          <w:tab w:leader="none" w:pos="5026" w:val="left"/>
          <w:tab w:leader="none" w:pos="6026"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Exercise</w:t>
      </w:r>
    </w:p>
    <w:p>
      <w:pPr>
        <w:spacing w:after="0" w:line="6" w:lineRule="exact"/>
        <w:rPr>
          <w:sz w:val="20"/>
          <w:szCs w:val="20"/>
          <w:color w:val="auto"/>
        </w:rPr>
      </w:pPr>
    </w:p>
    <w:p>
      <w:pPr>
        <w:ind w:left="2926"/>
        <w:spacing w:after="0"/>
        <w:tabs>
          <w:tab w:leader="none" w:pos="4106" w:val="left"/>
          <w:tab w:leader="none" w:pos="5106" w:val="left"/>
          <w:tab w:leader="none" w:pos="6306"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Price</w:t>
      </w:r>
    </w:p>
    <w:p>
      <w:pPr>
        <w:spacing w:after="0" w:line="6" w:lineRule="exact"/>
        <w:rPr>
          <w:sz w:val="20"/>
          <w:szCs w:val="20"/>
          <w:color w:val="auto"/>
        </w:rPr>
      </w:pPr>
    </w:p>
    <w:p>
      <w:pPr>
        <w:ind w:left="2926"/>
        <w:spacing w:after="0"/>
        <w:tabs>
          <w:tab w:leader="none" w:pos="4106" w:val="left"/>
          <w:tab w:leader="none" w:pos="5106" w:val="left"/>
          <w:tab w:leader="none" w:pos="630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Options and warrants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with exercise prices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below the average fair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market value of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Company's common stock</w:t>
      </w:r>
    </w:p>
    <w:p>
      <w:pPr>
        <w:sectPr>
          <w:pgSz w:w="11900" w:h="16838" w:orient="portrait"/>
          <w:cols w:equalWidth="0" w:num="1">
            <w:col w:w="10225"/>
          </w:cols>
          <w:pgMar w:left="234" w:top="823" w:right="1440" w:bottom="1440" w:gutter="0" w:footer="0" w:header="0"/>
        </w:sectPr>
      </w:pP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for the respective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2,328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$5.43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2,298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$5.40</w:t>
      </w:r>
    </w:p>
    <w:p>
      <w:pPr>
        <w:spacing w:after="0" w:line="182" w:lineRule="exact"/>
        <w:rPr>
          <w:sz w:val="20"/>
          <w:szCs w:val="20"/>
          <w:color w:val="auto"/>
        </w:rPr>
      </w:pPr>
    </w:p>
    <w:p>
      <w:pPr>
        <w:sectPr>
          <w:pgSz w:w="11900" w:h="16838" w:orient="portrait"/>
          <w:cols w:equalWidth="0" w:num="5">
            <w:col w:w="2306" w:space="720"/>
            <w:col w:w="460" w:space="540"/>
            <w:col w:w="460" w:space="560"/>
            <w:col w:w="560" w:space="720"/>
            <w:col w:w="3899"/>
          </w:cols>
          <w:pgMar w:left="234" w:top="823"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Options and warrants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with exercise prices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above the average fair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market value of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Company's common stock</w:t>
      </w:r>
    </w:p>
    <w:p>
      <w:pPr>
        <w:spacing w:after="0" w:line="6" w:lineRule="exact"/>
        <w:rPr>
          <w:sz w:val="20"/>
          <w:szCs w:val="20"/>
          <w:color w:val="auto"/>
        </w:rPr>
      </w:pPr>
    </w:p>
    <w:p>
      <w:pPr>
        <w:ind w:left="6"/>
        <w:spacing w:after="0"/>
        <w:tabs>
          <w:tab w:leader="none" w:pos="3006" w:val="left"/>
          <w:tab w:leader="none" w:pos="3926" w:val="left"/>
          <w:tab w:leader="none" w:pos="5026" w:val="left"/>
          <w:tab w:leader="none" w:pos="6206" w:val="left"/>
        </w:tabs>
        <w:rPr>
          <w:sz w:val="20"/>
          <w:szCs w:val="20"/>
          <w:color w:val="auto"/>
        </w:rPr>
      </w:pPr>
      <w:r>
        <w:rPr>
          <w:rFonts w:ascii="Courier New" w:cs="Courier New" w:eastAsia="Courier New" w:hAnsi="Courier New"/>
          <w:sz w:val="15"/>
          <w:szCs w:val="15"/>
          <w:color w:val="auto"/>
        </w:rPr>
        <w:t>for the respective period</w:t>
      </w:r>
      <w:r>
        <w:rPr>
          <w:sz w:val="20"/>
          <w:szCs w:val="20"/>
          <w:color w:val="auto"/>
        </w:rPr>
        <w:tab/>
      </w:r>
      <w:r>
        <w:rPr>
          <w:rFonts w:ascii="Courier New" w:cs="Courier New" w:eastAsia="Courier New" w:hAnsi="Courier New"/>
          <w:sz w:val="15"/>
          <w:szCs w:val="15"/>
          <w:color w:val="auto"/>
        </w:rPr>
        <w:t>4,010</w:t>
      </w:r>
      <w:r>
        <w:rPr>
          <w:sz w:val="20"/>
          <w:szCs w:val="20"/>
          <w:color w:val="auto"/>
        </w:rPr>
        <w:tab/>
      </w:r>
      <w:r>
        <w:rPr>
          <w:rFonts w:ascii="Courier New" w:cs="Courier New" w:eastAsia="Courier New" w:hAnsi="Courier New"/>
          <w:sz w:val="15"/>
          <w:szCs w:val="15"/>
          <w:color w:val="auto"/>
        </w:rPr>
        <w:t>$12.04</w:t>
      </w:r>
      <w:r>
        <w:rPr>
          <w:sz w:val="20"/>
          <w:szCs w:val="20"/>
          <w:color w:val="auto"/>
        </w:rPr>
        <w:tab/>
      </w:r>
      <w:r>
        <w:rPr>
          <w:rFonts w:ascii="Courier New" w:cs="Courier New" w:eastAsia="Courier New" w:hAnsi="Courier New"/>
          <w:sz w:val="15"/>
          <w:szCs w:val="15"/>
          <w:color w:val="auto"/>
        </w:rPr>
        <w:t>1,831</w:t>
      </w:r>
      <w:r>
        <w:rPr>
          <w:sz w:val="20"/>
          <w:szCs w:val="20"/>
          <w:color w:val="auto"/>
        </w:rPr>
        <w:tab/>
      </w:r>
      <w:r>
        <w:rPr>
          <w:rFonts w:ascii="Courier New" w:cs="Courier New" w:eastAsia="Courier New" w:hAnsi="Courier New"/>
          <w:sz w:val="15"/>
          <w:szCs w:val="15"/>
          <w:color w:val="auto"/>
        </w:rPr>
        <w:t>$14.64</w:t>
      </w:r>
    </w:p>
    <w:p>
      <w:pPr>
        <w:spacing w:after="0" w:line="6" w:lineRule="exact"/>
        <w:rPr>
          <w:sz w:val="20"/>
          <w:szCs w:val="20"/>
          <w:color w:val="auto"/>
        </w:rPr>
      </w:pPr>
    </w:p>
    <w:p>
      <w:pPr>
        <w:ind w:left="3026"/>
        <w:spacing w:after="0"/>
        <w:tabs>
          <w:tab w:leader="none" w:pos="50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726"/>
        <w:spacing w:after="0"/>
        <w:tabs>
          <w:tab w:leader="none" w:pos="3006" w:val="left"/>
          <w:tab w:leader="none" w:pos="5026"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6,338</w:t>
      </w:r>
      <w:r>
        <w:rPr>
          <w:sz w:val="20"/>
          <w:szCs w:val="20"/>
          <w:color w:val="auto"/>
        </w:rPr>
        <w:tab/>
      </w:r>
      <w:r>
        <w:rPr>
          <w:rFonts w:ascii="Courier New" w:cs="Courier New" w:eastAsia="Courier New" w:hAnsi="Courier New"/>
          <w:sz w:val="15"/>
          <w:szCs w:val="15"/>
          <w:color w:val="auto"/>
        </w:rPr>
        <w:t>4,129</w:t>
      </w:r>
    </w:p>
    <w:p>
      <w:pPr>
        <w:spacing w:after="0" w:line="6" w:lineRule="exact"/>
        <w:rPr>
          <w:sz w:val="20"/>
          <w:szCs w:val="20"/>
          <w:color w:val="auto"/>
        </w:rPr>
      </w:pPr>
    </w:p>
    <w:p>
      <w:pPr>
        <w:ind w:left="3026"/>
        <w:spacing w:after="0"/>
        <w:tabs>
          <w:tab w:leader="none" w:pos="50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5"/>
          </w:cols>
          <w:pgMar w:left="234" w:top="823" w:right="1440" w:bottom="1440" w:gutter="0" w:footer="0" w:header="0"/>
          <w:type w:val="continuous"/>
        </w:sectPr>
      </w:pPr>
    </w:p>
    <w:p>
      <w:pPr>
        <w:spacing w:after="0" w:line="6" w:lineRule="exact"/>
        <w:rPr>
          <w:sz w:val="20"/>
          <w:szCs w:val="20"/>
          <w:color w:val="auto"/>
        </w:rPr>
      </w:pPr>
    </w:p>
    <w:p>
      <w:pPr>
        <w:ind w:left="186" w:hanging="186"/>
        <w:spacing w:after="0"/>
        <w:tabs>
          <w:tab w:leader="none" w:pos="18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34" w:lineRule="exact"/>
        <w:rPr>
          <w:rFonts w:ascii="Courier New" w:cs="Courier New" w:eastAsia="Courier New" w:hAnsi="Courier New"/>
          <w:sz w:val="15"/>
          <w:szCs w:val="15"/>
          <w:color w:val="auto"/>
        </w:rPr>
      </w:pPr>
    </w:p>
    <w:p>
      <w:pPr>
        <w:ind w:left="34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4" w:top="823" w:right="1440" w:bottom="1440" w:gutter="0" w:footer="0" w:header="0"/>
          <w:type w:val="continuous"/>
        </w:sectPr>
      </w:pPr>
    </w:p>
    <w:bookmarkStart w:id="10" w:name="page11"/>
    <w:bookmarkEnd w:id="10"/>
    <w:p>
      <w:pPr>
        <w:ind w:left="6"/>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9" w:lineRule="exact"/>
        <w:rPr>
          <w:sz w:val="20"/>
          <w:szCs w:val="20"/>
          <w:color w:val="auto"/>
        </w:rPr>
      </w:pPr>
    </w:p>
    <w:p>
      <w:pPr>
        <w:ind w:left="826" w:hanging="826"/>
        <w:spacing w:after="0"/>
        <w:tabs>
          <w:tab w:leader="none" w:pos="82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Statement of Financial Accounting Standards No. 130</w:t>
      </w:r>
    </w:p>
    <w:p>
      <w:pPr>
        <w:spacing w:after="0" w:line="182" w:lineRule="exact"/>
        <w:rPr>
          <w:rFonts w:ascii="Courier New" w:cs="Courier New" w:eastAsia="Courier New" w:hAnsi="Courier New"/>
          <w:sz w:val="15"/>
          <w:szCs w:val="15"/>
          <w:color w:val="auto"/>
        </w:rPr>
      </w:pPr>
    </w:p>
    <w:p>
      <w:pPr>
        <w:ind w:left="826"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adopted Statement of Financial Accounting Standards No. 130, Reporting Comprehensive Income ("SFAS No. 130"). 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The disclosures required by SFAS No. 130 for the six months ended June 30, 1998 have been included in the Statement of Stockholders' Equity. For the six months ended June 30, 1998 and 1997, the components of comprehensive loss were:</w:t>
      </w:r>
    </w:p>
    <w:p>
      <w:pPr>
        <w:spacing w:after="0" w:line="175" w:lineRule="exact"/>
        <w:rPr>
          <w:sz w:val="20"/>
          <w:szCs w:val="20"/>
          <w:color w:val="auto"/>
        </w:rPr>
      </w:pPr>
    </w:p>
    <w:tbl>
      <w:tblPr>
        <w:tblLayout w:type="fixed"/>
        <w:tblInd w:w="1186"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15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2980" w:type="dxa"/>
            <w:vAlign w:val="bottom"/>
          </w:tcPr>
          <w:p>
            <w:pPr>
              <w:spacing w:after="0"/>
              <w:rPr>
                <w:sz w:val="15"/>
                <w:szCs w:val="15"/>
                <w:color w:val="auto"/>
              </w:rPr>
            </w:pPr>
          </w:p>
        </w:tc>
        <w:tc>
          <w:tcPr>
            <w:tcW w:w="15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980" w:type="dxa"/>
            <w:vAlign w:val="bottom"/>
          </w:tcPr>
          <w:p>
            <w:pPr>
              <w:jc w:val="right"/>
              <w:ind w:right="2164"/>
              <w:spacing w:after="0"/>
              <w:rPr>
                <w:sz w:val="20"/>
                <w:szCs w:val="20"/>
                <w:color w:val="auto"/>
              </w:rPr>
            </w:pPr>
            <w:r>
              <w:rPr>
                <w:rFonts w:ascii="Courier New" w:cs="Courier New" w:eastAsia="Courier New" w:hAnsi="Courier New"/>
                <w:sz w:val="15"/>
                <w:szCs w:val="15"/>
                <w:color w:val="auto"/>
                <w:w w:val="99"/>
              </w:rPr>
              <w:t>Net loss</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($ 1,689)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($10,199)</w:t>
            </w:r>
          </w:p>
        </w:tc>
      </w:tr>
      <w:tr>
        <w:trPr>
          <w:trHeight w:val="176"/>
        </w:trPr>
        <w:tc>
          <w:tcPr>
            <w:tcW w:w="29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Change in net unrealized gain</w:t>
            </w:r>
          </w:p>
        </w:tc>
        <w:tc>
          <w:tcPr>
            <w:tcW w:w="15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29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on marketable securities</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176"/>
        </w:trPr>
        <w:tc>
          <w:tcPr>
            <w:tcW w:w="2980" w:type="dxa"/>
            <w:vAlign w:val="bottom"/>
          </w:tcPr>
          <w:p>
            <w:pPr>
              <w:spacing w:after="0"/>
              <w:rPr>
                <w:sz w:val="15"/>
                <w:szCs w:val="15"/>
                <w:color w:val="auto"/>
              </w:rPr>
            </w:pP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9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Total comprehensive loss</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($1,712)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($10,335)</w:t>
            </w:r>
          </w:p>
        </w:tc>
      </w:tr>
      <w:tr>
        <w:trPr>
          <w:trHeight w:val="176"/>
        </w:trPr>
        <w:tc>
          <w:tcPr>
            <w:tcW w:w="2980" w:type="dxa"/>
            <w:vAlign w:val="bottom"/>
          </w:tcPr>
          <w:p>
            <w:pPr>
              <w:spacing w:after="0"/>
              <w:rPr>
                <w:sz w:val="15"/>
                <w:szCs w:val="15"/>
                <w:color w:val="auto"/>
              </w:rPr>
            </w:pP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826" w:hanging="826"/>
        <w:spacing w:after="0"/>
        <w:tabs>
          <w:tab w:leader="none" w:pos="8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of the Future Adoption of Recently Issued Accounting Standard</w:t>
      </w:r>
    </w:p>
    <w:p>
      <w:pPr>
        <w:spacing w:after="0" w:line="182" w:lineRule="exact"/>
        <w:rPr>
          <w:rFonts w:ascii="Courier New" w:cs="Courier New" w:eastAsia="Courier New" w:hAnsi="Courier New"/>
          <w:sz w:val="15"/>
          <w:szCs w:val="15"/>
          <w:color w:val="auto"/>
        </w:rPr>
      </w:pPr>
    </w:p>
    <w:p>
      <w:pPr>
        <w:ind w:left="82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and Hedging Activities ("SFAS No. 133"). SFAS No. 133 establishes a comprehensive standard on accounting for derivatives and hedging activities and is effective for periods beginning after June 15, 1999. Management does not believe that the future adoption of SFAS No. 133 will have a material effect on the Company's financial position and results of operations.</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4" w:top="823" w:right="1440" w:bottom="1440" w:gutter="0" w:footer="0" w:header="0"/>
        </w:sectPr>
      </w:pPr>
    </w:p>
    <w:bookmarkStart w:id="11" w:name="page12"/>
    <w:bookmarkEnd w:id="11"/>
    <w:p>
      <w:pPr>
        <w:ind w:right="3999"/>
        <w:spacing w:after="0" w:line="250"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3079" w:firstLine="824"/>
        <w:spacing w:after="0" w:line="248" w:lineRule="auto"/>
        <w:rPr>
          <w:sz w:val="20"/>
          <w:szCs w:val="20"/>
          <w:color w:val="auto"/>
        </w:rPr>
      </w:pPr>
      <w:r>
        <w:rPr>
          <w:rFonts w:ascii="Courier New" w:cs="Courier New" w:eastAsia="Courier New" w:hAnsi="Courier New"/>
          <w:sz w:val="15"/>
          <w:szCs w:val="15"/>
          <w:color w:val="auto"/>
        </w:rPr>
        <w:t>Overview. The discussion below contains forward-looking statements that involve risks and uncertainties relating to the future financial performance of Regeneron Pharmaceuticals, Inc. ("Regeneron" or the "Company") and actual events or results may differ materially. These statements concern, among other things, the possible therapeutic applications of the Company's product candidates and research programs, the timing and nature of the Company's clinical and research programs now underway or planned, a variety of items described herein and in the footnotes to the Company's financial statements (including the useful life of assets, the anticipated length of agreements, and other matters), and the future uses of capital and financial needs of the Company. These statements are made by the Company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w:t>
      </w:r>
    </w:p>
    <w:p>
      <w:pPr>
        <w:spacing w:after="0" w:line="18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Regeneron is a leader in the application of molecular and cell biology to discover novel potential therapeutics for human medical conditions and is seeking to develop and commercialize these discoveries. The Company is applying its technological expertise in protein growth factors, their receptors, and their mechanisms of action to the discovery and development of protein-based drugs and orally active, small molecule drugs.</w:t>
      </w:r>
    </w:p>
    <w:p>
      <w:pPr>
        <w:spacing w:after="0" w:line="176" w:lineRule="exact"/>
        <w:rPr>
          <w:sz w:val="20"/>
          <w:szCs w:val="20"/>
          <w:color w:val="auto"/>
        </w:rPr>
      </w:pPr>
    </w:p>
    <w:p>
      <w:pPr>
        <w:ind w:right="3539" w:firstLine="824"/>
        <w:spacing w:after="0" w:line="250" w:lineRule="auto"/>
        <w:rPr>
          <w:sz w:val="20"/>
          <w:szCs w:val="20"/>
          <w:color w:val="auto"/>
        </w:rPr>
      </w:pPr>
      <w:r>
        <w:rPr>
          <w:rFonts w:ascii="Courier New" w:cs="Courier New" w:eastAsia="Courier New" w:hAnsi="Courier New"/>
          <w:sz w:val="15"/>
          <w:szCs w:val="15"/>
          <w:color w:val="auto"/>
        </w:rPr>
        <w:t>The Company is pursuing research and development programs in the following areas:</w:t>
      </w:r>
    </w:p>
    <w:p>
      <w:pPr>
        <w:spacing w:after="0" w:line="175" w:lineRule="exact"/>
        <w:rPr>
          <w:sz w:val="20"/>
          <w:szCs w:val="20"/>
          <w:color w:val="auto"/>
        </w:rPr>
      </w:pPr>
    </w:p>
    <w:p>
      <w:pPr>
        <w:ind w:left="1460" w:right="2899" w:hanging="550"/>
        <w:spacing w:after="0" w:line="249" w:lineRule="auto"/>
        <w:tabs>
          <w:tab w:leader="none" w:pos="14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AXOKINE(R), a second generation ciliary neurotrophic factor, for the treatment of obesity associated with Type II diabetes and possibly for uncomplicated obesity,</w:t>
      </w:r>
    </w:p>
    <w:p>
      <w:pPr>
        <w:spacing w:after="0" w:line="175" w:lineRule="exact"/>
        <w:rPr>
          <w:rFonts w:ascii="Courier New" w:cs="Courier New" w:eastAsia="Courier New" w:hAnsi="Courier New"/>
          <w:sz w:val="15"/>
          <w:szCs w:val="15"/>
          <w:color w:val="auto"/>
        </w:rPr>
      </w:pPr>
    </w:p>
    <w:p>
      <w:pPr>
        <w:ind w:left="1460" w:right="3359" w:hanging="550"/>
        <w:spacing w:after="0" w:line="250" w:lineRule="auto"/>
        <w:tabs>
          <w:tab w:leader="none" w:pos="14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AXOKINE for the treatment of retinitis pigmentosa and other retinal diseases,</w:t>
      </w:r>
    </w:p>
    <w:p>
      <w:pPr>
        <w:spacing w:after="0" w:line="174" w:lineRule="exact"/>
        <w:rPr>
          <w:rFonts w:ascii="Courier New" w:cs="Courier New" w:eastAsia="Courier New" w:hAnsi="Courier New"/>
          <w:sz w:val="15"/>
          <w:szCs w:val="15"/>
          <w:color w:val="auto"/>
        </w:rPr>
      </w:pPr>
    </w:p>
    <w:p>
      <w:pPr>
        <w:ind w:left="1460" w:right="2979" w:hanging="550"/>
        <w:spacing w:after="0" w:line="249" w:lineRule="auto"/>
        <w:tabs>
          <w:tab w:leader="none" w:pos="14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Brain-derived neurotrophic factor ("BDNF") for the treatment of amyotrophic lateral sclerosis ("ALS," commonly known as Lou Gehrig's disease),</w:t>
      </w:r>
    </w:p>
    <w:p>
      <w:pPr>
        <w:spacing w:after="0" w:line="175" w:lineRule="exact"/>
        <w:rPr>
          <w:rFonts w:ascii="Courier New" w:cs="Courier New" w:eastAsia="Courier New" w:hAnsi="Courier New"/>
          <w:sz w:val="15"/>
          <w:szCs w:val="15"/>
          <w:color w:val="auto"/>
        </w:rPr>
      </w:pPr>
    </w:p>
    <w:p>
      <w:pPr>
        <w:ind w:left="1460" w:right="3999" w:hanging="550"/>
        <w:spacing w:after="0" w:line="250" w:lineRule="auto"/>
        <w:tabs>
          <w:tab w:leader="none" w:pos="14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Neurotrophin-3 ("NT-3") for the treatment of enteric neuropathies (constipating conditions),</w:t>
      </w:r>
    </w:p>
    <w:p>
      <w:pPr>
        <w:spacing w:after="0" w:line="174" w:lineRule="exact"/>
        <w:rPr>
          <w:rFonts w:ascii="Courier New" w:cs="Courier New" w:eastAsia="Courier New" w:hAnsi="Courier New"/>
          <w:sz w:val="15"/>
          <w:szCs w:val="15"/>
          <w:color w:val="auto"/>
        </w:rPr>
      </w:pPr>
    </w:p>
    <w:p>
      <w:pPr>
        <w:jc w:val="both"/>
        <w:ind w:left="1460" w:right="3259" w:hanging="550"/>
        <w:spacing w:after="0" w:line="249" w:lineRule="auto"/>
        <w:tabs>
          <w:tab w:leader="none" w:pos="14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Angiopoietins, a new family of ligands (and their receptors, called the TIE family of receptors) that appears to regulate blood vessel formation, or angiogenesis,</w:t>
      </w:r>
    </w:p>
    <w:p>
      <w:pPr>
        <w:spacing w:after="0" w:line="176" w:lineRule="exact"/>
        <w:rPr>
          <w:sz w:val="20"/>
          <w:szCs w:val="20"/>
          <w:color w:val="auto"/>
        </w:rPr>
      </w:pPr>
    </w:p>
    <w:p>
      <w:pPr>
        <w:ind w:left="1460" w:right="3179" w:hanging="458"/>
        <w:spacing w:after="0" w:line="249" w:lineRule="auto"/>
        <w:tabs>
          <w:tab w:leader="none" w:pos="14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Protein antagonists for cytokines such as interleukin-4 ("IL-4") and interleukin-6 ("IL-6") as potential treatment of inflammatory diseases, allergic disorders, and cancer,</w:t>
      </w:r>
    </w:p>
    <w:p>
      <w:pPr>
        <w:spacing w:after="0" w:line="175" w:lineRule="exact"/>
        <w:rPr>
          <w:rFonts w:ascii="Courier New" w:cs="Courier New" w:eastAsia="Courier New" w:hAnsi="Courier New"/>
          <w:sz w:val="15"/>
          <w:szCs w:val="15"/>
          <w:color w:val="auto"/>
        </w:rPr>
      </w:pPr>
    </w:p>
    <w:p>
      <w:pPr>
        <w:ind w:left="1460" w:right="3359" w:hanging="458"/>
        <w:spacing w:after="0" w:line="249" w:lineRule="auto"/>
        <w:tabs>
          <w:tab w:leader="none" w:pos="14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Noggin, a naturally occurring protein, for potential use in treating abnormal bone formation and related diseases and conditions,</w:t>
      </w:r>
    </w:p>
    <w:p>
      <w:pPr>
        <w:spacing w:after="0" w:line="175" w:lineRule="exact"/>
        <w:rPr>
          <w:rFonts w:ascii="Courier New" w:cs="Courier New" w:eastAsia="Courier New" w:hAnsi="Courier New"/>
          <w:sz w:val="15"/>
          <w:szCs w:val="15"/>
          <w:color w:val="auto"/>
        </w:rPr>
      </w:pPr>
    </w:p>
    <w:p>
      <w:pPr>
        <w:ind w:left="1460" w:right="3179" w:hanging="458"/>
        <w:spacing w:after="0" w:line="250" w:lineRule="auto"/>
        <w:tabs>
          <w:tab w:leader="none" w:pos="14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Muscle atrophy, that occurs in a variety of clinical settings following disuse or denervation of muscle, and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7" w:right="1440" w:bottom="1440" w:gutter="0" w:footer="0" w:header="0"/>
        </w:sectPr>
      </w:pPr>
    </w:p>
    <w:bookmarkStart w:id="12" w:name="page13"/>
    <w:bookmarkEnd w:id="12"/>
    <w:p>
      <w:pPr>
        <w:ind w:left="1466" w:right="3079" w:hanging="458"/>
        <w:spacing w:after="0" w:line="250" w:lineRule="auto"/>
        <w:tabs>
          <w:tab w:leader="none" w:pos="14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programs to discover orally active, small molecule-based drugs, some of which may mimic or antagonize protein- or receptor-based drug candidates that the Company is developing.</w:t>
      </w:r>
    </w:p>
    <w:p>
      <w:pPr>
        <w:spacing w:after="0" w:line="350" w:lineRule="exact"/>
        <w:rPr>
          <w:sz w:val="20"/>
          <w:szCs w:val="20"/>
          <w:color w:val="auto"/>
        </w:rPr>
      </w:pPr>
    </w:p>
    <w:p>
      <w:pPr>
        <w:ind w:left="6" w:right="2979" w:firstLine="824"/>
        <w:spacing w:after="0" w:line="248" w:lineRule="auto"/>
        <w:rPr>
          <w:sz w:val="20"/>
          <w:szCs w:val="20"/>
          <w:color w:val="auto"/>
        </w:rPr>
      </w:pPr>
      <w:r>
        <w:rPr>
          <w:rFonts w:ascii="Courier New" w:cs="Courier New" w:eastAsia="Courier New" w:hAnsi="Courier New"/>
          <w:sz w:val="15"/>
          <w:szCs w:val="15"/>
          <w:color w:val="auto"/>
        </w:rPr>
        <w:t>Discussion of Second Quarter 1998 Activities. In the second quarter of 1998, the Company continued to develop AXOKINE under the Company's collaboration agreement ("the P&amp;G Agreement") with The Procter and Gamble Company ("Procter &amp; Gamble"). The Company and Procter &amp; Gamble plan to file an Investigational New Drug application ("IND") with the United States Food and Drug Administration ("FDA") in early 1999 in order to conduct early stage clinical studies of AXOKINE for the treatment of obesity associated with Type</w:t>
      </w:r>
    </w:p>
    <w:p>
      <w:pPr>
        <w:spacing w:after="0" w:line="4" w:lineRule="exact"/>
        <w:rPr>
          <w:sz w:val="20"/>
          <w:szCs w:val="20"/>
          <w:color w:val="auto"/>
        </w:rPr>
      </w:pPr>
    </w:p>
    <w:p>
      <w:pPr>
        <w:ind w:left="266" w:hanging="266"/>
        <w:spacing w:after="0"/>
        <w:tabs>
          <w:tab w:leader="none" w:pos="2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diabetes and possibly for uncomplicated obesity. No assurance can be made</w:t>
      </w:r>
    </w:p>
    <w:p>
      <w:pPr>
        <w:spacing w:after="0" w:line="6" w:lineRule="exact"/>
        <w:rPr>
          <w:rFonts w:ascii="Courier New" w:cs="Courier New" w:eastAsia="Courier New" w:hAnsi="Courier New"/>
          <w:sz w:val="15"/>
          <w:szCs w:val="15"/>
          <w:color w:val="auto"/>
        </w:rPr>
      </w:pPr>
    </w:p>
    <w:p>
      <w:pPr>
        <w:ind w:left="6" w:right="297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regarding the timing or nature of such IND in light of the need successfully to complete substantial preclinical development activities, the timing of which is partially not in the control of the Company or Procter &amp; Gamble, before filing an IND. In addition, no assurance can be made regarding the timing, nature, or result of any clinical trial of AXOKINE. AXOKINE has never been administered to people. Its safety and efficacy to treat any condition have not been established and can not be predicted. Previous clinical studies of ciliary neurotrophic factor ("CNTF"), the parent molecule of AXOKINE, resulted in the creation of antibodies and adverse events (side effects) in patients, including weight loss, cough, nausea, malaise, and others. While certain aspects of the development of AXOKINE by the Company and Procter &amp; Gamble have focused on attempting to avoid or minimize antibody production or adverse events, no assurance may be given that these problems will be avoided or minimized or that they will not lead to the failure, delay, or additional difficulty in conducting AXOKINE clinical trials.</w:t>
      </w:r>
    </w:p>
    <w:p>
      <w:pPr>
        <w:spacing w:after="0" w:line="185" w:lineRule="exact"/>
        <w:rPr>
          <w:sz w:val="20"/>
          <w:szCs w:val="20"/>
          <w:color w:val="auto"/>
        </w:rPr>
      </w:pPr>
    </w:p>
    <w:p>
      <w:pPr>
        <w:jc w:val="both"/>
        <w:ind w:left="6" w:right="3079" w:firstLine="824"/>
        <w:spacing w:after="0" w:line="248" w:lineRule="auto"/>
        <w:rPr>
          <w:sz w:val="20"/>
          <w:szCs w:val="20"/>
          <w:color w:val="auto"/>
        </w:rPr>
      </w:pPr>
      <w:r>
        <w:rPr>
          <w:rFonts w:ascii="Courier New" w:cs="Courier New" w:eastAsia="Courier New" w:hAnsi="Courier New"/>
          <w:sz w:val="15"/>
          <w:szCs w:val="15"/>
          <w:color w:val="auto"/>
        </w:rPr>
        <w:t>In June 1998, the Company and Procter &amp; Gamble executed a development agreement for AXOKINE and other potential drug candidates which resulted in a $5.0 million research progress payment to the Company from Procter &amp; Gamble.</w:t>
      </w:r>
    </w:p>
    <w:p>
      <w:pPr>
        <w:spacing w:after="0" w:line="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The Company and Procter &amp; Gamble also continued to collaborate in research and development in the fields of angiogenesis, bone growth, and muscle injury and atrophy, as well as small molecule (orally active) drugs. The majority of the Company's scientific resources are devoted to its collaborative activities with Procter &amp; Gamble.</w:t>
      </w:r>
    </w:p>
    <w:p>
      <w:pPr>
        <w:spacing w:after="0" w:line="176" w:lineRule="exact"/>
        <w:rPr>
          <w:sz w:val="20"/>
          <w:szCs w:val="20"/>
          <w:color w:val="auto"/>
        </w:rPr>
      </w:pPr>
    </w:p>
    <w:p>
      <w:pPr>
        <w:ind w:left="6" w:right="2899" w:firstLine="824"/>
        <w:spacing w:after="0" w:line="249" w:lineRule="auto"/>
        <w:rPr>
          <w:sz w:val="20"/>
          <w:szCs w:val="20"/>
          <w:color w:val="auto"/>
        </w:rPr>
      </w:pPr>
      <w:r>
        <w:rPr>
          <w:rFonts w:ascii="Courier New" w:cs="Courier New" w:eastAsia="Courier New" w:hAnsi="Courier New"/>
          <w:sz w:val="15"/>
          <w:szCs w:val="15"/>
          <w:color w:val="auto"/>
        </w:rPr>
        <w:t>The Company continued independently to develop AXOKINE for use in treating degenerative retinal diseases. The Company is collaborating with academic investigators, government agencies, and private foundations in the development of AXOKINE for retinal disease. Subject to completion of appropriate preclinical experiments and regulatory approval, the Company plans to commence a Phase I clinical study of AXOKINE to treat retinitis pigmentosa in early 1999. In July 1998, the Company and Medtronic, Inc. terminated their 1996 collaborative development agreement to conduct an exploratory research program using Medtronic delivery systems to deliver AXOKINE to the central nervous system, initially as a potential treatment for Huntington's disease, due to obstacles in formulation and delivery.</w:t>
      </w:r>
    </w:p>
    <w:p>
      <w:pPr>
        <w:spacing w:after="0" w:line="175" w:lineRule="exact"/>
        <w:rPr>
          <w:sz w:val="20"/>
          <w:szCs w:val="20"/>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During the second quarter of 1998, the Company continued to develop independent of any corporate collaboration its proprietary cytokine traps for the potential treatment of inflammatory disease, asthma, cancer, and rheumatoid arthritis. In addition, the Company continued to conduct research with Pharmacopeia, Inc. and Glaxo Wellcome plc in the area of small molecule (orally active) drugs.</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4" w:top="470" w:right="1440" w:bottom="1440" w:gutter="0" w:footer="0" w:header="0"/>
        </w:sectPr>
      </w:pPr>
    </w:p>
    <w:bookmarkStart w:id="13" w:name="page14"/>
    <w:bookmarkEnd w:id="13"/>
    <w:p>
      <w:pPr>
        <w:ind w:right="2979" w:firstLine="824"/>
        <w:spacing w:after="0" w:line="249" w:lineRule="auto"/>
        <w:rPr>
          <w:sz w:val="20"/>
          <w:szCs w:val="20"/>
          <w:color w:val="auto"/>
        </w:rPr>
      </w:pPr>
      <w:r>
        <w:rPr>
          <w:rFonts w:ascii="Courier New" w:cs="Courier New" w:eastAsia="Courier New" w:hAnsi="Courier New"/>
          <w:sz w:val="15"/>
          <w:szCs w:val="15"/>
          <w:color w:val="auto"/>
        </w:rPr>
        <w:t>During the second quarter of 1998, Amgen-Regeneron Partners, the partnership equally owned by Regeneron and Amgen Inc. ("Amgen"), continued to develop BDNF and NT-3. BDNF is currently being developed by Amgen-Regeneron Partners for potential use in treating ALS through two routes of administration: intrathecal (infusion into the spinal fluid through an implanted pump) and subcutaneous (injection under the skin). Amgen, on behalf of Amgen-Regeneron Partners, has completed a Phase I safety study of BDNF delivered intrathecally and is planning to begin a Phase II clinical trial later this year. Subcutaneous studies conducted by Regeneron on behalf of the partnership began in the first quarter of 1998. The subcutaneous studies are based on an analysis of the Amgen-Regeneron Partners Phase III trial of BDNF for ALS that was completed in 1996. That trial failed to achieve its predetermined end points, but subsequent analyses indicated that a retrospectively-defined subset of ALS patients in the trial may have received a survival benefit from BDNF treatment.</w:t>
      </w:r>
    </w:p>
    <w:p>
      <w:pPr>
        <w:spacing w:after="0" w:line="351"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Company and Sumitomo Pharmaceuticals Co., Ltd. ("Sumitomo Pharmaceuticals") are collaborating in the development of BDNF in Japan, initially for the treatment of ALS. In March 1998, Sumitomo Pharmaceuticals initiated a Phase I clinical trial in Japan to assess the safety of BDNF delivered subcutaneously to normal volunteers. In August 1998, Sumitomo Pharmaceuticals signed a license agreement for the development of BDNF in Japan. Pursuant to the license agreement, Sumitomo Pharmaceuticals is expected to make a $5.0 million milestone payment to Regeneron in the third quarter of 1998 and will make additional payments upon the achievement of specified milestones. Sumitomo Pharmaceuticals will also pay a royalty on sales of BDNF in Japan.</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Amgen-Regeneron Partners' clinical development of NT-3 is currently focused on enteric neuropathies (constipating conditions). The enteric nervous system is a complex collection of nerves that control the function of the gastrointestinal system, including gastrointestinal motility. In June 1998, Regeneron, on behalf of Amgen-Regeneron Partners, began the first of a series of small clinical studies of NT-3 in enteric neuropathies. The initial study includes patients suffering from severe idiopathic constipation. Later studies may be in patients who suffer from constipation associated with Parkinson's disease, spinal cord injury, use of opiate pain-killers, and other conditions.</w:t>
      </w:r>
    </w:p>
    <w:p>
      <w:pPr>
        <w:spacing w:after="0" w:line="175"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No assurance can be given that extended administration of BDNF or NT-3 will be safe or effective. The treatment of ALS has been shown, in a number of clinical settings using a variety of treatment modalities (including Amgen-Regeneron Partners' earlier clinical studies), to present significant difficulties. The design of an ALS clinical study presents special difficulties and risks, as do the facts that ALS is a progressive disease that afflicts individual patients differently and other ALS treatments are approved or have been or are currently being tested, creating the possibility that patients in any BDNF study may also receive other therapeutics during all or part of the BDNF trial. The treatment of various constipating conditions may present additional clinical trial risks in light of the complex and not wholly understood mechanisms of action that lead to the conditions, the concurrent use of other drugs to treat the underlying illnesses as well as the gastrointestinal condition, the potential difficulty of designing and achieving significant clinical end points, and other factors. No assurance can be given that these or any other studies of BDNF or NT-3 will be successful or that BDNF or NT-3 will be commercialized.</w:t>
      </w:r>
    </w:p>
    <w:p>
      <w:pPr>
        <w:spacing w:after="0" w:line="3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7" w:right="1440" w:bottom="1440" w:gutter="0" w:footer="0" w:header="0"/>
        </w:sectPr>
      </w:pPr>
    </w:p>
    <w:bookmarkStart w:id="14" w:name="page15"/>
    <w:bookmarkEnd w:id="14"/>
    <w:p>
      <w:pPr>
        <w:ind w:left="6" w:right="2979" w:firstLine="824"/>
        <w:spacing w:after="0" w:line="248" w:lineRule="auto"/>
        <w:rPr>
          <w:sz w:val="20"/>
          <w:szCs w:val="20"/>
          <w:color w:val="auto"/>
        </w:rPr>
      </w:pPr>
      <w:r>
        <w:rPr>
          <w:rFonts w:ascii="Courier New" w:cs="Courier New" w:eastAsia="Courier New" w:hAnsi="Courier New"/>
          <w:sz w:val="15"/>
          <w:szCs w:val="15"/>
          <w:color w:val="auto"/>
        </w:rPr>
        <w:t>Substantial risk is inherent in the research, development, and commercialization of drugs. In addition, in each of the areas of the Company's independent and collaborative activities, other companies and entities are actively pursuing competitive paths toward similar objectives. The results of the Company's and its collaborators' past activities in connection with the research and development of AXOKINE, cytokine traps, angiopoietins, abnormal bone growth, muscle atrophy, small molecules, BDNF, and NT-3 do not necessarily predict the results or success of current or future activities including, but not limited to, any additional preclinical or clinical studies. The Company cannot predict whether, when, or under what conditions any of its research or product candidates, including without limitation AXOKINE, BDNF, or NT-3, will be shown to be safe or effective to treat any human condition or be approved for marketing by any regulatory agency. The delay or failure of current or future studies to demonstrate the safety or efficacy of the Company's product candidates to treat human conditions or to be approved for marketing could have a material adverse impact on the Company.</w:t>
      </w:r>
    </w:p>
    <w:p>
      <w:pPr>
        <w:spacing w:after="0" w:line="186" w:lineRule="exact"/>
        <w:rPr>
          <w:sz w:val="20"/>
          <w:szCs w:val="20"/>
          <w:color w:val="auto"/>
        </w:rPr>
      </w:pPr>
    </w:p>
    <w:p>
      <w:pPr>
        <w:ind w:left="6" w:right="3079" w:firstLine="824"/>
        <w:spacing w:after="0" w:line="249" w:lineRule="auto"/>
        <w:rPr>
          <w:sz w:val="20"/>
          <w:szCs w:val="20"/>
          <w:color w:val="auto"/>
        </w:rPr>
      </w:pPr>
      <w:r>
        <w:rPr>
          <w:rFonts w:ascii="Courier New" w:cs="Courier New" w:eastAsia="Courier New" w:hAnsi="Courier New"/>
          <w:sz w:val="15"/>
          <w:szCs w:val="15"/>
          <w:color w:val="auto"/>
        </w:rPr>
        <w:t>To date, Regeneron has not received any revenues from the commercial sale of products and may never receive such revenues. Before such revenues can be realized, the Company (or its collaborators) must overcome a number of hurdles which include successfully completing its research and development efforts and obtaining regulatory approval from the FDA or regulatory authorities in other countries. In addition, the biotechnology and pharmaceutical industries are rapidly evolving and highly competitive, and new developments may render the Company's products and technologies noncompetitive and obsolete.</w:t>
      </w:r>
    </w:p>
    <w:p>
      <w:pPr>
        <w:spacing w:after="0" w:line="175" w:lineRule="exact"/>
        <w:rPr>
          <w:sz w:val="20"/>
          <w:szCs w:val="20"/>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From inception on January 8, 1988 through June 30, 1998, Regeneron had a cumulative loss of $170.3 million. In the absence of revenues from commercial product sales or other sources (the amount, timing, nature, or source of which cannot be predicted), the Company's losses will continue as the Company conducts its research and development activities. The Company's activities may expand over time and may require additional resources, and the Company's operating losses may be substantial over at least the next several years. The Company's losses may fluctuate from quarter to quarter and will depend, among other factors, on the timing of certain expenses and on the progress of the Company's research and development efforts.</w:t>
      </w:r>
    </w:p>
    <w:p>
      <w:pPr>
        <w:spacing w:after="0" w:line="35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ind w:left="6" w:right="2979" w:firstLine="824"/>
        <w:spacing w:after="0" w:line="248" w:lineRule="auto"/>
        <w:rPr>
          <w:sz w:val="20"/>
          <w:szCs w:val="20"/>
          <w:color w:val="auto"/>
        </w:rPr>
      </w:pPr>
      <w:r>
        <w:rPr>
          <w:rFonts w:ascii="Courier New" w:cs="Courier New" w:eastAsia="Courier New" w:hAnsi="Courier New"/>
          <w:sz w:val="15"/>
          <w:szCs w:val="15"/>
          <w:color w:val="auto"/>
        </w:rPr>
        <w:t>Three months ended June 30, 1998 and 1997. The Company's total revenue increased to $15.2 million for the second quarter of 1998 from $6.6 million for the same period in 1997. Contract research and development revenue increased to $6.2 million for the second quarter of 1998 from $4.4 million for the same period in 1997, as higher revenue related to the P&amp;G Agreement more than offset a decrease in revenue from Sumitomo Pharmaceuticals. A research progress payment of $5.0 million was received in the second quarter of 1998 from Procter</w:t>
      </w:r>
    </w:p>
    <w:p>
      <w:pPr>
        <w:spacing w:after="0" w:line="4" w:lineRule="exact"/>
        <w:rPr>
          <w:sz w:val="20"/>
          <w:szCs w:val="20"/>
          <w:color w:val="auto"/>
        </w:rPr>
      </w:pPr>
    </w:p>
    <w:p>
      <w:pPr>
        <w:ind w:left="6" w:right="2979" w:hanging="6"/>
        <w:spacing w:after="0" w:line="249" w:lineRule="auto"/>
        <w:tabs>
          <w:tab w:leader="none" w:pos="18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Gamble in connection with a collaboration to develop AXOKINE for obesity associated with Type II diabetes and possibly for uncomplicated obesity. Contract manufacturing revenue related to the long-term manufacturing agreement (the "Merck Agreement") with Merck &amp; Co., Inc. ("Merck") increased to $2.3 million for the second quarter of 1998 compared to $0.9 million for the same period in 1997 as a result of increased activity in preparation for manufacturing a product for Merck at the Company's Rensselaer facility. Investment income in the second quarter of 1998 increased to $1.7 million from $1.4 million for the same period in 1997, due mainly to higher levels of interest-bearing investments resulting primarily from</w:t>
      </w:r>
    </w:p>
    <w:p>
      <w:pPr>
        <w:spacing w:after="0" w:line="351"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5"/>
          </w:cols>
          <w:pgMar w:left="234" w:top="823" w:right="1440" w:bottom="1440" w:gutter="0" w:footer="0" w:header="0"/>
        </w:sectPr>
      </w:pPr>
    </w:p>
    <w:bookmarkStart w:id="15" w:name="page16"/>
    <w:bookmarkEnd w:id="15"/>
    <w:p>
      <w:pPr>
        <w:ind w:right="3079"/>
        <w:spacing w:after="0" w:line="250" w:lineRule="auto"/>
        <w:rPr>
          <w:sz w:val="20"/>
          <w:szCs w:val="20"/>
          <w:color w:val="auto"/>
        </w:rPr>
      </w:pPr>
      <w:r>
        <w:rPr>
          <w:rFonts w:ascii="Courier New" w:cs="Courier New" w:eastAsia="Courier New" w:hAnsi="Courier New"/>
          <w:sz w:val="15"/>
          <w:szCs w:val="15"/>
          <w:color w:val="auto"/>
        </w:rPr>
        <w:t>the proceeds of a private placement of equity securities with Procter &amp; Gamble in June 1997.</w:t>
      </w:r>
    </w:p>
    <w:p>
      <w:pPr>
        <w:spacing w:after="0" w:line="175"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The Company's total operating expenses increased to $13.1 million in the second quarter 1998 from $10.9 million for the same period in 1997. Research and development expenses increased to $9.1 million in the second quarter of 1998 from $6.9 million for the same period in 1997, primarily as a result of additional employees and increased activity in the Company's preclinical and clinical research programs. Loss in Amgen-Regeneron Partners decreased to $0.2 million in the second quarter of 1998 from $0.5 million for the same period in 1997, as the level of research activity declined. Research and development expenses (including loss in Amgen-Regeneron Partners) were approximately 71% of total operating expenses in the second quarter of 1998, compared to 68% for the same period in 1997.</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General and administrative expenses were $1.7 million in both the second quarters of 1998 and 1997. Depreciation and amortization expense decreased to $0.8 million in the second quarter of 1998 from $1.2 million in the second quarter of 1997, as certain laboratory equipment and leasehold improvements became fully depreciated. Contract manufacturing expenses, which are direct expenses related to the Merck Agreement and are reimbursed by Merck, increased to $1.2 million in the second quarter of 1998 from $0.5 million in the same period of 1997, primarily due to increased activity in preparation for manufacturing a product for Merck. Interest expense decreased to $0.1 million from $0.2 million in the second quarters of 1998 and 1997, respectively, as the amount of outstanding obligations in connection with capital leases declined.</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Company's net income for the second quarter of 1998 was $2.1 million, or $0.07 per share (basic and diluted), compared to a net loss of $4.3 million, or $0.16 per share (basic and diluted), for the same period in 1997.</w:t>
      </w:r>
    </w:p>
    <w:p>
      <w:pPr>
        <w:spacing w:after="0" w:line="176"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Six months ended June 30, 1998 and 1997. The Company's total revenue increased to $23.4 million for the six months ended June 30, 1998 from $12.8 million for the same period in 1997. Contract research and development revenue increased to $10.8 million for the six months ended June 30, 1998 from $8.6 million for the same period in 1997, as higher revenue related to the P&amp;G Agreement more than offset a decrease in revenue from Sumitomo Pharmaceuticals. A research progress payment of $5.0 million was received in the second quarter of 1998 from Procter &amp; Gamble in connection with a collaboration to develop AXOKINE for obesity associated with Type II diabetes and possibly for uncomplicated obesity. Contract manufacturing revenue related to the Merck Agreement increased to $4.2 million for the first six months of 1998 compared to $1.6 million for the same period in 1997 as a result of increased activity in preparation for manufacturing a product for Merck at the Company's Rensselaer facility. Investment income for the six months ended June 30, 1998 increased to $3.5 million from $2.7 million for the same period in 1997, due mainly to higher levels of interest-bearing investments resulting primarily from the proceeds of a private placement of equity securities with Procter &amp; Gamble in June 1997.</w:t>
      </w:r>
    </w:p>
    <w:p>
      <w:pPr>
        <w:spacing w:after="0" w:line="363"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Company's total operating expenses increased to $25.1 million for the six months ended June 30, 1998 from $23.0 million for the same period in 1997. Research and development expenses increased to $17.2 million in the first six months of 1998 from $14.0 million for the same period in 1997, primarily as a result of additional employees and increased activity in the Company's preclinical and clinical research programs. Loss in Amgen-Regeneron Partners decreased to $0.9 million in the first half of 1998 from $2.2 million for the same period in 1997, as the level of research activity declined.</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7" w:right="1440" w:bottom="1440" w:gutter="0" w:footer="0" w:header="0"/>
        </w:sectPr>
      </w:pPr>
    </w:p>
    <w:bookmarkStart w:id="16" w:name="page17"/>
    <w:bookmarkEnd w:id="16"/>
    <w:p>
      <w:pPr>
        <w:jc w:val="both"/>
        <w:ind w:right="3079"/>
        <w:spacing w:after="0" w:line="249" w:lineRule="auto"/>
        <w:rPr>
          <w:sz w:val="20"/>
          <w:szCs w:val="20"/>
          <w:color w:val="auto"/>
        </w:rPr>
      </w:pPr>
      <w:r>
        <w:rPr>
          <w:rFonts w:ascii="Courier New" w:cs="Courier New" w:eastAsia="Courier New" w:hAnsi="Courier New"/>
          <w:sz w:val="15"/>
          <w:szCs w:val="15"/>
          <w:color w:val="auto"/>
        </w:rPr>
        <w:t>Research and development expenses (including loss in Amgen-Regeneron Partners) were approximately 72% of total operating expenses in the first six months of 1998, compared to 70% for the same period in 1997.</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General and administrative expenses decreased slightly to $3.1 million for the six months ended June 30, 1998 from $3.2 million for the same period in 1997. Depreciation and amortization expense decreased to $1.6 million for the six months ended June 30, 1998 from $2.4 million for the same period in 1997, as certain laboratory equipment and leasehold improvements became fully depreciated. Contract manufacturing expenses, which are direct expenses related to the Merck Agreement and are reimbursed by Merck, increased to $2.1 million in the first half of 1998 from $1.0 million in the same period of 1997, primarily due to increased activity in preparation for manufacturing a product for Merck. Interest expense decreased to $0.2 million from $0.4 million for the six months ended June 30, 1998 and 1997, respectively, as the amount of outstanding obligations in connection with capital leases declined.</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Company's net loss for the six months ended June 30, 1998 was $1.7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or $0.05 per share (basic and diluted), compared to a net loss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 million, or $0.38 per share (basic and diluted), for the same period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Since its inception in 1988, the Company has financed its operations primarily through private placements and public offerings of its equity securities, revenue earned under the several agreements between the Company and each of Amgen, Sumitomo Chemical Company, Ltd., Sumitomo Pharmaceuticals, Merck, and Procter &amp; Gamble and investment income.</w:t>
      </w:r>
    </w:p>
    <w:p>
      <w:pPr>
        <w:spacing w:after="0" w:line="176"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In May 1997, the Company and Procter &amp; Gamble entered into the P&amp;G Agreement. Procter &amp; Gamble agreed over the first five years of the P&amp;G Agreement to purchase up to $60.0 million in Regeneron equity (of which $42.9 million was purchased in June 1997) and provide up to $94.7 million in support of Regeneron's research efforts related to the collaboration. During the second five years of the P&amp;G Agreement, the companies will share all research costs equally. Clinical testing and commercialization expenses for jointly developed products will be shared equally throughout the ten years of the collaboration. The companies expect jointly to develop and market worldwide any products resulting from the collaboration and share equally in profits. Either company may terminate the P&amp;G Agreement at the end of five years with at least one year prior notice or earlier in the event of a default (as defined in the P&amp;G Agreement). In September 1997, the Company and Procter &amp; Gamble expanded the P&amp;G Agreement to include AXOKINE and related molecules (delivered systemically), and agreed to develop AXOKINE initially to treat obesity associated with Type II diabetes. Procter &amp; Gamble agreed to reimburse the Company for certain research and development costs and pay as much as $15.0 million in additional funding, partly subject to achieving certain milestones related to AXOKINE. Of the $15.0 million, $5.0 million was paid in 1997 and $5.0 million was paid in July 1998.</w:t>
      </w:r>
    </w:p>
    <w:p>
      <w:pPr>
        <w:spacing w:after="0" w:line="364"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In connection with the Company's agreement to collaborate with Sumitomo Pharmaceuticals in the research and development of BDNF in Japan, the Company continues to be reimbursed in connection with supplying Sumitomo Pharmaceuticals with BDNF for preclinical and clinical use. The Company also expects to receive a $5.0 million milestone payment from Sumitomo Pharmaceuticals in the third quarter of 1998.</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7" w:right="1440" w:bottom="1440" w:gutter="0" w:footer="0" w:header="0"/>
        </w:sectPr>
      </w:pPr>
    </w:p>
    <w:bookmarkStart w:id="17" w:name="page18"/>
    <w:bookmarkEnd w:id="17"/>
    <w:p>
      <w:pPr>
        <w:ind w:right="3079" w:firstLine="824"/>
        <w:spacing w:after="0" w:line="248" w:lineRule="auto"/>
        <w:rPr>
          <w:sz w:val="20"/>
          <w:szCs w:val="20"/>
          <w:color w:val="auto"/>
        </w:rPr>
      </w:pPr>
      <w:r>
        <w:rPr>
          <w:rFonts w:ascii="Courier New" w:cs="Courier New" w:eastAsia="Courier New" w:hAnsi="Courier New"/>
          <w:sz w:val="15"/>
          <w:szCs w:val="15"/>
          <w:color w:val="auto"/>
        </w:rPr>
        <w:t>The Company's activities relating to BDNF and NT-3, as agreed upon by Amgen and Regeneron, are being reimbursed by Amgen-Regeneron Partners, and the Company recognizes such reimbursement as revenue. The funding of Amgen-Regeneron Partners is through capital contributions from Amgen and Regeneron, who must make equal payments in order to maintain equal ownership and equal sharing of any profits or losses from the partnership. The Company has made capital contributions totaling approximately $47.6 million to Amgen-Regeneron Partners from the partnership's inception in June 1993 through June 30, 1998. The Company expects that its capital contributions in 1998 will total $5.7 million for the full year, of which $2.4 million has been funded through June 1998. These contributions could increase or decrease, depending upon the cost of Amgen-Regeneron Partners' conducting additional BDNF and NT-3 studies and the outcomes of those and other ongoing studies.</w:t>
      </w:r>
    </w:p>
    <w:p>
      <w:pPr>
        <w:spacing w:after="0" w:line="18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From its inception in January 1988 through June 30, 1998, the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invested approximately $57.4 million in property, plant, and equipment. This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includes $16.8 million to acquire and renovate the Rensselaer facility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$14.1 million of completed construction at the facility related to the Merck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In connection with the purchase and renovation of the Rensselaer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the Company obtained financing of $2.0 million from the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Urban Development Corporation, of which $1.7 million is outstanding.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terms of such financing, the Company is not permitted to declare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 dividends to its stockholders.</w:t>
      </w:r>
    </w:p>
    <w:p>
      <w:pPr>
        <w:spacing w:after="0" w:line="182"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interference proceedings in the Patent and Trademark Office between Regeneron's patent applications and patents relating to ciliary neurotrophic factor ("CNTF") issued to Synergen, Inc. ("Synergen"). Amgen acquired all outstanding shares of Synergen in 1994. In March 1998, the Company and Amgen entered into a covenant not to sue each other which, among other things, resolved their patent interference and related opposition and other patent proceedings relating to CNTF and AXOKINE. The Company also granted Amgen a license to use CNTF and second generation CNTFs other than AXOKINE to treat retinal degenerative conditions. Neither party will pay royalties or make other payments to the other party in consideration of this agreement.</w:t>
      </w:r>
    </w:p>
    <w:p>
      <w:pPr>
        <w:spacing w:after="0" w:line="185"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As of June 30, 1998,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 In addition, the Company estimates that through mid-2002 it could receive additional payments from Procter &amp; Gamble in the form of research funding, milestones, and equity purchases of as much as $100 million or more.</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At June 30, 1998, the Company had $117.4 million in cash, cash equivalents, and marketable securities. The Company expects to incur substantial funding requirements for, among other things, research and development activities (including preclinical and clinical testing), validation of manufacturing facilities, and the acquisition of equipment. The Company expects to incur ongoing funding requirements for capital contributions to Amgen-Regeneron Partners to support the continued development and clinical trials of BDNF and NT-3. The amount needed to fund operations will also depend on other</w:t>
      </w: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factors, including the status of competitive products, the success of</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Company's research and development programs, the status of patents and other intellectual property rights developments, and the continuation, extent, and success of any collaborative research programs (including those with Amgen and Procter &amp; Gamble). The Company believes that its existing capital resources will enable it to meet operating needs for at least several years. No assurance can be given that there will be no change in projected revenues or expenses that would lead to the Company's capital being consumed significantly before such time.</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Operating Results</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Regeneron cautions stockholders and potential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75" w:lineRule="exact"/>
        <w:rPr>
          <w:sz w:val="20"/>
          <w:szCs w:val="20"/>
          <w:color w:val="auto"/>
        </w:rPr>
      </w:pPr>
    </w:p>
    <w:p>
      <w:pPr>
        <w:ind w:left="820" w:right="3079" w:hanging="368"/>
        <w:spacing w:after="0" w:line="249" w:lineRule="auto"/>
        <w:tabs>
          <w:tab w:leader="none" w:pos="8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the Company's research and development programs to produce product candidates that are scientifically or commercially appropriate for further development by the Company or others.</w:t>
      </w:r>
    </w:p>
    <w:p>
      <w:pPr>
        <w:spacing w:after="0" w:line="175" w:lineRule="exact"/>
        <w:rPr>
          <w:rFonts w:ascii="Courier New" w:cs="Courier New" w:eastAsia="Courier New" w:hAnsi="Courier New"/>
          <w:sz w:val="15"/>
          <w:szCs w:val="15"/>
          <w:color w:val="auto"/>
        </w:rPr>
      </w:pPr>
    </w:p>
    <w:p>
      <w:pPr>
        <w:ind w:left="820" w:right="2979" w:hanging="368"/>
        <w:spacing w:after="0" w:line="249" w:lineRule="auto"/>
        <w:tabs>
          <w:tab w:leader="none" w:pos="8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termination of material collaborative or licensing agreements (including in particular, but not limited to, those with Procter &amp; Gamble and Amgen) and the resulting loss of research or other funding could have a material adverse effect on the Company and its operations. A change of control of one or more of the Company's material collaborators or licensees could also have a material adverse effect on the Company.</w:t>
      </w:r>
    </w:p>
    <w:p>
      <w:pPr>
        <w:spacing w:after="0" w:line="175" w:lineRule="exact"/>
        <w:rPr>
          <w:rFonts w:ascii="Courier New" w:cs="Courier New" w:eastAsia="Courier New" w:hAnsi="Courier New"/>
          <w:sz w:val="15"/>
          <w:szCs w:val="15"/>
          <w:color w:val="auto"/>
        </w:rPr>
      </w:pPr>
    </w:p>
    <w:p>
      <w:pPr>
        <w:ind w:left="820" w:right="2979" w:hanging="368"/>
        <w:spacing w:after="0" w:line="249" w:lineRule="auto"/>
        <w:tabs>
          <w:tab w:leader="none" w:pos="8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a clinical trial of any of the Company's product candidates.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the creation of antibodies (in the case of protein-based therapeutics) that weaken or neutralize the effect of the product candidate (and possibly could have other adverse effects on patients), the failure of clinical investigators, trial monitors and other consultants, or trial subjects to comply with the trial plan or protocol.</w:t>
      </w:r>
    </w:p>
    <w:p>
      <w:pPr>
        <w:spacing w:after="0" w:line="175" w:lineRule="exact"/>
        <w:rPr>
          <w:rFonts w:ascii="Courier New" w:cs="Courier New" w:eastAsia="Courier New" w:hAnsi="Courier New"/>
          <w:sz w:val="15"/>
          <w:szCs w:val="15"/>
          <w:color w:val="auto"/>
        </w:rPr>
      </w:pPr>
    </w:p>
    <w:p>
      <w:pPr>
        <w:ind w:left="820" w:right="3719" w:hanging="368"/>
        <w:spacing w:after="0" w:line="249" w:lineRule="auto"/>
        <w:tabs>
          <w:tab w:leader="none" w:pos="8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in obtaining regulatory approval (including approval of its facilities for production) for the Company's products (including vaccine intermediate for Merck), including delays or difficulties in development because of insufficient proof of safety or efficacy.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7" w:right="1440" w:bottom="1440" w:gutter="0" w:footer="0" w:header="0"/>
        </w:sectPr>
      </w:pPr>
    </w:p>
    <w:bookmarkStart w:id="19" w:name="page20"/>
    <w:bookmarkEnd w:id="19"/>
    <w:p>
      <w:pPr>
        <w:ind w:left="368" w:right="3079" w:hanging="368"/>
        <w:spacing w:after="0" w:line="249"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and irregular costs of development, manufacture, regulatory approval, sales, and marketing associated with the introduction of products in the late stage of development.</w:t>
      </w:r>
    </w:p>
    <w:p>
      <w:pPr>
        <w:spacing w:after="0" w:line="175" w:lineRule="exact"/>
        <w:rPr>
          <w:rFonts w:ascii="Courier New" w:cs="Courier New" w:eastAsia="Courier New" w:hAnsi="Courier New"/>
          <w:sz w:val="15"/>
          <w:szCs w:val="15"/>
          <w:color w:val="auto"/>
        </w:rPr>
      </w:pPr>
    </w:p>
    <w:p>
      <w:pPr>
        <w:ind w:left="368" w:right="3079" w:hanging="368"/>
        <w:spacing w:after="0" w:line="250"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or market factors that may cause use of the Company's products to be limited or otherwise fail to achieve broad acceptance.</w:t>
      </w:r>
    </w:p>
    <w:p>
      <w:pPr>
        <w:spacing w:after="0" w:line="174" w:lineRule="exact"/>
        <w:rPr>
          <w:rFonts w:ascii="Courier New" w:cs="Courier New" w:eastAsia="Courier New" w:hAnsi="Courier New"/>
          <w:sz w:val="15"/>
          <w:szCs w:val="15"/>
          <w:color w:val="auto"/>
        </w:rPr>
      </w:pPr>
    </w:p>
    <w:p>
      <w:pPr>
        <w:ind w:left="368" w:right="3179" w:hanging="368"/>
        <w:spacing w:after="0" w:line="249"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75" w:lineRule="exact"/>
        <w:rPr>
          <w:rFonts w:ascii="Courier New" w:cs="Courier New" w:eastAsia="Courier New" w:hAnsi="Courier New"/>
          <w:sz w:val="15"/>
          <w:szCs w:val="15"/>
          <w:color w:val="auto"/>
        </w:rPr>
      </w:pPr>
    </w:p>
    <w:p>
      <w:pPr>
        <w:ind w:left="368" w:right="3359" w:hanging="368"/>
        <w:spacing w:after="0" w:line="249"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or high costs of obtaining adequate financing to meet the Company's obligations under its collaboration and licensing agreements or to fund 50 percent of the cost of developing product candidates in order to retain 50 percent of the commercialization rights.</w:t>
      </w:r>
    </w:p>
    <w:p>
      <w:pPr>
        <w:spacing w:after="0" w:line="175" w:lineRule="exact"/>
        <w:rPr>
          <w:rFonts w:ascii="Courier New" w:cs="Courier New" w:eastAsia="Courier New" w:hAnsi="Courier New"/>
          <w:sz w:val="15"/>
          <w:szCs w:val="15"/>
          <w:color w:val="auto"/>
        </w:rPr>
      </w:pPr>
    </w:p>
    <w:p>
      <w:pPr>
        <w:ind w:left="368" w:right="2979" w:hanging="368"/>
        <w:spacing w:after="0" w:line="249"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rate of growth of Regeneron's general and administrative expenses, and the impact of unusual charges resulting from Regeneron's ongoing evaluation of its business strategies and organizational structure.</w:t>
      </w:r>
    </w:p>
    <w:p>
      <w:pPr>
        <w:spacing w:after="0" w:line="175" w:lineRule="exact"/>
        <w:rPr>
          <w:rFonts w:ascii="Courier New" w:cs="Courier New" w:eastAsia="Courier New" w:hAnsi="Courier New"/>
          <w:sz w:val="15"/>
          <w:szCs w:val="15"/>
          <w:color w:val="auto"/>
        </w:rPr>
      </w:pPr>
    </w:p>
    <w:p>
      <w:pPr>
        <w:ind w:left="368" w:right="3619" w:hanging="368"/>
        <w:spacing w:after="0" w:line="249"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corporate partners to develop or commercialize successfully the Company's products or to retain and expand the markets served by the commercial collaborations; conflicts of interest, priorities, and commercial strategies which may arise between the Company and such corporate partners.</w:t>
      </w:r>
    </w:p>
    <w:p>
      <w:pPr>
        <w:spacing w:after="0" w:line="175" w:lineRule="exact"/>
        <w:rPr>
          <w:rFonts w:ascii="Courier New" w:cs="Courier New" w:eastAsia="Courier New" w:hAnsi="Courier New"/>
          <w:sz w:val="15"/>
          <w:szCs w:val="15"/>
          <w:color w:val="auto"/>
        </w:rPr>
      </w:pPr>
    </w:p>
    <w:p>
      <w:pPr>
        <w:ind w:left="368" w:right="2979" w:hanging="368"/>
        <w:spacing w:after="0" w:line="249"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75" w:lineRule="exact"/>
        <w:rPr>
          <w:rFonts w:ascii="Courier New" w:cs="Courier New" w:eastAsia="Courier New" w:hAnsi="Courier New"/>
          <w:sz w:val="15"/>
          <w:szCs w:val="15"/>
          <w:color w:val="auto"/>
        </w:rPr>
      </w:pPr>
    </w:p>
    <w:p>
      <w:pPr>
        <w:ind w:left="368" w:right="3539" w:hanging="368"/>
        <w:spacing w:after="0" w:line="250"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key raw materials and supplies for the manufacture of the Company's product candidates.</w:t>
      </w:r>
    </w:p>
    <w:p>
      <w:pPr>
        <w:spacing w:after="0" w:line="174" w:lineRule="exact"/>
        <w:rPr>
          <w:rFonts w:ascii="Courier New" w:cs="Courier New" w:eastAsia="Courier New" w:hAnsi="Courier New"/>
          <w:sz w:val="15"/>
          <w:szCs w:val="15"/>
          <w:color w:val="auto"/>
        </w:rPr>
      </w:pPr>
    </w:p>
    <w:p>
      <w:pPr>
        <w:ind w:left="368" w:right="2979" w:hanging="368"/>
        <w:spacing w:after="0" w:line="249"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other effects of legal and administrative cases and proceedings (whether civil, such as product- or employment-related,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175" w:lineRule="exact"/>
        <w:rPr>
          <w:rFonts w:ascii="Courier New" w:cs="Courier New" w:eastAsia="Courier New" w:hAnsi="Courier New"/>
          <w:sz w:val="15"/>
          <w:szCs w:val="15"/>
          <w:color w:val="auto"/>
        </w:rPr>
      </w:pPr>
    </w:p>
    <w:p>
      <w:pPr>
        <w:ind w:left="368" w:right="3079" w:hanging="368"/>
        <w:spacing w:after="0" w:line="249"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76" w:lineRule="exact"/>
        <w:rPr>
          <w:sz w:val="20"/>
          <w:szCs w:val="20"/>
          <w:color w:val="auto"/>
        </w:rPr>
      </w:pPr>
    </w:p>
    <w:p>
      <w:pPr>
        <w:ind w:left="302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767"/>
          </w:cols>
          <w:pgMar w:left="692" w:top="647" w:right="1440" w:bottom="1440" w:gutter="0" w:footer="0" w:header="0"/>
        </w:sectPr>
      </w:pPr>
    </w:p>
    <w:bookmarkStart w:id="20" w:name="page21"/>
    <w:bookmarkEnd w:id="20"/>
    <w:p>
      <w:pPr>
        <w:ind w:left="820" w:right="3179" w:hanging="368"/>
        <w:spacing w:after="0" w:line="250" w:lineRule="auto"/>
        <w:tabs>
          <w:tab w:leader="none" w:pos="8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Health care reform, including reductions or changes in reimbursement available for prescription medications or other reforms.</w:t>
      </w:r>
    </w:p>
    <w:p>
      <w:pPr>
        <w:spacing w:after="0" w:line="174" w:lineRule="exact"/>
        <w:rPr>
          <w:rFonts w:ascii="Courier New" w:cs="Courier New" w:eastAsia="Courier New" w:hAnsi="Courier New"/>
          <w:sz w:val="15"/>
          <w:szCs w:val="15"/>
          <w:color w:val="auto"/>
        </w:rPr>
      </w:pPr>
    </w:p>
    <w:p>
      <w:pPr>
        <w:ind w:left="820" w:right="3079" w:hanging="368"/>
        <w:spacing w:after="0" w:line="249" w:lineRule="auto"/>
        <w:tabs>
          <w:tab w:leader="none" w:pos="8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attract and retain key personnel. As Regeneron's scientific efforts lead to potentially promising new directions, both outside of recombinant protein therapies (into orally active, small molecule pharmaceuticals) and outside of treatments for neurological and neurodegenerative conditions (into, for example, potential programs in obesity, diabetes, cancer, inflammation, muscle disease, bone growth disorders, and angiogenesis), the Company will require additional internal expertise or external collaborations in areas in which it currently does not have substantial resources and personnel.</w:t>
      </w:r>
    </w:p>
    <w:p>
      <w:pPr>
        <w:spacing w:after="0" w:line="175"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The Company is evaluating its operations to determine the impact, if any, Year 2000 issues may have. The Company's review includes its computer systems and software, embedded systems in non-computer equipment, and vendor operations. The Company has appointed a Year 2000 task force with representatives from each operation of the Company and has retained independent consultants to facilitate its review. To date, the Company believes that no material Year 2000 issue exists with respect to its computer systems and software. The Company is in the process of analyzing its laboratory and manufacturing equipment with embedded systems. This analysis is incomplete. The Company is also in the process of surveying its vendors to determine their level of readiness with respect to Year 2000 issues. The analysis of the Company's embedded systems and the information collected regarding vendor readiness will be used to formulate a contingency plan with respect to reasonably identifiable items of equipment and supply of materials that are critical to the Company's operations. The costs of addressing Year 2000 issues have been minor to date, but may increase if substantial consultant or personnel resources are required or if operationally-important equipment must be remediated or replaced. The risks that Year 2000 issues could present to the Company include, without limitation, disruption, delay, or cessation of manufacturing or other operations, including operations that are subject to regulatory compliance. In each case the correction of the problem could result in substantial expense and disruption or delay of the Company's operations.</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the Future Adoption of Recently Issued Accounting Standard</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and Hedging Activities ("SFAS No. 133"). SFAS No. 133 establishes a comprehensive standard on accounting for derivatives and hedging activities and is effective for periods beginning after June 15, 1999. Management does not believe that the future adoption of SFAS No. 133 will have a material effect on the Company's financial position and results of operations.</w:t>
      </w: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35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359" w:lineRule="exact"/>
        <w:rPr>
          <w:sz w:val="20"/>
          <w:szCs w:val="20"/>
          <w:color w:val="auto"/>
        </w:rPr>
      </w:pPr>
    </w:p>
    <w:p>
      <w:pPr>
        <w:jc w:val="both"/>
        <w:ind w:right="2979" w:firstLine="1649"/>
        <w:spacing w:after="0" w:line="249" w:lineRule="auto"/>
        <w:rPr>
          <w:sz w:val="20"/>
          <w:szCs w:val="20"/>
          <w:color w:val="auto"/>
        </w:rPr>
      </w:pPr>
      <w:r>
        <w:rPr>
          <w:rFonts w:ascii="Courier New" w:cs="Courier New" w:eastAsia="Courier New" w:hAnsi="Courier New"/>
          <w:sz w:val="15"/>
          <w:szCs w:val="15"/>
          <w:color w:val="auto"/>
        </w:rPr>
        <w:t>On June 12, 1998, the Company conducted its Annual Meeting of Shareholders pursuant to due notice. A quorum being present either in person or by proxy, the shareholders voted on the following matters:</w:t>
      </w:r>
    </w:p>
    <w:p>
      <w:pPr>
        <w:spacing w:after="0" w:line="176" w:lineRule="exact"/>
        <w:rPr>
          <w:sz w:val="20"/>
          <w:szCs w:val="20"/>
          <w:color w:val="auto"/>
        </w:rPr>
      </w:pPr>
    </w:p>
    <w:p>
      <w:pPr>
        <w:jc w:val="both"/>
        <w:ind w:right="3259" w:firstLine="818"/>
        <w:spacing w:after="0" w:line="250" w:lineRule="auto"/>
        <w:tabs>
          <w:tab w:leader="none" w:pos="109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Directors to hold office for a three-year term as Class I directors and until their successors are duly elected and qualified.</w:t>
      </w:r>
    </w:p>
    <w:p>
      <w:pPr>
        <w:spacing w:after="0" w:line="174" w:lineRule="exact"/>
        <w:rPr>
          <w:rFonts w:ascii="Courier New" w:cs="Courier New" w:eastAsia="Courier New" w:hAnsi="Courier New"/>
          <w:sz w:val="15"/>
          <w:szCs w:val="15"/>
          <w:color w:val="auto"/>
        </w:rPr>
      </w:pPr>
    </w:p>
    <w:p>
      <w:pPr>
        <w:ind w:right="2979" w:firstLine="818"/>
        <w:spacing w:after="0" w:line="250" w:lineRule="auto"/>
        <w:tabs>
          <w:tab w:leader="none" w:pos="109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selection of Coopers &amp; Lybrand L.L.P. as independent accountants for the Company's fiscal year ending December 31, 1998.</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 other matters were voted on. The number of votes cast was:</w:t>
      </w:r>
    </w:p>
    <w:p>
      <w:pPr>
        <w:spacing w:after="0" w:line="182"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Withhold</w:t>
            </w:r>
          </w:p>
        </w:tc>
      </w:tr>
      <w:tr>
        <w:trPr>
          <w:trHeight w:val="176"/>
        </w:trPr>
        <w:tc>
          <w:tcPr>
            <w:tcW w:w="39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For</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Authority</w:t>
            </w:r>
          </w:p>
        </w:tc>
      </w:tr>
      <w:tr>
        <w:trPr>
          <w:trHeight w:val="176"/>
        </w:trPr>
        <w:tc>
          <w:tcPr>
            <w:tcW w:w="39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1.  Election of Class I Directors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940" w:type="dxa"/>
            <w:vAlign w:val="bottom"/>
          </w:tcPr>
          <w:p>
            <w:pPr>
              <w:ind w:left="820"/>
              <w:spacing w:after="0"/>
              <w:rPr>
                <w:sz w:val="20"/>
                <w:szCs w:val="20"/>
                <w:color w:val="auto"/>
              </w:rPr>
            </w:pPr>
            <w:r>
              <w:rPr>
                <w:rFonts w:ascii="Courier New" w:cs="Courier New" w:eastAsia="Courier New" w:hAnsi="Courier New"/>
                <w:sz w:val="15"/>
                <w:szCs w:val="15"/>
                <w:color w:val="auto"/>
              </w:rPr>
              <w:t>Leonard S. Schleifer, M.D., Ph.D.</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52,390,382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277,081</w:t>
            </w:r>
          </w:p>
        </w:tc>
      </w:tr>
      <w:tr>
        <w:trPr>
          <w:trHeight w:val="176"/>
        </w:trPr>
        <w:tc>
          <w:tcPr>
            <w:tcW w:w="3940" w:type="dxa"/>
            <w:vAlign w:val="bottom"/>
          </w:tcPr>
          <w:p>
            <w:pPr>
              <w:ind w:left="820"/>
              <w:spacing w:after="0"/>
              <w:rPr>
                <w:sz w:val="20"/>
                <w:szCs w:val="20"/>
                <w:color w:val="auto"/>
              </w:rPr>
            </w:pPr>
            <w:r>
              <w:rPr>
                <w:rFonts w:ascii="Courier New" w:cs="Courier New" w:eastAsia="Courier New" w:hAnsi="Courier New"/>
                <w:sz w:val="15"/>
                <w:szCs w:val="15"/>
                <w:color w:val="auto"/>
              </w:rPr>
              <w:t>Eric M. Shooter, Ph.D.</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52,397,662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269,801</w:t>
            </w:r>
          </w:p>
        </w:tc>
      </w:tr>
      <w:tr>
        <w:trPr>
          <w:trHeight w:val="176"/>
        </w:trPr>
        <w:tc>
          <w:tcPr>
            <w:tcW w:w="3940" w:type="dxa"/>
            <w:vAlign w:val="bottom"/>
          </w:tcPr>
          <w:p>
            <w:pPr>
              <w:ind w:left="820"/>
              <w:spacing w:after="0"/>
              <w:rPr>
                <w:sz w:val="20"/>
                <w:szCs w:val="20"/>
                <w:color w:val="auto"/>
              </w:rPr>
            </w:pPr>
            <w:r>
              <w:rPr>
                <w:rFonts w:ascii="Courier New" w:cs="Courier New" w:eastAsia="Courier New" w:hAnsi="Courier New"/>
                <w:sz w:val="15"/>
                <w:szCs w:val="15"/>
                <w:color w:val="auto"/>
              </w:rPr>
              <w:t>Fred A. Middleton</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52,397,662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269,801</w:t>
            </w:r>
          </w:p>
        </w:tc>
      </w:tr>
    </w:tbl>
    <w:p>
      <w:pPr>
        <w:spacing w:after="0" w:line="181"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The terms of office of P. Roy Vagelos, M.D., Alfred G. Gilman, M.D., Ph.D., Joseph L. Goldstein, M.D., Michael S. Brown, M.D., George Sing, and Charles A. Baker continued after the meeting.</w:t>
      </w:r>
    </w:p>
    <w:p>
      <w:pPr>
        <w:spacing w:after="0" w:line="352"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1320" w:type="dxa"/>
            <w:vAlign w:val="bottom"/>
          </w:tcPr>
          <w:p>
            <w:pPr>
              <w:ind w:left="500"/>
              <w:spacing w:after="0"/>
              <w:rPr>
                <w:sz w:val="20"/>
                <w:szCs w:val="20"/>
                <w:color w:val="auto"/>
              </w:rPr>
            </w:pPr>
            <w:r>
              <w:rPr>
                <w:rFonts w:ascii="Courier New" w:cs="Courier New" w:eastAsia="Courier New" w:hAnsi="Courier New"/>
                <w:sz w:val="15"/>
                <w:szCs w:val="15"/>
                <w:color w:val="auto"/>
              </w:rPr>
              <w:t>For</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Against</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w w:val="98"/>
              </w:rPr>
              <w:t>Abstain</w:t>
            </w:r>
          </w:p>
        </w:tc>
      </w:tr>
      <w:tr>
        <w:trPr>
          <w:trHeight w:val="176"/>
        </w:trPr>
        <w:tc>
          <w:tcPr>
            <w:tcW w:w="2800" w:type="dxa"/>
            <w:vAlign w:val="bottom"/>
          </w:tcPr>
          <w:p>
            <w:pPr>
              <w:spacing w:after="0"/>
              <w:rPr>
                <w:sz w:val="15"/>
                <w:szCs w:val="15"/>
                <w:color w:val="auto"/>
              </w:rPr>
            </w:pPr>
          </w:p>
        </w:tc>
        <w:tc>
          <w:tcPr>
            <w:tcW w:w="13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2800" w:type="dxa"/>
            <w:vAlign w:val="bottom"/>
          </w:tcPr>
          <w:p>
            <w:pPr>
              <w:spacing w:after="0"/>
              <w:rPr>
                <w:sz w:val="20"/>
                <w:szCs w:val="20"/>
                <w:color w:val="auto"/>
              </w:rPr>
            </w:pPr>
            <w:r>
              <w:rPr>
                <w:rFonts w:ascii="Courier New" w:cs="Courier New" w:eastAsia="Courier New" w:hAnsi="Courier New"/>
                <w:sz w:val="15"/>
                <w:szCs w:val="15"/>
                <w:color w:val="auto"/>
              </w:rPr>
              <w:t>2.  Selection of accountants</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52,608,041</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38,480</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rPr>
              <w:t>20,942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999" w:right="1440" w:bottom="1440" w:gutter="0" w:footer="0" w:header="0"/>
        </w:sectPr>
      </w:pPr>
    </w:p>
    <w:bookmarkStart w:id="22" w:name="page23"/>
    <w:bookmarkEnd w:id="22"/>
    <w:p>
      <w:pPr>
        <w:ind w:left="6"/>
        <w:spacing w:after="0"/>
        <w:tabs>
          <w:tab w:leader="none" w:pos="806"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359" w:lineRule="exact"/>
        <w:rPr>
          <w:sz w:val="20"/>
          <w:szCs w:val="20"/>
          <w:color w:val="auto"/>
        </w:rPr>
      </w:pPr>
    </w:p>
    <w:p>
      <w:pPr>
        <w:ind w:left="826" w:hanging="826"/>
        <w:spacing w:after="0"/>
        <w:tabs>
          <w:tab w:leader="none" w:pos="82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2" w:lineRule="exact"/>
        <w:rPr>
          <w:sz w:val="20"/>
          <w:szCs w:val="20"/>
          <w:color w:val="auto"/>
        </w:rPr>
      </w:pPr>
    </w:p>
    <w:p>
      <w:pPr>
        <w:ind w:left="1646"/>
        <w:spacing w:after="0"/>
        <w:tabs>
          <w:tab w:leader="none" w:pos="2446"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359" w:lineRule="exact"/>
        <w:rPr>
          <w:sz w:val="20"/>
          <w:szCs w:val="20"/>
          <w:color w:val="auto"/>
        </w:rPr>
      </w:pPr>
    </w:p>
    <w:p>
      <w:pPr>
        <w:ind w:left="826" w:hanging="826"/>
        <w:spacing w:after="0"/>
        <w:tabs>
          <w:tab w:leader="none" w:pos="82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w:t>
      </w:r>
    </w:p>
    <w:p>
      <w:pPr>
        <w:spacing w:after="0" w:line="182" w:lineRule="exact"/>
        <w:rPr>
          <w:sz w:val="20"/>
          <w:szCs w:val="20"/>
          <w:color w:val="auto"/>
        </w:rPr>
      </w:pPr>
    </w:p>
    <w:p>
      <w:pPr>
        <w:ind w:left="6" w:right="3259" w:firstLine="1649"/>
        <w:spacing w:after="0" w:line="250" w:lineRule="auto"/>
        <w:rPr>
          <w:sz w:val="20"/>
          <w:szCs w:val="20"/>
          <w:color w:val="auto"/>
        </w:rPr>
      </w:pPr>
      <w:r>
        <w:rPr>
          <w:rFonts w:ascii="Courier New" w:cs="Courier New" w:eastAsia="Courier New" w:hAnsi="Courier New"/>
          <w:sz w:val="15"/>
          <w:szCs w:val="15"/>
          <w:color w:val="auto"/>
        </w:rPr>
        <w:t>No reports on Form 8-K were filed by the Registrant during the quarter ended June 30,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5"/>
          </w:cols>
          <w:pgMar w:left="234" w:top="647" w:right="1440" w:bottom="1440" w:gutter="0" w:footer="0" w:header="0"/>
        </w:sectPr>
      </w:pPr>
    </w:p>
    <w:bookmarkStart w:id="23" w:name="page24"/>
    <w:bookmarkEnd w:id="23"/>
    <w:p>
      <w:pPr>
        <w:ind w:left="320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3619"/>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Regeneron Pharmaceuticals, Inc.</w:t>
      </w:r>
    </w:p>
    <w:p>
      <w:pPr>
        <w:sectPr>
          <w:pgSz w:w="11900" w:h="16838" w:orient="portrait"/>
          <w:cols w:equalWidth="0" w:num="1">
            <w:col w:w="10219"/>
          </w:cols>
          <w:pgMar w:left="240" w:top="8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August 14, 1998</w:t>
      </w:r>
    </w:p>
    <w:p>
      <w:pPr>
        <w:spacing w:after="0" w:line="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 Murray A. Goldberg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Murray A. Goldberg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Finance &amp; Administration,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 and Treasurer</w:t>
      </w:r>
    </w:p>
    <w:p>
      <w:pPr>
        <w:spacing w:after="0" w:line="200" w:lineRule="exact"/>
        <w:rPr>
          <w:sz w:val="20"/>
          <w:szCs w:val="20"/>
          <w:color w:val="auto"/>
        </w:rPr>
      </w:pPr>
    </w:p>
    <w:p>
      <w:pPr>
        <w:sectPr>
          <w:pgSz w:w="11900" w:h="16838" w:orient="portrait"/>
          <w:cols w:equalWidth="0" w:num="4">
            <w:col w:w="460" w:space="0"/>
            <w:col w:w="2100" w:space="460"/>
            <w:col w:w="280" w:space="80"/>
            <w:col w:w="6839"/>
          </w:cols>
          <w:pgMar w:left="240" w:top="8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823" w:right="1440" w:bottom="1440" w:gutter="0" w:footer="0" w:header="0"/>
          <w:type w:val="continuous"/>
        </w:sectPr>
      </w:pPr>
    </w:p>
    <w:bookmarkStart w:id="24" w:name="page25"/>
    <w:bookmarkEnd w:id="24"/>
    <w:p>
      <w:pPr>
        <w:jc w:val="right"/>
        <w:ind w:right="9759"/>
        <w:spacing w:after="0"/>
        <w:rPr>
          <w:sz w:val="20"/>
          <w:szCs w:val="20"/>
          <w:color w:val="auto"/>
        </w:rPr>
      </w:pPr>
      <w:r>
        <w:rPr>
          <w:rFonts w:ascii="Courier New" w:cs="Courier New" w:eastAsia="Courier New" w:hAnsi="Courier New"/>
          <w:sz w:val="15"/>
          <w:szCs w:val="15"/>
          <w:color w:val="auto"/>
        </w:rPr>
        <w:t>5</w:t>
      </w:r>
    </w:p>
    <w:p>
      <w:pPr>
        <w:spacing w:after="0" w:line="6" w:lineRule="exact"/>
        <w:rPr>
          <w:sz w:val="20"/>
          <w:szCs w:val="20"/>
          <w:color w:val="auto"/>
        </w:rPr>
      </w:pPr>
    </w:p>
    <w:p>
      <w:pPr>
        <w:jc w:val="right"/>
        <w:ind w:right="9759"/>
        <w:spacing w:after="0"/>
        <w:rPr>
          <w:sz w:val="20"/>
          <w:szCs w:val="20"/>
          <w:color w:val="auto"/>
        </w:rPr>
      </w:pPr>
      <w:r>
        <w:rPr>
          <w:rFonts w:ascii="Courier New" w:cs="Courier New" w:eastAsia="Courier New" w:hAnsi="Courier New"/>
          <w:sz w:val="15"/>
          <w:szCs w:val="15"/>
          <w:color w:val="auto"/>
        </w:rPr>
        <w:t>1000</w:t>
      </w:r>
    </w:p>
    <w:p>
      <w:pPr>
        <w:spacing w:after="0" w:line="35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6-MOS</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DEC-31-1998</w:t>
      </w:r>
    </w:p>
    <w:p>
      <w:pPr>
        <w:spacing w:after="0" w:line="6"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JAN-01-1998</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JUN-30-1998</w:t>
      </w:r>
    </w:p>
    <w:p>
      <w:pPr>
        <w:spacing w:after="0" w:line="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22,538</w:t>
      </w:r>
    </w:p>
    <w:p>
      <w:pPr>
        <w:spacing w:after="0" w:line="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94,884</w:t>
      </w:r>
    </w:p>
    <w:p>
      <w:pPr>
        <w:spacing w:after="0" w:line="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12,481</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88,398</w:t>
      </w:r>
    </w:p>
    <w:p>
      <w:pPr>
        <w:spacing w:after="0" w:line="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60,464</w:t>
      </w:r>
    </w:p>
    <w:p>
      <w:pPr>
        <w:spacing w:after="0" w:line="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28,304</w:t>
      </w:r>
    </w:p>
    <w:p>
      <w:pPr>
        <w:spacing w:after="0" w:line="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165,119</w:t>
      </w:r>
    </w:p>
    <w:p>
      <w:pPr>
        <w:spacing w:after="0" w:line="6"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8,513</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31</w:t>
      </w:r>
    </w:p>
    <w:p>
      <w:pPr>
        <w:spacing w:after="0" w:line="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137,741</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165,119</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23,445</w:t>
      </w:r>
    </w:p>
    <w:p>
      <w:pPr>
        <w:spacing w:after="0" w:line="6" w:lineRule="exact"/>
        <w:rPr>
          <w:sz w:val="20"/>
          <w:szCs w:val="20"/>
          <w:color w:val="auto"/>
        </w:rPr>
      </w:pPr>
    </w:p>
    <w:p>
      <w:pPr>
        <w:jc w:val="right"/>
        <w:ind w:right="7019"/>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jc w:val="right"/>
        <w:ind w:right="8019"/>
        <w:spacing w:after="0"/>
        <w:rPr>
          <w:sz w:val="20"/>
          <w:szCs w:val="20"/>
          <w:color w:val="auto"/>
        </w:rPr>
      </w:pPr>
      <w:r>
        <w:rPr>
          <w:rFonts w:ascii="Courier New" w:cs="Courier New" w:eastAsia="Courier New" w:hAnsi="Courier New"/>
          <w:sz w:val="15"/>
          <w:szCs w:val="15"/>
          <w:color w:val="auto"/>
        </w:rPr>
        <w:t>24,906</w:t>
      </w:r>
    </w:p>
    <w:p>
      <w:pPr>
        <w:spacing w:after="0" w:line="6" w:lineRule="exact"/>
        <w:rPr>
          <w:sz w:val="20"/>
          <w:szCs w:val="20"/>
          <w:color w:val="auto"/>
        </w:rPr>
      </w:pPr>
    </w:p>
    <w:p>
      <w:pPr>
        <w:jc w:val="right"/>
        <w:ind w:right="8019"/>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228</w:t>
      </w:r>
    </w:p>
    <w:p>
      <w:pPr>
        <w:spacing w:after="0" w:line="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(1,689)</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(1,689)</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(1,689)</w:t>
      </w:r>
    </w:p>
    <w:p>
      <w:pPr>
        <w:spacing w:after="0" w:line="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(0.05)</w:t>
      </w:r>
    </w:p>
    <w:p>
      <w:pPr>
        <w:spacing w:after="0" w:line="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(0.05)</w:t>
      </w:r>
    </w:p>
    <w:sectPr>
      <w:pgSz w:w="11900" w:h="16838" w:orient="portrait"/>
      <w:cols w:equalWidth="0" w:num="1">
        <w:col w:w="10139"/>
      </w:cols>
      <w:pgMar w:left="320" w:top="6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6"/>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6"/>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o"/>
      <w:numFmt w:val="bullet"/>
      <w:start w:val="1"/>
    </w:lvl>
  </w:abstractNum>
  <w:abstractNum w:abstractNumId="11">
    <w:nsid w:val="4E6AFB66"/>
    <w:multiLevelType w:val="hybridMultilevel"/>
    <w:lvl w:ilvl="0">
      <w:lvlJc w:val="left"/>
      <w:lvlText w:val="o"/>
      <w:numFmt w:val="bullet"/>
      <w:start w:val="1"/>
    </w:lvl>
  </w:abstractNum>
  <w:abstractNum w:abstractNumId="12">
    <w:nsid w:val="25E45D32"/>
    <w:multiLevelType w:val="hybridMultilevel"/>
    <w:lvl w:ilvl="0">
      <w:lvlJc w:val="left"/>
      <w:lvlText w:val="o"/>
      <w:numFmt w:val="bullet"/>
      <w:start w:val="1"/>
    </w:lvl>
  </w:abstractNum>
  <w:abstractNum w:abstractNumId="13">
    <w:nsid w:val="519B500D"/>
    <w:multiLevelType w:val="hybridMultilevel"/>
    <w:lvl w:ilvl="0">
      <w:lvlJc w:val="left"/>
      <w:lvlText w:val="%1"/>
      <w:numFmt w:val="upperLetter"/>
      <w:start w:val="35"/>
    </w:lvl>
  </w:abstractNum>
  <w:abstractNum w:abstractNumId="14">
    <w:nsid w:val="431BD7B7"/>
    <w:multiLevelType w:val="hybridMultilevel"/>
    <w:lvl w:ilvl="0">
      <w:lvlJc w:val="left"/>
      <w:lvlText w:val="&amp;"/>
      <w:numFmt w:val="bullet"/>
      <w:start w:val="1"/>
    </w:lvl>
  </w:abstractNum>
  <w:abstractNum w:abstractNumId="15">
    <w:nsid w:val="3F2DBA31"/>
    <w:multiLevelType w:val="hybridMultilevel"/>
    <w:lvl w:ilvl="0">
      <w:lvlJc w:val="left"/>
      <w:lvlText w:val="o"/>
      <w:numFmt w:val="bullet"/>
      <w:start w:val="1"/>
    </w:lvl>
  </w:abstractNum>
  <w:abstractNum w:abstractNumId="16">
    <w:nsid w:val="7C83E458"/>
    <w:multiLevelType w:val="hybridMultilevel"/>
    <w:lvl w:ilvl="0">
      <w:lvlJc w:val="left"/>
      <w:lvlText w:val="o"/>
      <w:numFmt w:val="bullet"/>
      <w:start w:val="1"/>
    </w:lvl>
  </w:abstractNum>
  <w:abstractNum w:abstractNumId="17">
    <w:nsid w:val="257130A3"/>
    <w:multiLevelType w:val="hybridMultilevel"/>
    <w:lvl w:ilvl="0">
      <w:lvlJc w:val="left"/>
      <w:lvlText w:val="o"/>
      <w:numFmt w:val="bullet"/>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2019-12-19T22:53:57Z</dcterms:created>
  <dcterms:modified xsi:type="dcterms:W3CDTF">2019-12-19T22:53:57Z</dcterms:modified>
</cp:coreProperties>
</file>