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November 2, 2023 (November 2, 2023)</w:t>
      </w:r>
    </w:p>
    <w:p>
      <w:pPr>
        <w:spacing w:after="0" w:line="29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48"/>
        </w:trPr>
        <w:tc>
          <w:tcPr>
            <w:tcW w:w="3160" w:type="dxa"/>
            <w:vAlign w:val="bottom"/>
          </w:tcPr>
          <w:p>
            <w:pPr>
              <w:jc w:val="center"/>
              <w:ind w:right="559"/>
              <w:spacing w:after="0"/>
              <w:rPr>
                <w:sz w:val="20"/>
                <w:szCs w:val="20"/>
                <w:color w:val="auto"/>
              </w:rPr>
            </w:pPr>
            <w:r>
              <w:rPr>
                <w:rFonts w:ascii="Arial" w:cs="Arial" w:eastAsia="Arial" w:hAnsi="Arial"/>
                <w:sz w:val="18"/>
                <w:szCs w:val="18"/>
                <w:b w:val="1"/>
                <w:bCs w:val="1"/>
                <w:color w:val="auto"/>
                <w:w w:val="92"/>
              </w:rPr>
              <w:t>New York</w:t>
            </w:r>
          </w:p>
        </w:tc>
        <w:tc>
          <w:tcPr>
            <w:tcW w:w="3000" w:type="dxa"/>
            <w:vAlign w:val="bottom"/>
          </w:tcPr>
          <w:p>
            <w:pPr>
              <w:jc w:val="right"/>
              <w:ind w:right="1079"/>
              <w:spacing w:after="0"/>
              <w:rPr>
                <w:sz w:val="20"/>
                <w:szCs w:val="20"/>
                <w:color w:val="auto"/>
              </w:rPr>
            </w:pPr>
            <w:r>
              <w:rPr>
                <w:rFonts w:ascii="Arial" w:cs="Arial" w:eastAsia="Arial" w:hAnsi="Arial"/>
                <w:sz w:val="18"/>
                <w:szCs w:val="18"/>
                <w:b w:val="1"/>
                <w:bCs w:val="1"/>
                <w:color w:val="auto"/>
              </w:rPr>
              <w:t>000-19034</w:t>
            </w:r>
          </w:p>
        </w:tc>
        <w:tc>
          <w:tcPr>
            <w:tcW w:w="2860" w:type="dxa"/>
            <w:vAlign w:val="bottom"/>
          </w:tcPr>
          <w:p>
            <w:pPr>
              <w:jc w:val="right"/>
              <w:ind w:right="519"/>
              <w:spacing w:after="0"/>
              <w:rPr>
                <w:sz w:val="20"/>
                <w:szCs w:val="20"/>
                <w:color w:val="auto"/>
              </w:rPr>
            </w:pPr>
            <w:r>
              <w:rPr>
                <w:rFonts w:ascii="Arial" w:cs="Arial" w:eastAsia="Arial" w:hAnsi="Arial"/>
                <w:sz w:val="18"/>
                <w:szCs w:val="18"/>
                <w:b w:val="1"/>
                <w:bCs w:val="1"/>
                <w:color w:val="auto"/>
              </w:rPr>
              <w:t>13-3444607</w:t>
            </w:r>
          </w:p>
        </w:tc>
      </w:tr>
      <w:tr>
        <w:trPr>
          <w:trHeight w:val="204"/>
        </w:trPr>
        <w:tc>
          <w:tcPr>
            <w:tcW w:w="3160" w:type="dxa"/>
            <w:vAlign w:val="bottom"/>
          </w:tcPr>
          <w:p>
            <w:pPr>
              <w:jc w:val="center"/>
              <w:ind w:right="559"/>
              <w:spacing w:after="0"/>
              <w:rPr>
                <w:sz w:val="20"/>
                <w:szCs w:val="20"/>
                <w:color w:val="auto"/>
              </w:rPr>
            </w:pPr>
            <w:r>
              <w:rPr>
                <w:rFonts w:ascii="Arial" w:cs="Arial" w:eastAsia="Arial" w:hAnsi="Arial"/>
                <w:sz w:val="14"/>
                <w:szCs w:val="14"/>
                <w:color w:val="auto"/>
                <w:w w:val="95"/>
              </w:rPr>
              <w:t>(State or other jurisdiction of incorporation)</w:t>
            </w:r>
          </w:p>
        </w:tc>
        <w:tc>
          <w:tcPr>
            <w:tcW w:w="3000" w:type="dxa"/>
            <w:vAlign w:val="bottom"/>
          </w:tcPr>
          <w:p>
            <w:pPr>
              <w:jc w:val="center"/>
              <w:ind w:right="19"/>
              <w:spacing w:after="0"/>
              <w:rPr>
                <w:sz w:val="20"/>
                <w:szCs w:val="20"/>
                <w:color w:val="auto"/>
              </w:rPr>
            </w:pPr>
            <w:r>
              <w:rPr>
                <w:rFonts w:ascii="Arial" w:cs="Arial" w:eastAsia="Arial" w:hAnsi="Arial"/>
                <w:sz w:val="14"/>
                <w:szCs w:val="14"/>
                <w:color w:val="auto"/>
                <w:w w:val="94"/>
              </w:rPr>
              <w:t>(Commission File Number)</w:t>
            </w:r>
          </w:p>
        </w:tc>
        <w:tc>
          <w:tcPr>
            <w:tcW w:w="2860" w:type="dxa"/>
            <w:vAlign w:val="bottom"/>
          </w:tcPr>
          <w:p>
            <w:pPr>
              <w:jc w:val="center"/>
              <w:ind w:left="699"/>
              <w:spacing w:after="0"/>
              <w:rPr>
                <w:sz w:val="20"/>
                <w:szCs w:val="20"/>
                <w:color w:val="auto"/>
              </w:rPr>
            </w:pPr>
            <w:r>
              <w:rPr>
                <w:rFonts w:ascii="Arial" w:cs="Arial" w:eastAsia="Arial" w:hAnsi="Arial"/>
                <w:sz w:val="14"/>
                <w:szCs w:val="14"/>
                <w:color w:val="auto"/>
                <w:w w:val="96"/>
              </w:rPr>
              <w:t>(I.R.S. Employer Identification No.)</w:t>
            </w:r>
          </w:p>
        </w:tc>
      </w:tr>
    </w:tbl>
    <w:p>
      <w:pPr>
        <w:spacing w:after="0" w:line="1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00" w:lineRule="exact"/>
        <w:rPr>
          <w:sz w:val="24"/>
          <w:szCs w:val="24"/>
          <w:color w:val="auto"/>
        </w:rPr>
      </w:pP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7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Arial" w:cs="Arial" w:eastAsia="Arial" w:hAnsi="Arial"/>
                <w:sz w:val="18"/>
                <w:szCs w:val="18"/>
                <w:i w:val="1"/>
                <w:iCs w:val="1"/>
                <w:color w:val="auto"/>
                <w:w w:val="90"/>
              </w:rPr>
              <w:t>Title of each class</w:t>
            </w:r>
          </w:p>
        </w:tc>
        <w:tc>
          <w:tcPr>
            <w:tcW w:w="3120" w:type="dxa"/>
            <w:vAlign w:val="bottom"/>
            <w:gridSpan w:val="3"/>
          </w:tcPr>
          <w:p>
            <w:pPr>
              <w:jc w:val="center"/>
              <w:ind w:right="620"/>
              <w:spacing w:after="0"/>
              <w:rPr>
                <w:sz w:val="20"/>
                <w:szCs w:val="20"/>
                <w:color w:val="auto"/>
              </w:rPr>
            </w:pPr>
            <w:r>
              <w:rPr>
                <w:rFonts w:ascii="Arial" w:cs="Arial" w:eastAsia="Arial" w:hAnsi="Arial"/>
                <w:sz w:val="18"/>
                <w:szCs w:val="18"/>
                <w:i w:val="1"/>
                <w:iCs w:val="1"/>
                <w:color w:val="auto"/>
                <w:w w:val="91"/>
              </w:rPr>
              <w:t>Trading Symbol(s)</w:t>
            </w:r>
          </w:p>
        </w:tc>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9"/>
              </w:rPr>
              <w:t>REGN</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310"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243"/>
        <w:spacing w:after="0" w:line="263" w:lineRule="auto"/>
        <w:rPr>
          <w:sz w:val="20"/>
          <w:szCs w:val="20"/>
          <w:color w:val="auto"/>
        </w:rPr>
      </w:pPr>
      <w:r>
        <w:rPr>
          <w:rFonts w:ascii="Arial" w:cs="Arial" w:eastAsia="Arial" w:hAnsi="Arial"/>
          <w:sz w:val="18"/>
          <w:szCs w:val="18"/>
          <w:color w:val="auto"/>
        </w:rPr>
        <w:t>On November 2, 2023, Regeneron Pharmaceuticals, Inc. issued a press release announcing its financial and operating results for the quarter ended September 30, 2023. A copy of the press release is being furnished to the Securities and Exchange Commission as Exhibit 99.1 to this Current Report on Form 8-K and is incorporated by reference to this Item 2.02.</w:t>
      </w:r>
    </w:p>
    <w:p>
      <w:pPr>
        <w:spacing w:after="0" w:line="211" w:lineRule="exact"/>
        <w:rPr>
          <w:sz w:val="20"/>
          <w:szCs w:val="20"/>
          <w:color w:val="auto"/>
        </w:rPr>
      </w:pPr>
    </w:p>
    <w:p>
      <w:pPr>
        <w:ind w:right="40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FF"/>
        </w:rPr>
        <w:t>Press Release, dated November 2, 2023, Reporting Third Quarter 2023 Financial and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34" w:right="55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5" w:lineRule="exact"/>
        <w:rPr>
          <w:sz w:val="20"/>
          <w:szCs w:val="20"/>
          <w:color w:val="auto"/>
        </w:rPr>
      </w:pPr>
    </w:p>
    <w:p>
      <w:pPr>
        <w:ind w:left="2520"/>
        <w:spacing w:after="0"/>
        <w:tabs>
          <w:tab w:leader="none" w:pos="486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7"/>
          <w:szCs w:val="17"/>
          <w:color w:val="auto"/>
        </w:rPr>
        <w:t>REGENERON PHARMACEUTICALS, INC.</w:t>
      </w:r>
    </w:p>
    <w:p>
      <w:pPr>
        <w:spacing w:after="0" w:line="293" w:lineRule="exact"/>
        <w:rPr>
          <w:sz w:val="20"/>
          <w:szCs w:val="20"/>
          <w:color w:val="auto"/>
        </w:rPr>
      </w:pPr>
    </w:p>
    <w:tbl>
      <w:tblPr>
        <w:tblLayout w:type="fixed"/>
        <w:tblInd w:w="48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0520"/>
          </w:cols>
          <w:pgMar w:left="320" w:top="89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2023 Financial and Operating Results</w:t>
      </w:r>
    </w:p>
    <w:p>
      <w:pPr>
        <w:spacing w:after="0" w:line="178"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2023 revenues increased 15% to $3.36 billion versus third quarter 2022</w:t>
      </w:r>
    </w:p>
    <w:p>
      <w:pPr>
        <w:spacing w:after="0" w:line="25" w:lineRule="exact"/>
        <w:rPr>
          <w:rFonts w:ascii="Arial" w:cs="Arial" w:eastAsia="Arial" w:hAnsi="Arial"/>
          <w:sz w:val="22"/>
          <w:szCs w:val="22"/>
          <w:i w:val="1"/>
          <w:iCs w:val="1"/>
          <w:color w:val="auto"/>
        </w:rPr>
      </w:pPr>
    </w:p>
    <w:p>
      <w:pPr>
        <w:ind w:left="340" w:right="440" w:hanging="332"/>
        <w:spacing w:after="0" w:line="215"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2023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 (recorded by Sanofi) increased 33% to $3.10 billion versus third quarter 2022</w:t>
      </w:r>
    </w:p>
    <w:p>
      <w:pPr>
        <w:ind w:left="320" w:hanging="312"/>
        <w:spacing w:after="0" w:line="199" w:lineRule="auto"/>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2023 U.S. net sales for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and EYLEA HD were $1.49 billion, including $43 million from</w:t>
      </w:r>
    </w:p>
    <w:p>
      <w:pPr>
        <w:ind w:left="340"/>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EYLEA HD</w:t>
      </w:r>
    </w:p>
    <w:p>
      <w:pPr>
        <w:spacing w:after="0" w:line="3" w:lineRule="exact"/>
        <w:rPr>
          <w:rFonts w:ascii="Arial" w:cs="Arial" w:eastAsia="Arial" w:hAnsi="Arial"/>
          <w:sz w:val="22"/>
          <w:szCs w:val="22"/>
          <w:i w:val="1"/>
          <w:iCs w:val="1"/>
          <w:color w:val="auto"/>
        </w:rPr>
      </w:pPr>
    </w:p>
    <w:p>
      <w:pPr>
        <w:ind w:left="320" w:hanging="312"/>
        <w:spacing w:after="0" w:line="191" w:lineRule="auto"/>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2023 Libtayo</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 increased 62% to $232 million versus third quarter 2022</w:t>
      </w:r>
    </w:p>
    <w:p>
      <w:pPr>
        <w:ind w:left="340" w:right="52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2023 GAAP diluted EPS of $8.89 and non-GAAP diluted EPS</w:t>
      </w:r>
      <w:r>
        <w:rPr>
          <w:rFonts w:ascii="Arial" w:cs="Arial" w:eastAsia="Arial" w:hAnsi="Arial"/>
          <w:sz w:val="28"/>
          <w:szCs w:val="28"/>
          <w:i w:val="1"/>
          <w:iCs w:val="1"/>
          <w:color w:val="auto"/>
          <w:vertAlign w:val="superscript"/>
        </w:rPr>
        <w:t>(a)</w:t>
      </w:r>
      <w:r>
        <w:rPr>
          <w:rFonts w:ascii="Arial" w:cs="Arial" w:eastAsia="Arial" w:hAnsi="Arial"/>
          <w:sz w:val="22"/>
          <w:szCs w:val="22"/>
          <w:i w:val="1"/>
          <w:iCs w:val="1"/>
          <w:color w:val="auto"/>
        </w:rPr>
        <w:t xml:space="preserve"> of $11.59; includes unfavorable $0.77 impact from acquired IPR&amp;D charge</w:t>
      </w:r>
    </w:p>
    <w:p>
      <w:pPr>
        <w:ind w:left="340" w:right="380" w:hanging="332"/>
        <w:spacing w:after="0" w:line="202"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EYLEA HD for wet age-related macular degeneration (wAMD), diabetic macular edema (DME), and diabetic retinopathy (DR) and Veopoz</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for CHAPLE disease</w:t>
      </w:r>
    </w:p>
    <w:p>
      <w:pPr>
        <w:spacing w:after="0" w:line="2" w:lineRule="exact"/>
        <w:rPr>
          <w:rFonts w:ascii="Arial" w:cs="Arial" w:eastAsia="Arial" w:hAnsi="Arial"/>
          <w:sz w:val="22"/>
          <w:szCs w:val="22"/>
          <w:i w:val="1"/>
          <w:iCs w:val="1"/>
          <w:color w:val="auto"/>
        </w:rPr>
      </w:pPr>
    </w:p>
    <w:p>
      <w:pPr>
        <w:ind w:left="340" w:right="920" w:hanging="332"/>
        <w:spacing w:after="0" w:line="23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Two-year results reported for EYLEA HD from pivotal PULSAR trial demonstrated durable vision gains at extended dosing intervals in wAMD</w:t>
      </w:r>
    </w:p>
    <w:p>
      <w:pPr>
        <w:spacing w:after="0" w:line="2" w:lineRule="exact"/>
        <w:rPr>
          <w:rFonts w:ascii="Arial" w:cs="Arial" w:eastAsia="Arial" w:hAnsi="Arial"/>
          <w:sz w:val="22"/>
          <w:szCs w:val="22"/>
          <w:i w:val="1"/>
          <w:iCs w:val="1"/>
          <w:color w:val="auto"/>
        </w:rPr>
      </w:pPr>
    </w:p>
    <w:p>
      <w:pPr>
        <w:ind w:left="340" w:right="80" w:hanging="332"/>
        <w:spacing w:after="0" w:line="248" w:lineRule="auto"/>
        <w:tabs>
          <w:tab w:leader="none" w:pos="335"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FDA accepted for priority review BLA for odronextamab for follicular lymphoma (FL) and diffuse large B-cell lymphoma (DLBCL) and sBLA for Dupixent in eosinophilic esophagitis (EoE) in children aged 1 to 11 years of age</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Acquisition of Decibel Therapeutics completed, strengthening genetic medicines portfolio</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color w:val="auto"/>
        </w:rPr>
        <w:t xml:space="preserve">Tarrytown, New York (November 2, 2023)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2023 and provided a business update.</w:t>
      </w:r>
    </w:p>
    <w:p>
      <w:pPr>
        <w:spacing w:after="0" w:line="188" w:lineRule="exact"/>
        <w:rPr>
          <w:sz w:val="20"/>
          <w:szCs w:val="20"/>
          <w:color w:val="auto"/>
        </w:rPr>
      </w:pPr>
    </w:p>
    <w:p>
      <w:pPr>
        <w:ind w:right="280"/>
        <w:spacing w:after="0" w:line="233" w:lineRule="auto"/>
        <w:rPr>
          <w:sz w:val="20"/>
          <w:szCs w:val="20"/>
          <w:color w:val="auto"/>
        </w:rPr>
      </w:pPr>
      <w:r>
        <w:rPr>
          <w:rFonts w:ascii="Arial" w:cs="Arial" w:eastAsia="Arial" w:hAnsi="Arial"/>
          <w:sz w:val="22"/>
          <w:szCs w:val="22"/>
          <w:color w:val="auto"/>
        </w:rPr>
        <w:t>"We have continued our momentum in the third quarter of 2023 with double-digit year-over-year revenue growth, driven by strong Dupixent and Libtayo performance, as well as strong initial uptake of EYLEA HD following its late August launch," said Leonard S. Schleifer, M.D., Ph.D., Board Co-Chair, President and Chief Executive Officer of Regeneron. "We are also making significant progress across our diversified pipeline, with FDA priority review designations for odronextamab in relapsed/refractory (R/R) follicular lymphoma and R/R diffuse large B-cell lymphoma as well as for Dupixent in pediatric eosinophilic esophagitis, while also adding a promising gene therapy platform to our portfolio through the recent acquisition of Decibel Therapeutics."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2023</w:t>
            </w:r>
          </w:p>
        </w:tc>
        <w:tc>
          <w:tcPr>
            <w:tcW w:w="220" w:type="dxa"/>
            <w:vAlign w:val="bottom"/>
          </w:tcPr>
          <w:p>
            <w:pPr>
              <w:spacing w:after="0"/>
              <w:rPr>
                <w:sz w:val="23"/>
                <w:szCs w:val="23"/>
                <w:color w:val="auto"/>
              </w:rPr>
            </w:pPr>
          </w:p>
        </w:tc>
        <w:tc>
          <w:tcPr>
            <w:tcW w:w="122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2022</w:t>
            </w: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3,363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2,936</w:t>
            </w:r>
          </w:p>
        </w:tc>
        <w:tc>
          <w:tcPr>
            <w:tcW w:w="12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15 %</w:t>
            </w:r>
          </w:p>
        </w:tc>
      </w:tr>
      <w:tr>
        <w:trPr>
          <w:trHeight w:val="254"/>
        </w:trPr>
        <w:tc>
          <w:tcPr>
            <w:tcW w:w="498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1,008</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1,316</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(23 %)</w:t>
            </w:r>
          </w:p>
        </w:tc>
      </w:tr>
      <w:tr>
        <w:trPr>
          <w:trHeight w:val="259"/>
        </w:trPr>
        <w:tc>
          <w:tcPr>
            <w:tcW w:w="4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11.66</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(24 %)</w:t>
            </w:r>
          </w:p>
        </w:tc>
      </w:tr>
      <w:tr>
        <w:trPr>
          <w:trHeight w:val="256"/>
        </w:trPr>
        <w:tc>
          <w:tcPr>
            <w:tcW w:w="498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1,329</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1,270</w:t>
            </w:r>
          </w:p>
        </w:tc>
        <w:tc>
          <w:tcPr>
            <w:tcW w:w="12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5 %</w:t>
            </w:r>
          </w:p>
        </w:tc>
      </w:tr>
      <w:tr>
        <w:trPr>
          <w:trHeight w:val="257"/>
        </w:trPr>
        <w:tc>
          <w:tcPr>
            <w:tcW w:w="498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11.14</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4 %</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ind w:right="120"/>
        <w:spacing w:after="0" w:line="238" w:lineRule="auto"/>
        <w:rPr>
          <w:sz w:val="20"/>
          <w:szCs w:val="20"/>
          <w:color w:val="auto"/>
        </w:rPr>
      </w:pPr>
      <w:r>
        <w:rPr>
          <w:rFonts w:ascii="Arial" w:cs="Arial" w:eastAsia="Arial" w:hAnsi="Arial"/>
          <w:sz w:val="22"/>
          <w:szCs w:val="22"/>
          <w:color w:val="auto"/>
        </w:rPr>
        <w:t>"Our third quarter financial results reflect robust execution across the enterprise, including notable pipeline advances and strong commercial performance," said Robert E. Landry, Executive Vice President, Finance and Chief Financial Officer of Regeneron. "We also continued to deliver on our capital allocation priorities, primarily investing in internal and external innovation coupled with opportunistic share repurchases."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780"/>
        <w:spacing w:after="0" w:line="286" w:lineRule="auto"/>
        <w:rPr>
          <w:sz w:val="20"/>
          <w:szCs w:val="20"/>
          <w:color w:val="auto"/>
        </w:rPr>
      </w:pPr>
      <w:r>
        <w:rPr>
          <w:rFonts w:ascii="Arial" w:cs="Arial" w:eastAsia="Arial" w:hAnsi="Arial"/>
          <w:sz w:val="21"/>
          <w:szCs w:val="21"/>
          <w:color w:val="auto"/>
        </w:rPr>
        <w:t>Regeneron has approximately 35 product candidates in clinical development, including a number of marketed products for which it is investigating additional indications. Updates from the clinical pipeline include: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23" w:lineRule="exact"/>
        <w:rPr>
          <w:sz w:val="20"/>
          <w:szCs w:val="20"/>
          <w:color w:val="auto"/>
        </w:rPr>
      </w:pPr>
    </w:p>
    <w:p>
      <w:pPr>
        <w:ind w:left="340" w:right="200" w:hanging="332"/>
        <w:spacing w:after="0" w:line="248"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August 2023, the U.S. Food and Drug Administration (FDA) approved EYLEA HD for the treatment of patients with wAMD, DME, and DR.</w:t>
      </w:r>
    </w:p>
    <w:p>
      <w:pPr>
        <w:ind w:left="340" w:hanging="332"/>
        <w:spacing w:after="0" w:line="249"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announced top-line, two-year (96 weeks) data from the pivotal PULSAR trial in patients with wAMD. The longer-term data follow the positive two-year results from the PHOTON trial in DME, with PULSAR similarly demonstrating that the vast majority of patients with wAMD were able to maintain or further extend the dosing intervals. In addition, visual gains for EYLEA HD remained largely consistent with those observed in the first year of the trial. In PULSAR, the safety of EYLEA HD continued to be similar to EYLEA through two years and remained consistent with the known safety profile of EYLEA from previous clinical trials for wAMD. These results were also presented at the 23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EURETINA Congress in October 2023.</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0" w:lineRule="exact"/>
        <w:rPr>
          <w:sz w:val="20"/>
          <w:szCs w:val="20"/>
          <w:color w:val="auto"/>
        </w:rPr>
      </w:pPr>
    </w:p>
    <w:p>
      <w:pPr>
        <w:ind w:left="340" w:right="64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September 2023, the Ministry of Health, Labour and Welfare (MHLW) in Japan approved Dupixent for the treatment of pediatric and adolescent patients with atopic dermatitis.</w:t>
      </w:r>
    </w:p>
    <w:p>
      <w:pPr>
        <w:ind w:left="340" w:right="260" w:hanging="332"/>
        <w:spacing w:after="0" w:line="245"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accepted for priority review the supplemental Biologics License Application (sBLA) for the treatment of children aged 1 to 11 years with EoE, with a target action date of January 31, 2024. The Company and Sanofi also presented, at the American College of Gastroenterology (ACG) 2023 Annual Scientific Meeting, positive results from a Phase 3 trial that showed consistent efficacy and safety for up to one year (52 weeks) in children aged 1 to 11 years with EoE.</w:t>
      </w:r>
    </w:p>
    <w:p>
      <w:pPr>
        <w:spacing w:after="0" w:line="4" w:lineRule="exact"/>
        <w:rPr>
          <w:rFonts w:ascii="Arial" w:cs="Arial" w:eastAsia="Arial" w:hAnsi="Arial"/>
          <w:sz w:val="22"/>
          <w:szCs w:val="22"/>
          <w:color w:val="auto"/>
        </w:rPr>
      </w:pPr>
    </w:p>
    <w:p>
      <w:pPr>
        <w:ind w:left="340" w:right="220" w:hanging="332"/>
        <w:spacing w:after="0" w:line="24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2023, the FDA issued a Complete Response Letter (CRL) for the sBLA for Dupixent in chronic spontaneous urticaria (CSU). The CRL states that additional efficacy data are required to support an approval; it did not identify any issues with safety or manufacturing. An ongoing Phase 3 clinical trial (in biologic-naïve patients) continues to enroll patients, with results expected in late 2024.</w:t>
      </w:r>
    </w:p>
    <w:p>
      <w:pPr>
        <w:spacing w:after="0" w:line="2" w:lineRule="exact"/>
        <w:rPr>
          <w:rFonts w:ascii="Arial" w:cs="Arial" w:eastAsia="Arial" w:hAnsi="Arial"/>
          <w:sz w:val="22"/>
          <w:szCs w:val="22"/>
          <w:color w:val="auto"/>
        </w:rPr>
      </w:pPr>
    </w:p>
    <w:p>
      <w:pPr>
        <w:ind w:left="340" w:hanging="332"/>
        <w:spacing w:after="0" w:line="249"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Based on recent feedback from the FDA, in addition to the positive results of the Phase 3 BOREAS study, a positive interim analysis of the replicate Phase 3 NOTUS study in chronic obstructive pulmonary disease (COPD) would enable an sBLA submission. The independent data monitoring committee will conduct an interim analysis of the NOTUS study later this year.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spacing w:after="0" w:line="20" w:lineRule="exact"/>
        <w:rPr>
          <w:sz w:val="20"/>
          <w:szCs w:val="20"/>
          <w:color w:val="auto"/>
        </w:rPr>
      </w:pPr>
    </w:p>
    <w:p>
      <w:pPr>
        <w:ind w:left="340" w:right="300" w:hanging="332"/>
        <w:spacing w:after="0" w:line="24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September 2023, the FDA accepted for priority review the BLA for odronextamab, a bispecific antibody targeting CD20 and CD3, to treat adult patients with relapsed/refractory FL and relapsed/refractory DLBCL who have progressed after at least two prior systemic</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ind w:left="340" w:right="260"/>
        <w:spacing w:after="0" w:line="250" w:lineRule="auto"/>
        <w:rPr>
          <w:sz w:val="20"/>
          <w:szCs w:val="20"/>
          <w:color w:val="auto"/>
        </w:rPr>
      </w:pPr>
      <w:r>
        <w:rPr>
          <w:rFonts w:ascii="Arial" w:cs="Arial" w:eastAsia="Arial" w:hAnsi="Arial"/>
          <w:sz w:val="22"/>
          <w:szCs w:val="22"/>
          <w:color w:val="auto"/>
        </w:rPr>
        <w:t>therapies, with a target action date of March 31, 2024. A regulatory application for odronextamab has also been submitted in the European Union (EU).</w:t>
      </w:r>
    </w:p>
    <w:p>
      <w:pPr>
        <w:spacing w:after="0" w:line="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Phase 3 studies were initiated for odronextamab in earlier lines of FL and DLBCL.</w:t>
      </w:r>
    </w:p>
    <w:p>
      <w:pPr>
        <w:spacing w:after="0" w:line="6" w:lineRule="exact"/>
        <w:rPr>
          <w:rFonts w:ascii="Arial" w:cs="Arial" w:eastAsia="Arial" w:hAnsi="Arial"/>
          <w:sz w:val="22"/>
          <w:szCs w:val="22"/>
          <w:color w:val="auto"/>
        </w:rPr>
      </w:pPr>
    </w:p>
    <w:p>
      <w:pPr>
        <w:ind w:left="340" w:right="760" w:hanging="332"/>
        <w:spacing w:after="0" w:line="24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FDA granted Fast Track designation to fianlimab, an antibody to LAG-3, in combination with Libtayo (cemiplimab) for the first-line treatment of patients with metastatic melanoma (for which a Phase 3 study is ongoing).</w:t>
      </w:r>
    </w:p>
    <w:p>
      <w:pPr>
        <w:spacing w:after="0" w:line="2" w:lineRule="exact"/>
        <w:rPr>
          <w:rFonts w:ascii="Arial" w:cs="Arial" w:eastAsia="Arial" w:hAnsi="Arial"/>
          <w:sz w:val="22"/>
          <w:szCs w:val="22"/>
          <w:color w:val="auto"/>
        </w:rPr>
      </w:pPr>
    </w:p>
    <w:p>
      <w:pPr>
        <w:ind w:left="340" w:right="720" w:hanging="332"/>
        <w:spacing w:after="0" w:line="244"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3 study was initiated for linvoseltamab, a bispecific antibody targeting BCMA and CD3, in multiple myeloma.</w:t>
      </w:r>
    </w:p>
    <w:p>
      <w:pPr>
        <w:spacing w:after="0" w:line="1" w:lineRule="exact"/>
        <w:rPr>
          <w:rFonts w:ascii="Arial" w:cs="Arial" w:eastAsia="Arial" w:hAnsi="Arial"/>
          <w:sz w:val="22"/>
          <w:szCs w:val="22"/>
          <w:color w:val="auto"/>
        </w:rPr>
      </w:pPr>
    </w:p>
    <w:p>
      <w:pPr>
        <w:ind w:left="340" w:right="100" w:hanging="332"/>
        <w:spacing w:after="0" w:line="248"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Company presented key secondary endpoints, demonstrating encouraging event-free survival, from a Phase 2 trial with Libtayo as a neoadjuvant monotherapy in cutaneous squamous cell carcinoma (CSCC) at the European Society for Medical Oncology (ESMO) Congress 2023. These results were also concurrently published in </w:t>
      </w:r>
      <w:r>
        <w:rPr>
          <w:rFonts w:ascii="Arial" w:cs="Arial" w:eastAsia="Arial" w:hAnsi="Arial"/>
          <w:sz w:val="22"/>
          <w:szCs w:val="22"/>
          <w:i w:val="1"/>
          <w:iCs w:val="1"/>
          <w:color w:val="auto"/>
        </w:rPr>
        <w:t>The Lancet Oncology</w:t>
      </w:r>
      <w:r>
        <w:rPr>
          <w:rFonts w:ascii="Arial" w:cs="Arial" w:eastAsia="Arial" w:hAnsi="Arial"/>
          <w:sz w:val="22"/>
          <w:szCs w:val="22"/>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0" w:lineRule="exact"/>
        <w:rPr>
          <w:sz w:val="20"/>
          <w:szCs w:val="20"/>
          <w:color w:val="auto"/>
        </w:rPr>
      </w:pPr>
    </w:p>
    <w:p>
      <w:pPr>
        <w:ind w:left="340" w:right="20" w:hanging="332"/>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FDA approved Veopoz (pozelimab-bbfg), an antibody to C5, for the treatment of adult and pediatric patients 1 year of age and older with CHAPLE disease, also known as CD55-deficient protein-losing enteropathy. CHAPLE is an ultra-rare hereditary disease that can cause potentially life-threatening gastrointestinal and cardiovascular symptoms.</w:t>
      </w:r>
    </w:p>
    <w:p>
      <w:pPr>
        <w:spacing w:after="0" w:line="2" w:lineRule="exact"/>
        <w:rPr>
          <w:rFonts w:ascii="Arial" w:cs="Arial" w:eastAsia="Arial" w:hAnsi="Arial"/>
          <w:sz w:val="22"/>
          <w:szCs w:val="22"/>
          <w:color w:val="auto"/>
        </w:rPr>
      </w:pPr>
    </w:p>
    <w:p>
      <w:pPr>
        <w:ind w:left="340" w:right="240" w:hanging="332"/>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announced preliminary, positive safety and efficacy results from the first patient (&lt;2 years of age) dosed in the Phase 1/2 trial of DB-OTO, an AAV-based gene therapy, in children with profound genetic hearing loss due to mutations of the otoferlin gene.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Updates</w:t>
      </w:r>
    </w:p>
    <w:p>
      <w:pPr>
        <w:spacing w:after="0" w:line="30" w:lineRule="exact"/>
        <w:rPr>
          <w:sz w:val="20"/>
          <w:szCs w:val="20"/>
          <w:color w:val="auto"/>
        </w:rPr>
      </w:pPr>
    </w:p>
    <w:p>
      <w:pPr>
        <w:ind w:left="340" w:right="20" w:hanging="332"/>
        <w:spacing w:after="0" w:line="245"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September 2023, the Company completed its acquisition of Decibel Therapeutics, Inc. and paid $101 million in cash, and may also pay up to a maximum of approximately $97 million to Decibel shareholders upon achievement of certain clinical development and regulatory milestones for DB-OTO within specified time periods. The acquisition builds upon a prior collaboration between the companies and includes several ongoing gene therapy programs targeting different forms of congenital, monogenic hearing loss, including DB-OTO.</w:t>
      </w:r>
    </w:p>
    <w:p>
      <w:pPr>
        <w:spacing w:after="0" w:line="4" w:lineRule="exact"/>
        <w:rPr>
          <w:rFonts w:ascii="Arial" w:cs="Arial" w:eastAsia="Arial" w:hAnsi="Arial"/>
          <w:sz w:val="22"/>
          <w:szCs w:val="22"/>
          <w:color w:val="auto"/>
        </w:rPr>
      </w:pPr>
    </w:p>
    <w:p>
      <w:pPr>
        <w:ind w:left="340" w:right="100" w:hanging="332"/>
        <w:spacing w:after="0" w:line="245" w:lineRule="auto"/>
        <w:tabs>
          <w:tab w:leader="none" w:pos="335" w:val="left"/>
        </w:tabs>
        <w:numPr>
          <w:ilvl w:val="0"/>
          <w:numId w:val="8"/>
        </w:numPr>
        <w:rPr>
          <w:rFonts w:ascii="Arial" w:cs="Arial" w:eastAsia="Arial" w:hAnsi="Arial"/>
          <w:sz w:val="22"/>
          <w:szCs w:val="22"/>
          <w:b w:val="1"/>
          <w:bCs w:val="1"/>
          <w:i w:val="1"/>
          <w:iCs w:val="1"/>
          <w:color w:val="auto"/>
        </w:rPr>
      </w:pPr>
      <w:r>
        <w:rPr>
          <w:rFonts w:ascii="Arial" w:cs="Arial" w:eastAsia="Arial" w:hAnsi="Arial"/>
          <w:sz w:val="22"/>
          <w:szCs w:val="22"/>
          <w:color w:val="auto"/>
        </w:rPr>
        <w:t>In August 2023, the Company expanded its agreement with the Biomedical Advanced Research and Development Authority (BARDA) of the U.S. Department of Health and Human Services (HHS) to support clinical development, clinical manufacturing, and the regulatory licensure process of a next-generation COVID-19 monoclonal antibody therapy for the prevention of SARS-CoV-2 infection. The new contract has an estimated value of up to approximately $326 million of government funding for certain development activities.</w:t>
      </w:r>
    </w:p>
    <w:p>
      <w:pPr>
        <w:spacing w:after="0" w:line="4" w:lineRule="exact"/>
        <w:rPr>
          <w:rFonts w:ascii="Arial" w:cs="Arial" w:eastAsia="Arial" w:hAnsi="Arial"/>
          <w:sz w:val="22"/>
          <w:szCs w:val="22"/>
          <w:b w:val="1"/>
          <w:bCs w:val="1"/>
          <w:i w:val="1"/>
          <w:iCs w:val="1"/>
          <w:color w:val="auto"/>
        </w:rPr>
      </w:pPr>
    </w:p>
    <w:p>
      <w:pPr>
        <w:ind w:left="340" w:hanging="332"/>
        <w:spacing w:after="0" w:line="248"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In September 2023, the Company and Intellia Therapeutics, Inc. expanded their existing collaboration to develop additional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CRISPR-based gene editing therapies focused on neurological and muscular diseases. The collaboration will leverage the Company's proprietary antibody-targeted adeno-associated virus (AAV) vectors and delivery systems and Intellia’s proprietary Nme2 CRISPR/Cas9 (Nme2Cas9) systems adapted for viral vector delivery and designed to precisely modify a target gene.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17" w:lineRule="exact"/>
        <w:rPr>
          <w:sz w:val="20"/>
          <w:szCs w:val="20"/>
          <w:color w:val="auto"/>
        </w:rPr>
      </w:pPr>
    </w:p>
    <w:p>
      <w:pPr>
        <w:ind w:left="340" w:right="140" w:hanging="332"/>
        <w:spacing w:after="0" w:line="248" w:lineRule="auto"/>
        <w:tabs>
          <w:tab w:leader="none" w:pos="335"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Company is participating in Together for CHANGE</w:t>
      </w:r>
      <w:r>
        <w:rPr>
          <w:rFonts w:ascii="Arial" w:cs="Arial" w:eastAsia="Arial" w:hAnsi="Arial"/>
          <w:sz w:val="27"/>
          <w:szCs w:val="27"/>
          <w:color w:val="auto"/>
          <w:vertAlign w:val="superscript"/>
        </w:rPr>
        <w:t>™</w:t>
      </w:r>
      <w:r>
        <w:rPr>
          <w:rFonts w:ascii="Arial" w:cs="Arial" w:eastAsia="Arial" w:hAnsi="Arial"/>
          <w:sz w:val="21"/>
          <w:szCs w:val="21"/>
          <w:color w:val="auto"/>
        </w:rPr>
        <w:t>, a national health and education equity initiative established by Nashville, Tennessee-based Meharry Medical College. The Together for CHANGE initiative seeks to address inequities in science, technology, engineering, and mathematics (STEM) careers and research. In addition, the Company announced a five-year, $5 million strategic investment to bolster Nashville's STEM ecosystem through high-quality, equitable engagement programs for students and science teachers.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00" w:right="359" w:bottom="1440" w:gutter="0" w:footer="0" w:header="0"/>
        </w:sectPr>
      </w:pPr>
    </w:p>
    <w:bookmarkStart w:id="6" w:name="page7"/>
    <w:bookmarkEnd w:id="6"/>
    <w:p>
      <w:pPr>
        <w:jc w:val="both"/>
        <w:ind w:left="340" w:right="40" w:hanging="332"/>
        <w:spacing w:after="0" w:line="261" w:lineRule="auto"/>
        <w:tabs>
          <w:tab w:leader="none" w:pos="335"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Company announced that Robert E. Landry, Executive Vice President, Finance and Chief Financial Officer of Regeneron, will retire in February 2024. Christopher Fenimore, current Senior Vice President, Head of Accounting and Controller at Regeneron, will succeed Mr. Landry as Chief Financial Officer upon his retirement.</w:t>
      </w:r>
    </w:p>
    <w:p>
      <w:pPr>
        <w:ind w:left="340" w:hanging="332"/>
        <w:spacing w:after="0" w:line="251"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announced that Kathryn Guarini, Ph.D., and David P. Schenkein, M.D., joined the Company’s Board of Directors effective September 8, 2023. Dr. Guarini recently retired as Chief Information Officer of IBM. Dr. Schenkein is a General Partner and Co-lead of the Life Sciences team at GV (Google Ventures).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2023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2023</w:t>
            </w: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2022</w:t>
            </w:r>
          </w:p>
        </w:tc>
        <w:tc>
          <w:tcPr>
            <w:tcW w:w="150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r>
      <w:tr>
        <w:trPr>
          <w:trHeight w:val="254"/>
        </w:trPr>
        <w:tc>
          <w:tcPr>
            <w:tcW w:w="4960" w:type="dxa"/>
            <w:vAlign w:val="bottom"/>
          </w:tcPr>
          <w:p>
            <w:pPr>
              <w:ind w:left="240"/>
              <w:spacing w:after="0"/>
              <w:rPr>
                <w:sz w:val="20"/>
                <w:szCs w:val="20"/>
                <w:color w:val="auto"/>
              </w:rPr>
            </w:pPr>
            <w:r>
              <w:rPr>
                <w:rFonts w:ascii="Arial" w:cs="Arial" w:eastAsia="Arial" w:hAnsi="Arial"/>
                <w:sz w:val="20"/>
                <w:szCs w:val="20"/>
                <w:color w:val="auto"/>
              </w:rPr>
              <w:t>EYLEA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1,448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1,629</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(11 %)</w:t>
            </w:r>
          </w:p>
        </w:tc>
      </w:tr>
      <w:tr>
        <w:trPr>
          <w:trHeight w:val="259"/>
        </w:trPr>
        <w:tc>
          <w:tcPr>
            <w:tcW w:w="4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EYLEA HD - U.S.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r>
      <w:tr>
        <w:trPr>
          <w:trHeight w:val="254"/>
        </w:trPr>
        <w:tc>
          <w:tcPr>
            <w:tcW w:w="4960" w:type="dxa"/>
            <w:vAlign w:val="bottom"/>
          </w:tcPr>
          <w:p>
            <w:pPr>
              <w:ind w:left="240"/>
              <w:spacing w:after="0"/>
              <w:rPr>
                <w:sz w:val="20"/>
                <w:szCs w:val="20"/>
                <w:color w:val="auto"/>
              </w:rPr>
            </w:pPr>
            <w:r>
              <w:rPr>
                <w:rFonts w:ascii="Arial" w:cs="Arial" w:eastAsia="Arial" w:hAnsi="Arial"/>
                <w:sz w:val="20"/>
                <w:szCs w:val="20"/>
                <w:color w:val="auto"/>
              </w:rPr>
              <w:t>Libtayo - Global**</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126</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84 %</w:t>
            </w:r>
          </w:p>
        </w:tc>
      </w:tr>
      <w:tr>
        <w:trPr>
          <w:trHeight w:val="259"/>
        </w:trPr>
        <w:tc>
          <w:tcPr>
            <w:tcW w:w="4960" w:type="dxa"/>
            <w:vAlign w:val="bottom"/>
            <w:shd w:val="clear" w:color="auto" w:fill="CCEEFF"/>
          </w:tcPr>
          <w:p>
            <w:pPr>
              <w:ind w:left="240"/>
              <w:spacing w:after="0" w:line="259"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33 %</w:t>
            </w:r>
          </w:p>
        </w:tc>
      </w:tr>
      <w:tr>
        <w:trPr>
          <w:trHeight w:val="256"/>
        </w:trPr>
        <w:tc>
          <w:tcPr>
            <w:tcW w:w="4960" w:type="dxa"/>
            <w:vAlign w:val="bottom"/>
          </w:tcPr>
          <w:p>
            <w:pPr>
              <w:ind w:left="24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8"/>
                <w:szCs w:val="28"/>
                <w:b w:val="1"/>
                <w:bCs w:val="1"/>
                <w:color w:val="auto"/>
                <w:vertAlign w:val="superscript"/>
              </w:rPr>
              <w:t>®</w:t>
            </w:r>
            <w:r>
              <w:rPr>
                <w:rFonts w:ascii="Arial" w:cs="Arial" w:eastAsia="Arial" w:hAnsi="Arial"/>
                <w:sz w:val="20"/>
                <w:szCs w:val="20"/>
                <w:color w:val="auto"/>
              </w:rPr>
              <w:t xml:space="preserve"> - U.S.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46 %</w:t>
            </w:r>
          </w:p>
        </w:tc>
      </w:tr>
      <w:tr>
        <w:trPr>
          <w:trHeight w:val="257"/>
        </w:trPr>
        <w:tc>
          <w:tcPr>
            <w:tcW w:w="496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2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33 %</w:t>
            </w:r>
          </w:p>
        </w:tc>
      </w:tr>
      <w:tr>
        <w:trPr>
          <w:trHeight w:val="247"/>
        </w:trPr>
        <w:tc>
          <w:tcPr>
            <w:tcW w:w="4960" w:type="dxa"/>
            <w:vAlign w:val="bottom"/>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1,801</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(1 %)</w:t>
            </w:r>
          </w:p>
        </w:tc>
      </w:tr>
      <w:tr>
        <w:trPr>
          <w:trHeight w:val="97"/>
        </w:trPr>
        <w:tc>
          <w:tcPr>
            <w:tcW w:w="4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254"/>
        </w:trPr>
        <w:tc>
          <w:tcPr>
            <w:tcW w:w="4960" w:type="dxa"/>
            <w:vAlign w:val="bottom"/>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9"/>
        </w:trPr>
        <w:tc>
          <w:tcPr>
            <w:tcW w:w="4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Sanofi</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711</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50 %</w:t>
            </w:r>
          </w:p>
        </w:tc>
      </w:tr>
      <w:tr>
        <w:trPr>
          <w:trHeight w:val="254"/>
        </w:trPr>
        <w:tc>
          <w:tcPr>
            <w:tcW w:w="4960" w:type="dxa"/>
            <w:vAlign w:val="bottom"/>
          </w:tcPr>
          <w:p>
            <w:pPr>
              <w:ind w:left="240"/>
              <w:spacing w:after="0"/>
              <w:rPr>
                <w:sz w:val="20"/>
                <w:szCs w:val="20"/>
                <w:color w:val="auto"/>
              </w:rPr>
            </w:pPr>
            <w:r>
              <w:rPr>
                <w:rFonts w:ascii="Arial" w:cs="Arial" w:eastAsia="Arial" w:hAnsi="Arial"/>
                <w:sz w:val="20"/>
                <w:szCs w:val="20"/>
                <w:color w:val="auto"/>
              </w:rPr>
              <w:t>Bayer</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333</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13 %</w:t>
            </w:r>
          </w:p>
        </w:tc>
      </w:tr>
      <w:tr>
        <w:trPr>
          <w:trHeight w:val="259"/>
        </w:trPr>
        <w:tc>
          <w:tcPr>
            <w:tcW w:w="4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r>
      <w:tr>
        <w:trPr>
          <w:trHeight w:val="25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62 %</w:t>
            </w:r>
          </w:p>
        </w:tc>
      </w:tr>
      <w:tr>
        <w:trPr>
          <w:trHeight w:val="27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2,936</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60" w:hanging="11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3" w:lineRule="exact"/>
        <w:rPr>
          <w:sz w:val="20"/>
          <w:szCs w:val="20"/>
          <w:color w:val="auto"/>
        </w:rPr>
      </w:pPr>
    </w:p>
    <w:p>
      <w:pPr>
        <w:ind w:left="240" w:right="2000" w:firstLine="2"/>
        <w:spacing w:after="0" w:line="223" w:lineRule="auto"/>
        <w:tabs>
          <w:tab w:leader="none" w:pos="425" w:val="left"/>
        </w:tabs>
        <w:numPr>
          <w:ilvl w:val="0"/>
          <w:numId w:val="12"/>
        </w:numPr>
        <w:rPr>
          <w:rFonts w:ascii="Arial" w:cs="Arial" w:eastAsia="Arial" w:hAnsi="Arial"/>
          <w:sz w:val="18"/>
          <w:szCs w:val="18"/>
          <w:color w:val="auto"/>
        </w:rPr>
      </w:pPr>
      <w:r>
        <w:rPr>
          <w:rFonts w:ascii="Arial" w:cs="Arial" w:eastAsia="Arial" w:hAnsi="Arial"/>
          <w:sz w:val="16"/>
          <w:szCs w:val="16"/>
          <w:color w:val="auto"/>
        </w:rPr>
        <w:t>Effective July 1, 2022, the Company began recording net product sales of Libtayo outside the United States. Excluded from the third quarter of 2022 is approximately $17 million of net product sales recorded by Sanofi in connection with sales in certain markets (Sanofi recorded net product sales in such markets during a transition period). The percentage change shown would be 62% if such sales were included (see Table 5).</w:t>
      </w:r>
    </w:p>
    <w:p>
      <w:pPr>
        <w:spacing w:after="0" w:line="22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Net product sales of EYLEA in the U.S. decreased in the third quarter of 2023, compared to the third quarter of 2022, primarily due to a lower net selling price driven by changing market dynamics, including increased competition. In August 2023, the FDA approved EYLEA HD and the Company commenced recording sales in the United States in the third quarter of 2023.</w:t>
      </w:r>
    </w:p>
    <w:p>
      <w:pPr>
        <w:spacing w:after="0" w:line="120" w:lineRule="exact"/>
        <w:rPr>
          <w:sz w:val="20"/>
          <w:szCs w:val="20"/>
          <w:color w:val="auto"/>
        </w:rPr>
      </w:pPr>
    </w:p>
    <w:p>
      <w:pPr>
        <w:ind w:right="160"/>
        <w:spacing w:after="0" w:line="249" w:lineRule="auto"/>
        <w:rPr>
          <w:sz w:val="20"/>
          <w:szCs w:val="20"/>
          <w:color w:val="auto"/>
        </w:rPr>
      </w:pPr>
      <w:r>
        <w:rPr>
          <w:rFonts w:ascii="Arial" w:cs="Arial" w:eastAsia="Arial" w:hAnsi="Arial"/>
          <w:sz w:val="22"/>
          <w:szCs w:val="22"/>
          <w:color w:val="auto"/>
        </w:rPr>
        <w:t>Sanofi collaboration revenue increased in the third quarter of 2023, compared to the third quarter of 2022, primarily due to the Company's share of profits from commercialization of antibodies, which were $863 million in the third quarter of 2023, compared to $551 million in the third quarter of 2022. The change in the Company's share of profits from commercialization of antibodies was driven by higher profits associated with an increase in Dupixent sales. In addition, during the third quarter of 2023, the Company earned the final $50 million sales-based milestone from Sanofi upon aggregate annual sales of antibodies outside the U.S. exceeding $3.0 billion on a rolling twelve-month basis.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00" w:right="339" w:bottom="1440" w:gutter="0" w:footer="0" w:header="0"/>
        </w:sectPr>
      </w:pPr>
    </w:p>
    <w:bookmarkStart w:id="7" w:name="page8"/>
    <w:bookmarkEnd w:id="7"/>
    <w:p>
      <w:pPr>
        <w:jc w:val="both"/>
        <w:ind w:right="300"/>
        <w:spacing w:after="0" w:line="254" w:lineRule="auto"/>
        <w:rPr>
          <w:sz w:val="20"/>
          <w:szCs w:val="20"/>
          <w:color w:val="auto"/>
        </w:rPr>
      </w:pPr>
      <w:r>
        <w:rPr>
          <w:rFonts w:ascii="Arial" w:cs="Arial" w:eastAsia="Arial" w:hAnsi="Arial"/>
          <w:sz w:val="22"/>
          <w:szCs w:val="22"/>
          <w:color w:val="auto"/>
        </w:rPr>
        <w:t>Other revenue during the third quarter of 2023 included the recognition of $34 million of revenue in connection with the Company's agreement with BARDA to fund certain costs for a next-generation COVID-19 monoclonal antibody therapy for the prevention of SARS-CoV-2 infection.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GAAP</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Q3 2023</w:t>
            </w:r>
          </w:p>
        </w:tc>
        <w:tc>
          <w:tcPr>
            <w:tcW w:w="12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Q3 2022</w:t>
            </w:r>
          </w:p>
        </w:tc>
        <w:tc>
          <w:tcPr>
            <w:tcW w:w="12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20"/>
                <w:szCs w:val="20"/>
                <w:b w:val="1"/>
                <w:bCs w:val="1"/>
                <w:color w:val="auto"/>
              </w:rPr>
              <w:t>% Change</w:t>
            </w:r>
          </w:p>
        </w:tc>
        <w:tc>
          <w:tcPr>
            <w:tcW w:w="1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w w:val="96"/>
              </w:rPr>
              <w:t>Q3 2023</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Q3 2022</w:t>
            </w:r>
          </w:p>
        </w:tc>
        <w:tc>
          <w:tcPr>
            <w:tcW w:w="100" w:type="dxa"/>
            <w:vAlign w:val="bottom"/>
          </w:tcPr>
          <w:p>
            <w:pPr>
              <w:spacing w:after="0"/>
              <w:rPr>
                <w:sz w:val="21"/>
                <w:szCs w:val="21"/>
                <w:color w:val="auto"/>
              </w:rPr>
            </w:pPr>
          </w:p>
        </w:tc>
        <w:tc>
          <w:tcPr>
            <w:tcW w:w="1200" w:type="dxa"/>
            <w:vAlign w:val="bottom"/>
          </w:tcPr>
          <w:p>
            <w:pPr>
              <w:ind w:left="120"/>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911</w:t>
            </w: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18 %</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817</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center"/>
              <w:ind w:left="601"/>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100</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200" w:type="dxa"/>
            <w:vAlign w:val="bottom"/>
            <w:vMerge w:val="restart"/>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4"/>
        </w:trPr>
        <w:tc>
          <w:tcPr>
            <w:tcW w:w="396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96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641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529</w:t>
            </w:r>
          </w:p>
        </w:tc>
        <w:tc>
          <w:tcPr>
            <w:tcW w:w="13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21 %</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534</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467</w:t>
            </w:r>
          </w:p>
        </w:tc>
        <w:tc>
          <w:tcPr>
            <w:tcW w:w="1300" w:type="dxa"/>
            <w:vAlign w:val="bottom"/>
            <w:gridSpan w:val="2"/>
            <w:vMerge w:val="restart"/>
            <w:shd w:val="clear" w:color="auto" w:fill="CCEEFF"/>
          </w:tcPr>
          <w:p>
            <w:pPr>
              <w:jc w:val="center"/>
              <w:ind w:left="701"/>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96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141</w:t>
            </w:r>
          </w:p>
        </w:tc>
        <w:tc>
          <w:tcPr>
            <w:tcW w:w="1380" w:type="dxa"/>
            <w:vAlign w:val="bottom"/>
            <w:gridSpan w:val="2"/>
          </w:tcPr>
          <w:p>
            <w:pPr>
              <w:jc w:val="right"/>
              <w:ind w:right="1"/>
              <w:spacing w:after="0"/>
              <w:rPr>
                <w:sz w:val="20"/>
                <w:szCs w:val="20"/>
                <w:color w:val="auto"/>
              </w:rPr>
            </w:pPr>
            <w:r>
              <w:rPr>
                <w:rFonts w:ascii="Arial" w:cs="Arial" w:eastAsia="Arial" w:hAnsi="Arial"/>
                <w:sz w:val="20"/>
                <w:szCs w:val="20"/>
                <w:color w:val="auto"/>
              </w:rPr>
              <w:t>60 %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109</w:t>
            </w:r>
          </w:p>
        </w:tc>
        <w:tc>
          <w:tcPr>
            <w:tcW w:w="1300" w:type="dxa"/>
            <w:vAlign w:val="bottom"/>
            <w:gridSpan w:val="2"/>
          </w:tcPr>
          <w:p>
            <w:pPr>
              <w:jc w:val="center"/>
              <w:ind w:left="701"/>
              <w:spacing w:after="0"/>
              <w:rPr>
                <w:sz w:val="20"/>
                <w:szCs w:val="20"/>
                <w:color w:val="auto"/>
              </w:rPr>
            </w:pPr>
            <w:r>
              <w:rPr>
                <w:rFonts w:ascii="Arial" w:cs="Arial" w:eastAsia="Arial" w:hAnsi="Arial"/>
                <w:sz w:val="20"/>
                <w:szCs w:val="20"/>
                <w:color w:val="auto"/>
              </w:rPr>
              <w:t>66 %</w:t>
            </w:r>
          </w:p>
        </w:tc>
        <w:tc>
          <w:tcPr>
            <w:tcW w:w="0" w:type="dxa"/>
            <w:vAlign w:val="bottom"/>
          </w:tcPr>
          <w:p>
            <w:pPr>
              <w:spacing w:after="0"/>
              <w:rPr>
                <w:sz w:val="1"/>
                <w:szCs w:val="1"/>
                <w:color w:val="auto"/>
              </w:rPr>
            </w:pPr>
          </w:p>
        </w:tc>
      </w:tr>
      <w:tr>
        <w:trPr>
          <w:trHeight w:val="192"/>
        </w:trPr>
        <w:tc>
          <w:tcPr>
            <w:tcW w:w="396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212</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177</w:t>
            </w:r>
          </w:p>
        </w:tc>
        <w:tc>
          <w:tcPr>
            <w:tcW w:w="13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6"/>
        </w:trPr>
        <w:tc>
          <w:tcPr>
            <w:tcW w:w="39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960" w:type="dxa"/>
            <w:vAlign w:val="bottom"/>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(98 %)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200" w:type="dxa"/>
            <w:vAlign w:val="bottom"/>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right="3920" w:firstLine="8"/>
        <w:spacing w:after="0" w:line="288"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6"/>
          <w:szCs w:val="16"/>
          <w:color w:val="auto"/>
        </w:rPr>
        <w:t xml:space="preserve">GAAP and non-GAAP amounts are equivalent as no non-GAAP adjustments have been recorded. </w:t>
      </w:r>
      <w:r>
        <w:rPr>
          <w:rFonts w:ascii="Arial" w:cs="Arial" w:eastAsia="Arial" w:hAnsi="Arial"/>
          <w:sz w:val="17"/>
          <w:szCs w:val="17"/>
          <w:color w:val="auto"/>
        </w:rPr>
        <w:t xml:space="preserve">** </w:t>
      </w:r>
      <w:r>
        <w:rPr>
          <w:rFonts w:ascii="Arial" w:cs="Arial" w:eastAsia="Arial" w:hAnsi="Arial"/>
          <w:sz w:val="16"/>
          <w:szCs w:val="16"/>
          <w:color w:val="auto"/>
        </w:rPr>
        <w:t>Percentage not meaningful</w:t>
      </w:r>
    </w:p>
    <w:p>
      <w:pPr>
        <w:spacing w:after="0" w:line="166" w:lineRule="exact"/>
        <w:rPr>
          <w:rFonts w:ascii="Arial" w:cs="Arial" w:eastAsia="Arial" w:hAnsi="Arial"/>
          <w:sz w:val="18"/>
          <w:szCs w:val="18"/>
          <w:color w:val="auto"/>
        </w:rPr>
      </w:pPr>
    </w:p>
    <w:p>
      <w:pPr>
        <w:ind w:left="660" w:hanging="328"/>
        <w:spacing w:after="0" w:line="238"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GAAP and non-GAAP R&amp;D expenses increased in the third quarter of 2023, compared to the third quarter of 2022, driven by additional costs incurred in connection with higher headcount and headcount-related costs, the advancement of the Company's late-stage pipeline, and increased manufacturing activity associated with the Company's product candidates.</w:t>
      </w:r>
    </w:p>
    <w:p>
      <w:pPr>
        <w:spacing w:after="0" w:line="49" w:lineRule="exact"/>
        <w:rPr>
          <w:rFonts w:ascii="Arial" w:cs="Arial" w:eastAsia="Arial" w:hAnsi="Arial"/>
          <w:sz w:val="22"/>
          <w:szCs w:val="22"/>
          <w:color w:val="auto"/>
        </w:rPr>
      </w:pPr>
    </w:p>
    <w:p>
      <w:pPr>
        <w:ind w:left="660" w:right="240" w:hanging="328"/>
        <w:spacing w:after="0" w:line="288" w:lineRule="auto"/>
        <w:tabs>
          <w:tab w:leader="none" w:pos="655" w:val="left"/>
        </w:tabs>
        <w:numPr>
          <w:ilvl w:val="1"/>
          <w:numId w:val="13"/>
        </w:numPr>
        <w:rPr>
          <w:rFonts w:ascii="Arial" w:cs="Arial" w:eastAsia="Arial" w:hAnsi="Arial"/>
          <w:sz w:val="21"/>
          <w:szCs w:val="21"/>
          <w:i w:val="1"/>
          <w:iCs w:val="1"/>
          <w:color w:val="auto"/>
        </w:rPr>
      </w:pPr>
      <w:r>
        <w:rPr>
          <w:rFonts w:ascii="Arial" w:cs="Arial" w:eastAsia="Arial" w:hAnsi="Arial"/>
          <w:sz w:val="21"/>
          <w:szCs w:val="21"/>
          <w:color w:val="auto"/>
        </w:rPr>
        <w:t>Acquired IPR&amp;D expense in the third quarter of 2023 related to a $100 million development milestone in connection with the Phase 1 ALN-APP program, which is in collaboration with Alnylam Pharmaceuticals, Inc.</w:t>
      </w:r>
    </w:p>
    <w:p>
      <w:pPr>
        <w:spacing w:after="0" w:line="14" w:lineRule="exact"/>
        <w:rPr>
          <w:rFonts w:ascii="Arial" w:cs="Arial" w:eastAsia="Arial" w:hAnsi="Arial"/>
          <w:sz w:val="21"/>
          <w:szCs w:val="21"/>
          <w:i w:val="1"/>
          <w:iCs w:val="1"/>
          <w:color w:val="auto"/>
        </w:rPr>
      </w:pPr>
    </w:p>
    <w:p>
      <w:pPr>
        <w:ind w:left="660" w:right="100" w:hanging="328"/>
        <w:spacing w:after="0" w:line="254"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GAAP and non-GAAP SG&amp;A expenses increased in the third quarter of 2023, compared to the third quarter of 2022, primarily due to higher headcount and headcount-related costs and higher contributions to an independent not-for-profit patient assistance organization.</w:t>
      </w:r>
    </w:p>
    <w:p>
      <w:pPr>
        <w:spacing w:after="0" w:line="47" w:lineRule="exact"/>
        <w:rPr>
          <w:rFonts w:ascii="Arial" w:cs="Arial" w:eastAsia="Arial" w:hAnsi="Arial"/>
          <w:sz w:val="22"/>
          <w:szCs w:val="22"/>
          <w:color w:val="auto"/>
        </w:rPr>
      </w:pPr>
    </w:p>
    <w:p>
      <w:pPr>
        <w:ind w:left="660" w:right="20" w:hanging="328"/>
        <w:spacing w:after="0" w:line="250"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Other operating (income) expense, net, decreased in the third quarter of 2023, compared to the third quarter of 2022, due to the recognition of $44 million of income in 2022 that did not recur during 2023 as a result of discontinuing further clinical development of fasinumab related to the Company's Teva and Mitsubishi Tanabe Pharma collaborative arrangements.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GAAP other income (expense) included the recognition of net unrealized losses on equity securities of $100 million in the third quarter of 2023, compared to $254 million of net unrealized gains in the third quarter of 2022. GAAP and Non-GAAP other income (expense) also included interest income of $134 million in the third quarter of 2023, compared to $43 million in the third quarter of 2022.</w:t>
      </w:r>
    </w:p>
    <w:p>
      <w:pPr>
        <w:spacing w:after="0" w:line="120" w:lineRule="exact"/>
        <w:rPr>
          <w:sz w:val="20"/>
          <w:szCs w:val="20"/>
          <w:color w:val="auto"/>
        </w:rPr>
      </w:pPr>
    </w:p>
    <w:p>
      <w:pPr>
        <w:jc w:val="both"/>
        <w:ind w:right="140"/>
        <w:spacing w:after="0" w:line="260" w:lineRule="auto"/>
        <w:rPr>
          <w:sz w:val="20"/>
          <w:szCs w:val="20"/>
          <w:color w:val="auto"/>
        </w:rPr>
      </w:pPr>
      <w:r>
        <w:rPr>
          <w:rFonts w:ascii="Arial" w:cs="Arial" w:eastAsia="Arial" w:hAnsi="Arial"/>
          <w:sz w:val="22"/>
          <w:szCs w:val="22"/>
          <w:color w:val="auto"/>
        </w:rPr>
        <w:t>In the third quarter of 2023, the Company's GAAP effective tax rate (ETR) was 9.3%, compared to 12.9% in the third quarter of 2022. In the third quarter of 2023, the non-GAAP ETR was 11.9%, compared to 12.1%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9" w:right="339" w:bottom="1440" w:gutter="0" w:footer="0" w:header="0"/>
        </w:sectPr>
      </w:pPr>
    </w:p>
    <w:bookmarkStart w:id="8" w:name="page9"/>
    <w:bookmarkEnd w:id="8"/>
    <w:p>
      <w:pPr>
        <w:spacing w:after="0" w:line="250" w:lineRule="auto"/>
        <w:rPr>
          <w:sz w:val="20"/>
          <w:szCs w:val="20"/>
          <w:color w:val="auto"/>
        </w:rPr>
      </w:pPr>
      <w:r>
        <w:rPr>
          <w:rFonts w:ascii="Arial" w:cs="Arial" w:eastAsia="Arial" w:hAnsi="Arial"/>
          <w:sz w:val="22"/>
          <w:szCs w:val="22"/>
          <w:color w:val="auto"/>
        </w:rPr>
        <w:t>GAAP net income per diluted share was $8.89 in the third quarter of 2023, compared to $11.66 in the third quarter of 2022. Non-GAAP net income per diluted share was $11.59 in the third quarter of 2023, compared to $11.14 in the third quarter of 2022. A reconciliation of the Company's GAAP to non-GAAP results is included in Table 3 of this press release.</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22"/>
          <w:szCs w:val="22"/>
          <w:color w:val="auto"/>
        </w:rPr>
        <w:t>During the third quarter of 2023, the Company repurchased shares of its common stock and recorded the cost of the shares, or $507 million, as Treasury Stock. As of September 30, 2023, $1.8 billion remained available for share repurchases under the Company's share repurchase program.</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2023 Financial Guidance</w:t>
      </w:r>
      <w:r>
        <w:rPr>
          <w:rFonts w:ascii="Arial" w:cs="Arial" w:eastAsia="Arial" w:hAnsi="Arial"/>
          <w:sz w:val="12"/>
          <w:szCs w:val="12"/>
          <w:b w:val="1"/>
          <w:bCs w:val="1"/>
          <w:i w:val="1"/>
          <w:iCs w:val="1"/>
          <w:color w:val="auto"/>
        </w:rPr>
        <w:t>(c)</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2023 financial guidance consists of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600" w:type="dxa"/>
            <w:vAlign w:val="bottom"/>
          </w:tcPr>
          <w:p>
            <w:pPr>
              <w:spacing w:after="0"/>
              <w:rPr>
                <w:sz w:val="24"/>
                <w:szCs w:val="24"/>
                <w:color w:val="auto"/>
              </w:rPr>
            </w:pPr>
          </w:p>
        </w:tc>
        <w:tc>
          <w:tcPr>
            <w:tcW w:w="4640" w:type="dxa"/>
            <w:vAlign w:val="bottom"/>
            <w:gridSpan w:val="3"/>
          </w:tcPr>
          <w:p>
            <w:pPr>
              <w:ind w:left="1620"/>
              <w:spacing w:after="0"/>
              <w:rPr>
                <w:sz w:val="20"/>
                <w:szCs w:val="20"/>
                <w:color w:val="auto"/>
              </w:rPr>
            </w:pPr>
            <w:r>
              <w:rPr>
                <w:rFonts w:ascii="Arial" w:cs="Arial" w:eastAsia="Arial" w:hAnsi="Arial"/>
                <w:sz w:val="20"/>
                <w:szCs w:val="20"/>
                <w:b w:val="1"/>
                <w:bCs w:val="1"/>
                <w:color w:val="auto"/>
              </w:rPr>
              <w:t>2023 Guidance</w:t>
            </w:r>
          </w:p>
        </w:tc>
      </w:tr>
      <w:tr>
        <w:trPr>
          <w:trHeight w:val="34"/>
        </w:trPr>
        <w:tc>
          <w:tcPr>
            <w:tcW w:w="4600" w:type="dxa"/>
            <w:vAlign w:val="bottom"/>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4600" w:type="dxa"/>
            <w:vAlign w:val="bottom"/>
          </w:tcPr>
          <w:p>
            <w:pPr>
              <w:spacing w:after="0"/>
              <w:rPr>
                <w:sz w:val="21"/>
                <w:szCs w:val="21"/>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98"/>
              </w:rPr>
              <w:t>Prior</w:t>
            </w: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7"/>
              </w:rPr>
              <w:t>Updated</w:t>
            </w:r>
          </w:p>
        </w:tc>
      </w:tr>
      <w:tr>
        <w:trPr>
          <w:trHeight w:val="25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$4.315–$4.455 billion</w:t>
            </w:r>
          </w:p>
        </w:tc>
        <w:tc>
          <w:tcPr>
            <w:tcW w:w="14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$4.370–$4.455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$3.825–$3.925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$3.875–$3.925 billion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$2.540–$2.680 billion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$2.585–$2.685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$2.180–$2.280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$2.210–$2.270 billion</w:t>
            </w:r>
          </w:p>
        </w:tc>
      </w:tr>
      <w:tr>
        <w:trPr>
          <w:trHeight w:val="270"/>
        </w:trPr>
        <w:tc>
          <w:tcPr>
            <w:tcW w:w="46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gross margin on net product sales</w:t>
            </w:r>
            <w:r>
              <w:rPr>
                <w:rFonts w:ascii="Arial" w:cs="Arial" w:eastAsia="Arial" w:hAnsi="Arial"/>
                <w:sz w:val="25"/>
                <w:szCs w:val="25"/>
                <w:color w:val="auto"/>
                <w:vertAlign w:val="superscript"/>
              </w:rPr>
              <w:t>(d)</w:t>
            </w:r>
          </w:p>
        </w:tc>
        <w:tc>
          <w:tcPr>
            <w:tcW w:w="2380" w:type="dxa"/>
            <w:vAlign w:val="bottom"/>
            <w:gridSpan w:val="2"/>
            <w:shd w:val="clear" w:color="auto" w:fill="CCEEFF"/>
          </w:tcPr>
          <w:p>
            <w:pPr>
              <w:jc w:val="center"/>
              <w:ind w:right="160"/>
              <w:spacing w:after="0"/>
              <w:rPr>
                <w:sz w:val="20"/>
                <w:szCs w:val="20"/>
                <w:color w:val="auto"/>
              </w:rPr>
            </w:pPr>
            <w:r>
              <w:rPr>
                <w:rFonts w:ascii="Arial" w:cs="Arial" w:eastAsia="Arial" w:hAnsi="Arial"/>
                <w:sz w:val="20"/>
                <w:szCs w:val="20"/>
                <w:color w:val="auto"/>
                <w:w w:val="98"/>
              </w:rPr>
              <w:t>87%–89%</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87%–88%</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(a)(d)</w:t>
            </w:r>
          </w:p>
        </w:tc>
        <w:tc>
          <w:tcPr>
            <w:tcW w:w="2380" w:type="dxa"/>
            <w:vAlign w:val="bottom"/>
            <w:gridSpan w:val="2"/>
          </w:tcPr>
          <w:p>
            <w:pPr>
              <w:jc w:val="center"/>
              <w:ind w:right="160"/>
              <w:spacing w:after="0"/>
              <w:rPr>
                <w:sz w:val="20"/>
                <w:szCs w:val="20"/>
                <w:color w:val="auto"/>
              </w:rPr>
            </w:pPr>
            <w:r>
              <w:rPr>
                <w:rFonts w:ascii="Arial" w:cs="Arial" w:eastAsia="Arial" w:hAnsi="Arial"/>
                <w:sz w:val="20"/>
                <w:szCs w:val="20"/>
                <w:color w:val="auto"/>
                <w:w w:val="98"/>
              </w:rPr>
              <w:t>89%–91%</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89%–90%</w:t>
            </w:r>
          </w:p>
        </w:tc>
      </w:tr>
      <w:tr>
        <w:trPr>
          <w:trHeight w:val="270"/>
        </w:trPr>
        <w:tc>
          <w:tcPr>
            <w:tcW w:w="46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$820–$880 million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$840–$880 million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$760–$830 million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$660–$700 million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8%–9%</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337"/>
        </w:trPr>
        <w:tc>
          <w:tcPr>
            <w:tcW w:w="460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6"/>
              </w:rPr>
              <w:t>10%–11%</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bl>
    <w:p>
      <w:pPr>
        <w:spacing w:after="0" w:line="44" w:lineRule="exact"/>
        <w:rPr>
          <w:sz w:val="20"/>
          <w:szCs w:val="20"/>
          <w:color w:val="auto"/>
        </w:rPr>
      </w:pPr>
    </w:p>
    <w:p>
      <w:pPr>
        <w:ind w:left="300" w:hanging="11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1120"/>
          </w:cols>
          <w:pgMar w:left="320" w:top="1049" w:right="45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2023 GAAP to non-GAAP financial guidance is included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2040" w:type="dxa"/>
            <w:vAlign w:val="bottom"/>
            <w:gridSpan w:val="2"/>
          </w:tcPr>
          <w:p>
            <w:pPr>
              <w:ind w:left="46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4,370</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4,455</w:t>
            </w:r>
          </w:p>
        </w:tc>
        <w:tc>
          <w:tcPr>
            <w:tcW w:w="0" w:type="dxa"/>
            <w:vAlign w:val="bottom"/>
          </w:tcPr>
          <w:p>
            <w:pPr>
              <w:spacing w:after="0"/>
              <w:rPr>
                <w:sz w:val="1"/>
                <w:szCs w:val="1"/>
                <w:color w:val="auto"/>
              </w:rPr>
            </w:pPr>
          </w:p>
        </w:tc>
      </w:tr>
      <w:tr>
        <w:trPr>
          <w:trHeight w:val="254"/>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475</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59"/>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3,875</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3,925</w:t>
            </w:r>
          </w:p>
        </w:tc>
        <w:tc>
          <w:tcPr>
            <w:tcW w:w="0" w:type="dxa"/>
            <w:vAlign w:val="bottom"/>
          </w:tcPr>
          <w:p>
            <w:pPr>
              <w:spacing w:after="0"/>
              <w:rPr>
                <w:sz w:val="1"/>
                <w:szCs w:val="1"/>
                <w:color w:val="auto"/>
              </w:rPr>
            </w:pPr>
          </w:p>
        </w:tc>
      </w:tr>
      <w:tr>
        <w:trPr>
          <w:trHeight w:val="253"/>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34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2,585</w:t>
            </w:r>
          </w:p>
        </w:tc>
        <w:tc>
          <w:tcPr>
            <w:tcW w:w="120" w:type="dxa"/>
            <w:vAlign w:val="bottom"/>
          </w:tcPr>
          <w:p>
            <w:pPr>
              <w:spacing w:after="0"/>
              <w:rPr>
                <w:sz w:val="22"/>
                <w:szCs w:val="22"/>
                <w:color w:val="auto"/>
              </w:rPr>
            </w:pPr>
          </w:p>
        </w:tc>
        <w:tc>
          <w:tcPr>
            <w:tcW w:w="880" w:type="dxa"/>
            <w:vAlign w:val="bottom"/>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2,685</w:t>
            </w:r>
          </w:p>
        </w:tc>
        <w:tc>
          <w:tcPr>
            <w:tcW w:w="0" w:type="dxa"/>
            <w:vAlign w:val="bottom"/>
          </w:tcPr>
          <w:p>
            <w:pPr>
              <w:spacing w:after="0"/>
              <w:rPr>
                <w:sz w:val="1"/>
                <w:szCs w:val="1"/>
                <w:color w:val="auto"/>
              </w:rPr>
            </w:pPr>
          </w:p>
        </w:tc>
      </w:tr>
      <w:tr>
        <w:trPr>
          <w:trHeight w:val="259"/>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w:t>
            </w: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2,210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2,270</w:t>
            </w:r>
          </w:p>
        </w:tc>
        <w:tc>
          <w:tcPr>
            <w:tcW w:w="0" w:type="dxa"/>
            <w:vAlign w:val="bottom"/>
          </w:tcPr>
          <w:p>
            <w:pPr>
              <w:spacing w:after="0"/>
              <w:rPr>
                <w:sz w:val="1"/>
                <w:szCs w:val="1"/>
                <w:color w:val="auto"/>
              </w:rPr>
            </w:pPr>
          </w:p>
        </w:tc>
      </w:tr>
      <w:tr>
        <w:trPr>
          <w:trHeight w:val="253"/>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54"/>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9"/>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Intangible asset amortization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4"/>
        </w:trPr>
        <w:tc>
          <w:tcPr>
            <w:tcW w:w="5340" w:type="dxa"/>
            <w:vAlign w:val="bottom"/>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&lt;1%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&lt;1%</w:t>
            </w:r>
          </w:p>
        </w:tc>
        <w:tc>
          <w:tcPr>
            <w:tcW w:w="0" w:type="dxa"/>
            <w:vAlign w:val="bottom"/>
          </w:tcPr>
          <w:p>
            <w:pPr>
              <w:spacing w:after="0"/>
              <w:rPr>
                <w:sz w:val="1"/>
                <w:szCs w:val="1"/>
                <w:color w:val="auto"/>
              </w:rPr>
            </w:pPr>
          </w:p>
        </w:tc>
      </w:tr>
      <w:tr>
        <w:trPr>
          <w:trHeight w:val="259"/>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Charges related to REGEN-COV</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&lt;(1%)</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&lt;(1%)</w:t>
            </w:r>
          </w:p>
        </w:tc>
        <w:tc>
          <w:tcPr>
            <w:tcW w:w="0" w:type="dxa"/>
            <w:vAlign w:val="bottom"/>
          </w:tcPr>
          <w:p>
            <w:pPr>
              <w:spacing w:after="0"/>
              <w:rPr>
                <w:sz w:val="1"/>
                <w:szCs w:val="1"/>
                <w:color w:val="auto"/>
              </w:rPr>
            </w:pPr>
          </w:p>
        </w:tc>
      </w:tr>
      <w:tr>
        <w:trPr>
          <w:trHeight w:val="24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89%</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53"/>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340" w:type="dxa"/>
            <w:vAlign w:val="bottom"/>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92"/>
        </w:trPr>
        <w:tc>
          <w:tcPr>
            <w:tcW w:w="5340" w:type="dxa"/>
            <w:vAlign w:val="bottom"/>
            <w:shd w:val="clear" w:color="auto" w:fill="CCEEFF"/>
          </w:tcPr>
          <w:p>
            <w:pPr>
              <w:ind w:left="220"/>
              <w:spacing w:after="0" w:line="192"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shd w:val="clear" w:color="auto" w:fill="CCEEFF"/>
          </w:tcPr>
          <w:p>
            <w:pPr>
              <w:spacing w:after="0"/>
              <w:rPr>
                <w:sz w:val="16"/>
                <w:szCs w:val="16"/>
                <w:color w:val="auto"/>
              </w:rPr>
            </w:pPr>
          </w:p>
        </w:tc>
        <w:tc>
          <w:tcPr>
            <w:tcW w:w="1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items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34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320" w:top="1049" w:right="1079" w:bottom="1440" w:gutter="0" w:footer="0" w:header="0"/>
        </w:sectPr>
      </w:pPr>
    </w:p>
    <w:bookmarkStart w:id="10" w:name="page11"/>
    <w:bookmarkEnd w:id="10"/>
    <w:p>
      <w:pPr>
        <w:ind w:left="394" w:hanging="394"/>
        <w:spacing w:after="0" w:line="207"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This press release uses non-GAAP R&amp;D, non-GAAP SG&amp;A, non-GAAP COGS, non-GAAP gross margin on net product sales, non-GAAP other income (expense), net, non-GAAP ETR, non-GAAP net income, non-GAAP net income per share, total revenues excluding Ronapreve</w:t>
      </w:r>
      <w:r>
        <w:rPr>
          <w:rFonts w:ascii="Arial" w:cs="Arial" w:eastAsia="Arial" w:hAnsi="Arial"/>
          <w:sz w:val="25"/>
          <w:szCs w:val="25"/>
          <w:color w:val="auto"/>
          <w:vertAlign w:val="superscript"/>
        </w:rPr>
        <w:t>(b)</w:t>
      </w:r>
      <w:r>
        <w:rPr>
          <w:rFonts w:ascii="Arial" w:cs="Arial" w:eastAsia="Arial" w:hAnsi="Arial"/>
          <w:sz w:val="20"/>
          <w:szCs w:val="20"/>
          <w:color w:val="auto"/>
        </w:rPr>
        <w:t>,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87" w:lineRule="exact"/>
        <w:rPr>
          <w:rFonts w:ascii="Arial" w:cs="Arial" w:eastAsia="Arial" w:hAnsi="Arial"/>
          <w:sz w:val="16"/>
          <w:szCs w:val="16"/>
          <w:color w:val="auto"/>
        </w:rPr>
      </w:pPr>
    </w:p>
    <w:p>
      <w:pPr>
        <w:ind w:left="394" w:right="16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6"/>
          <w:szCs w:val="16"/>
          <w:color w:val="auto"/>
        </w:rPr>
      </w:pPr>
    </w:p>
    <w:p>
      <w:pPr>
        <w:ind w:left="394" w:right="200" w:hanging="394"/>
        <w:spacing w:after="0" w:line="183"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The casirivimab and imdevimab antibody cocktail for COVID-19 is known as REGEN-COV</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 the United States and Ronapreve</w:t>
      </w:r>
      <w:r>
        <w:rPr>
          <w:rFonts w:ascii="Arial" w:cs="Arial" w:eastAsia="Arial" w:hAnsi="Arial"/>
          <w:sz w:val="28"/>
          <w:szCs w:val="28"/>
          <w:color w:val="auto"/>
          <w:vertAlign w:val="superscript"/>
        </w:rPr>
        <w:t>™</w:t>
      </w:r>
      <w:r>
        <w:rPr>
          <w:rFonts w:ascii="Arial" w:cs="Arial" w:eastAsia="Arial" w:hAnsi="Arial"/>
          <w:sz w:val="20"/>
          <w:szCs w:val="20"/>
          <w:color w:val="auto"/>
        </w:rPr>
        <w:t xml:space="preserve"> in other countries. The Company records net product sales of REGEN-COV in the United States and Roche records net product sales of Ronapreve outside the United States.</w:t>
      </w:r>
    </w:p>
    <w:p>
      <w:pPr>
        <w:spacing w:after="0" w:line="102" w:lineRule="exact"/>
        <w:rPr>
          <w:rFonts w:ascii="Arial" w:cs="Arial" w:eastAsia="Arial" w:hAnsi="Arial"/>
          <w:sz w:val="16"/>
          <w:szCs w:val="16"/>
          <w:color w:val="auto"/>
        </w:rPr>
      </w:pPr>
    </w:p>
    <w:p>
      <w:pPr>
        <w:ind w:left="394" w:right="300" w:hanging="394"/>
        <w:spacing w:after="0" w:line="229"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The Company's 2023 financial guidance does not assume the completion of any business development transactions not completed as of the date of this press release.</w:t>
      </w:r>
    </w:p>
    <w:p>
      <w:pPr>
        <w:spacing w:after="0" w:line="101" w:lineRule="exact"/>
        <w:rPr>
          <w:rFonts w:ascii="Arial" w:cs="Arial" w:eastAsia="Arial" w:hAnsi="Arial"/>
          <w:sz w:val="16"/>
          <w:szCs w:val="16"/>
          <w:color w:val="auto"/>
        </w:rPr>
      </w:pPr>
    </w:p>
    <w:p>
      <w:pPr>
        <w:ind w:left="394" w:right="240" w:hanging="394"/>
        <w:spacing w:after="0" w:line="229"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101" w:lineRule="exact"/>
        <w:rPr>
          <w:rFonts w:ascii="Arial" w:cs="Arial" w:eastAsia="Arial" w:hAnsi="Arial"/>
          <w:sz w:val="16"/>
          <w:szCs w:val="16"/>
          <w:color w:val="auto"/>
        </w:rPr>
      </w:pPr>
    </w:p>
    <w:p>
      <w:pPr>
        <w:ind w:left="394" w:right="120" w:hanging="394"/>
        <w:spacing w:after="0" w:line="229"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74"/>
          </w:cols>
          <w:pgMar w:left="346" w:top="1094" w:right="3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62"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color w:val="auto"/>
        </w:rPr>
        <w:t>Regeneron will host a conference call and simultaneous webcast to discuss its third quarter 2023 financial and operating results on Thursday, November 2, 2023,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Regeneron is a leading biotechnology company that invents, develops, and commercializes life-transforming medicines for people with serious diseases. Founded and led for 35 years by physician-scientists, Regeneron's unique ability to repeatedly and consistently translate science into medicine has led to numerous FDA-approved treatments and product candidates in development, almost all of which were homegrown in Regeneron's laboratories. Regeneron's medicines and pipeline are designed to help patients with eye diseases, allergic and inflammatory diseases, cancer, cardiovascular and metabolic diseases, hematologic conditions, infectious diseases, and rare diseases.</w:t>
      </w:r>
    </w:p>
    <w:p>
      <w:pPr>
        <w:spacing w:after="0" w:line="120" w:lineRule="exact"/>
        <w:rPr>
          <w:sz w:val="20"/>
          <w:szCs w:val="20"/>
          <w:color w:val="auto"/>
        </w:rPr>
      </w:pPr>
    </w:p>
    <w:p>
      <w:pPr>
        <w:ind w:right="400"/>
        <w:spacing w:after="0" w:line="251"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 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 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33" w:lineRule="exact"/>
        <w:rPr>
          <w:sz w:val="20"/>
          <w:szCs w:val="20"/>
          <w:color w:val="auto"/>
        </w:rPr>
      </w:pPr>
    </w:p>
    <w:p>
      <w:pPr>
        <w:ind w:right="600"/>
        <w:spacing w:after="0" w:line="371" w:lineRule="auto"/>
        <w:rPr>
          <w:sz w:val="20"/>
          <w:szCs w:val="20"/>
          <w:color w:val="auto"/>
        </w:rPr>
      </w:pPr>
      <w:r>
        <w:rPr>
          <w:rFonts w:ascii="Arial" w:cs="Arial" w:eastAsia="Arial" w:hAnsi="Arial"/>
          <w:sz w:val="22"/>
          <w:szCs w:val="22"/>
          <w:color w:val="auto"/>
        </w:rPr>
        <w:t xml:space="preserve">For additional information about Regeneron, please visit www.regeneron.com or follow Regeneron on LinkedIn. </w:t>
      </w:r>
      <w:r>
        <w:rPr>
          <w:rFonts w:ascii="Arial" w:cs="Arial" w:eastAsia="Arial" w:hAnsi="Arial"/>
          <w:sz w:val="22"/>
          <w:szCs w:val="22"/>
          <w:b w:val="1"/>
          <w:bCs w:val="1"/>
          <w:color w:val="auto"/>
        </w:rPr>
        <w:t>Forward-Looking Statements and Use of Digital Media</w:t>
      </w:r>
    </w:p>
    <w:p>
      <w:pPr>
        <w:spacing w:after="0" w:line="1" w:lineRule="exact"/>
        <w:rPr>
          <w:sz w:val="20"/>
          <w:szCs w:val="20"/>
          <w:color w:val="auto"/>
        </w:rPr>
      </w:pPr>
    </w:p>
    <w:p>
      <w:pPr>
        <w:ind w:right="80"/>
        <w:spacing w:after="0" w:line="220"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HD (aflibercept) Injection 8 mg,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Veopoz</w:t>
      </w:r>
      <w:r>
        <w:rPr>
          <w:rFonts w:ascii="Arial" w:cs="Arial" w:eastAsia="Arial" w:hAnsi="Arial"/>
          <w:sz w:val="28"/>
          <w:szCs w:val="28"/>
          <w:color w:val="auto"/>
          <w:vertAlign w:val="superscript"/>
        </w:rPr>
        <w:t>™</w:t>
      </w:r>
      <w:r>
        <w:rPr>
          <w:rFonts w:ascii="Arial" w:cs="Arial" w:eastAsia="Arial" w:hAnsi="Arial"/>
          <w:sz w:val="22"/>
          <w:szCs w:val="22"/>
          <w:color w:val="auto"/>
        </w:rPr>
        <w:t xml:space="preserve"> (pozelimab), odronextamab, itepekimab, fianlimab, garetosmab, linvoseltamab, REGN5713-5714-5715,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039" w:right="359" w:bottom="1440" w:gutter="0" w:footer="0" w:header="0"/>
        </w:sectPr>
      </w:pPr>
    </w:p>
    <w:bookmarkStart w:id="12" w:name="page13"/>
    <w:bookmarkEnd w:id="12"/>
    <w:p>
      <w:pPr>
        <w:spacing w:after="0"/>
        <w:rPr>
          <w:sz w:val="20"/>
          <w:szCs w:val="20"/>
          <w:color w:val="auto"/>
        </w:rPr>
      </w:pPr>
      <w:r>
        <w:rPr>
          <w:rFonts w:ascii="Arial" w:cs="Arial" w:eastAsia="Arial" w:hAnsi="Arial"/>
          <w:sz w:val="21"/>
          <w:szCs w:val="21"/>
          <w:color w:val="auto"/>
        </w:rPr>
        <w:t>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(such as any potential regulatory approval of Dupixent in chronic obstructive pulmonary disease);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(such as the COVID-19 pandemic) on Regeneron's business; and risks associated with intellectual property of other parties and pending or future litigation relating thereto (including without limitation the patent litigation and other related proceedings relating to EYLEA and REGEN-COV</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(casirivimab and imdevimab)),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2022 and its Form 10-Q for the quarterly period ended September 30, 2023.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spacing w:after="0" w:line="242"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887" w:right="499" w:bottom="1440" w:gutter="0" w:footer="0" w:header="0"/>
        </w:sectPr>
      </w:pPr>
    </w:p>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887"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887"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48"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i w:val="1"/>
          <w:iCs w:val="1"/>
          <w:color w:val="auto"/>
        </w:rPr>
        <w:t>(In millions)</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15,692.1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14,334.1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5,328.7</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3,763.0</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29,214.5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Arial" w:cs="Arial" w:eastAsia="Arial" w:hAnsi="Arial"/>
                <w:sz w:val="18"/>
                <w:szCs w:val="18"/>
                <w:color w:val="auto"/>
                <w:w w:val="95"/>
              </w:rPr>
              <w:t>Accounts payable, accrued expenses, and other liabilities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4,013.7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3,301.4</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1,981.4</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2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22,664.0</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29,214.5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6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895" w:right="97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1"/>
        </w:trPr>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8720" w:type="dxa"/>
            <w:vAlign w:val="bottom"/>
            <w:gridSpan w:val="8"/>
          </w:tcPr>
          <w:p>
            <w:pPr>
              <w:jc w:val="center"/>
              <w:ind w:left="227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72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50"/>
              <w:spacing w:after="0" w:line="202" w:lineRule="exact"/>
              <w:rPr>
                <w:sz w:val="20"/>
                <w:szCs w:val="20"/>
                <w:color w:val="auto"/>
              </w:rPr>
            </w:pPr>
            <w:r>
              <w:rPr>
                <w:rFonts w:ascii="Arial" w:cs="Arial" w:eastAsia="Arial" w:hAnsi="Arial"/>
                <w:sz w:val="18"/>
                <w:szCs w:val="18"/>
                <w:b w:val="1"/>
                <w:bCs w:val="1"/>
                <w:color w:val="auto"/>
                <w:w w:val="99"/>
              </w:rPr>
              <w:t>Nine Months Ended</w:t>
            </w:r>
          </w:p>
        </w:tc>
      </w:tr>
      <w:tr>
        <w:trPr>
          <w:trHeight w:val="239"/>
        </w:trPr>
        <w:tc>
          <w:tcPr>
            <w:tcW w:w="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80" w:type="dxa"/>
            <w:vAlign w:val="bottom"/>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10"/>
        </w:trPr>
        <w:tc>
          <w:tcPr>
            <w:tcW w:w="8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1,786.1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1,801.4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5,226.2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5,194.4</w:t>
            </w:r>
          </w:p>
        </w:tc>
      </w:tr>
      <w:tr>
        <w:trPr>
          <w:trHeight w:val="229"/>
        </w:trPr>
        <w:tc>
          <w:tcPr>
            <w:tcW w:w="8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3,326.7</w:t>
            </w:r>
          </w:p>
        </w:tc>
      </w:tr>
      <w:tr>
        <w:trPr>
          <w:trHeight w:val="230"/>
        </w:trPr>
        <w:tc>
          <w:tcPr>
            <w:tcW w:w="80" w:type="dxa"/>
            <w:vAlign w:val="bottom"/>
          </w:tcPr>
          <w:p>
            <w:pPr>
              <w:spacing w:after="0"/>
              <w:rPr>
                <w:sz w:val="19"/>
                <w:szCs w:val="19"/>
                <w:color w:val="auto"/>
              </w:rPr>
            </w:pPr>
          </w:p>
        </w:tc>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r>
      <w:tr>
        <w:trPr>
          <w:trHeight w:val="223"/>
        </w:trPr>
        <w:tc>
          <w:tcPr>
            <w:tcW w:w="80" w:type="dxa"/>
            <w:vAlign w:val="bottom"/>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8,758.5</w:t>
            </w:r>
          </w:p>
        </w:tc>
      </w:tr>
      <w:tr>
        <w:trPr>
          <w:trHeight w:val="210"/>
        </w:trPr>
        <w:tc>
          <w:tcPr>
            <w:tcW w:w="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2,549.4</w:t>
            </w:r>
          </w:p>
        </w:tc>
      </w:tr>
      <w:tr>
        <w:trPr>
          <w:trHeight w:val="230"/>
        </w:trPr>
        <w:tc>
          <w:tcPr>
            <w:tcW w:w="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w w:val="93"/>
              </w:rPr>
              <w:t>Acquired in-process research and development</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225.1</w:t>
            </w:r>
          </w:p>
        </w:tc>
      </w:tr>
      <w:tr>
        <w:trPr>
          <w:trHeight w:val="229"/>
        </w:trPr>
        <w:tc>
          <w:tcPr>
            <w:tcW w:w="8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w:t>
            </w:r>
          </w:p>
        </w:tc>
      </w:tr>
      <w:tr>
        <w:trPr>
          <w:trHeight w:val="229"/>
        </w:trPr>
        <w:tc>
          <w:tcPr>
            <w:tcW w:w="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497.8</w:t>
            </w:r>
          </w:p>
        </w:tc>
      </w:tr>
      <w:tr>
        <w:trPr>
          <w:trHeight w:val="230"/>
        </w:trPr>
        <w:tc>
          <w:tcPr>
            <w:tcW w:w="8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Cost of collaboration and contract manufacturing</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w:t>
            </w:r>
          </w:p>
        </w:tc>
      </w:tr>
      <w:tr>
        <w:trPr>
          <w:trHeight w:val="229"/>
        </w:trPr>
        <w:tc>
          <w:tcPr>
            <w:tcW w:w="80" w:type="dxa"/>
            <w:vAlign w:val="bottom"/>
          </w:tcPr>
          <w:p>
            <w:pPr>
              <w:spacing w:after="0"/>
              <w:rPr>
                <w:sz w:val="19"/>
                <w:szCs w:val="19"/>
                <w:color w:val="auto"/>
              </w:rPr>
            </w:pPr>
          </w:p>
        </w:tc>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(income) expense, net</w:t>
            </w:r>
          </w:p>
        </w:tc>
        <w:tc>
          <w:tcPr>
            <w:tcW w:w="2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r>
      <w:tr>
        <w:trPr>
          <w:trHeight w:val="223"/>
        </w:trPr>
        <w:tc>
          <w:tcPr>
            <w:tcW w:w="80" w:type="dxa"/>
            <w:vAlign w:val="bottom"/>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5,166.4</w:t>
            </w:r>
          </w:p>
        </w:tc>
      </w:tr>
      <w:tr>
        <w:trPr>
          <w:trHeight w:val="250"/>
        </w:trPr>
        <w:tc>
          <w:tcPr>
            <w:tcW w:w="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3,592.1</w:t>
            </w:r>
          </w:p>
        </w:tc>
      </w:tr>
      <w:tr>
        <w:trPr>
          <w:trHeight w:val="270"/>
        </w:trPr>
        <w:tc>
          <w:tcPr>
            <w:tcW w:w="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80" w:type="dxa"/>
            <w:vAlign w:val="bottom"/>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r>
        <w:trPr>
          <w:trHeight w:val="250"/>
        </w:trPr>
        <w:tc>
          <w:tcPr>
            <w:tcW w:w="80" w:type="dxa"/>
            <w:vAlign w:val="bottom"/>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8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3,534.1</w:t>
            </w:r>
          </w:p>
        </w:tc>
      </w:tr>
      <w:tr>
        <w:trPr>
          <w:trHeight w:val="270"/>
        </w:trPr>
        <w:tc>
          <w:tcPr>
            <w:tcW w:w="80" w:type="dxa"/>
            <w:vAlign w:val="bottom"/>
          </w:tcPr>
          <w:p>
            <w:pPr>
              <w:spacing w:after="0"/>
              <w:rPr>
                <w:sz w:val="23"/>
                <w:szCs w:val="23"/>
                <w:color w:val="auto"/>
              </w:rPr>
            </w:pPr>
          </w:p>
        </w:tc>
        <w:tc>
          <w:tcPr>
            <w:tcW w:w="376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r>
      <w:tr>
        <w:trPr>
          <w:trHeight w:val="250"/>
        </w:trPr>
        <w:tc>
          <w:tcPr>
            <w:tcW w:w="80" w:type="dxa"/>
            <w:vAlign w:val="bottom"/>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8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1,315.7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2,794.0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3,141.3</w:t>
            </w:r>
          </w:p>
        </w:tc>
      </w:tr>
      <w:tr>
        <w:trPr>
          <w:trHeight w:val="20"/>
        </w:trPr>
        <w:tc>
          <w:tcPr>
            <w:tcW w:w="8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30"/>
        </w:trPr>
        <w:tc>
          <w:tcPr>
            <w:tcW w:w="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70"/>
        </w:trPr>
        <w:tc>
          <w:tcPr>
            <w:tcW w:w="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30"/>
        </w:trPr>
        <w:tc>
          <w:tcPr>
            <w:tcW w:w="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9"/>
              </w:rPr>
              <w:t>Weighted average shares outstanding - diluted</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895" w:right="3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1"/>
        </w:trPr>
        <w:tc>
          <w:tcPr>
            <w:tcW w:w="80" w:type="dxa"/>
            <w:vAlign w:val="bottom"/>
          </w:tcPr>
          <w:p>
            <w:pPr>
              <w:spacing w:after="0"/>
              <w:rPr>
                <w:sz w:val="24"/>
                <w:szCs w:val="24"/>
                <w:color w:val="auto"/>
              </w:rPr>
            </w:pPr>
          </w:p>
        </w:tc>
        <w:tc>
          <w:tcPr>
            <w:tcW w:w="7480" w:type="dxa"/>
            <w:vAlign w:val="bottom"/>
            <w:gridSpan w:val="5"/>
          </w:tcPr>
          <w:p>
            <w:pPr>
              <w:jc w:val="center"/>
              <w:ind w:left="351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9960" w:type="dxa"/>
            <w:vAlign w:val="bottom"/>
            <w:gridSpan w:val="11"/>
          </w:tcPr>
          <w:p>
            <w:pPr>
              <w:jc w:val="center"/>
              <w:ind w:left="103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7480" w:type="dxa"/>
            <w:vAlign w:val="bottom"/>
            <w:gridSpan w:val="5"/>
          </w:tcPr>
          <w:p>
            <w:pPr>
              <w:jc w:val="center"/>
              <w:ind w:left="351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50"/>
              <w:spacing w:after="0" w:line="202" w:lineRule="exact"/>
              <w:rPr>
                <w:sz w:val="20"/>
                <w:szCs w:val="20"/>
                <w:color w:val="auto"/>
              </w:rPr>
            </w:pPr>
            <w:r>
              <w:rPr>
                <w:rFonts w:ascii="Arial" w:cs="Arial" w:eastAsia="Arial" w:hAnsi="Arial"/>
                <w:sz w:val="18"/>
                <w:szCs w:val="18"/>
                <w:b w:val="1"/>
                <w:bCs w:val="1"/>
                <w:color w:val="auto"/>
                <w:w w:val="99"/>
              </w:rPr>
              <w:t>Nine Months Ended</w:t>
            </w:r>
          </w:p>
        </w:tc>
      </w:tr>
      <w:tr>
        <w:trPr>
          <w:trHeight w:val="239"/>
        </w:trPr>
        <w:tc>
          <w:tcPr>
            <w:tcW w:w="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80" w:type="dxa"/>
            <w:vAlign w:val="bottom"/>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23"/>
        </w:trPr>
        <w:tc>
          <w:tcPr>
            <w:tcW w:w="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2,549.4</w:t>
            </w:r>
          </w:p>
        </w:tc>
      </w:tr>
      <w:tr>
        <w:trPr>
          <w:trHeight w:val="229"/>
        </w:trPr>
        <w:tc>
          <w:tcPr>
            <w:tcW w:w="8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275.8</w:t>
            </w:r>
          </w:p>
        </w:tc>
      </w:tr>
      <w:tr>
        <w:trPr>
          <w:trHeight w:val="230"/>
        </w:trPr>
        <w:tc>
          <w:tcPr>
            <w:tcW w:w="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2,258.0</w:t>
            </w:r>
          </w:p>
        </w:tc>
      </w:tr>
      <w:tr>
        <w:trPr>
          <w:trHeight w:val="20"/>
        </w:trPr>
        <w:tc>
          <w:tcPr>
            <w:tcW w:w="8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0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29"/>
        </w:trPr>
        <w:tc>
          <w:tcPr>
            <w:tcW w:w="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640.5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1,455.4</w:t>
            </w:r>
          </w:p>
        </w:tc>
      </w:tr>
      <w:tr>
        <w:trPr>
          <w:trHeight w:val="230"/>
        </w:trPr>
        <w:tc>
          <w:tcPr>
            <w:tcW w:w="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29"/>
        </w:trPr>
        <w:tc>
          <w:tcPr>
            <w:tcW w:w="80" w:type="dxa"/>
            <w:vAlign w:val="bottom"/>
          </w:tcPr>
          <w:p>
            <w:pPr>
              <w:spacing w:after="0"/>
              <w:rPr>
                <w:sz w:val="19"/>
                <w:szCs w:val="19"/>
                <w:color w:val="auto"/>
              </w:rPr>
            </w:pPr>
          </w:p>
        </w:tc>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and integration costs</w:t>
            </w: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8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1,274.3</w:t>
            </w:r>
          </w:p>
        </w:tc>
      </w:tr>
      <w:tr>
        <w:trPr>
          <w:trHeight w:val="20"/>
        </w:trPr>
        <w:tc>
          <w:tcPr>
            <w:tcW w:w="8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r>
      <w:tr>
        <w:trPr>
          <w:trHeight w:val="229"/>
        </w:trPr>
        <w:tc>
          <w:tcPr>
            <w:tcW w:w="8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 related to REGEN-COV</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23"/>
        </w:trPr>
        <w:tc>
          <w:tcPr>
            <w:tcW w:w="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1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w:t>
            </w:r>
          </w:p>
        </w:tc>
      </w:tr>
      <w:tr>
        <w:trPr>
          <w:trHeight w:val="20"/>
        </w:trPr>
        <w:tc>
          <w:tcPr>
            <w:tcW w:w="8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0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29"/>
        </w:trPr>
        <w:tc>
          <w:tcPr>
            <w:tcW w:w="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(gains) on investments, net</w:t>
            </w:r>
          </w:p>
        </w:tc>
        <w:tc>
          <w:tcPr>
            <w:tcW w:w="1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23"/>
        </w:trPr>
        <w:tc>
          <w:tcPr>
            <w:tcW w:w="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1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0"/>
        </w:trPr>
        <w:tc>
          <w:tcPr>
            <w:tcW w:w="8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0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1,315.7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2,794.0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3,141.3</w:t>
            </w:r>
          </w:p>
        </w:tc>
      </w:tr>
      <w:tr>
        <w:trPr>
          <w:trHeight w:val="229"/>
        </w:trPr>
        <w:tc>
          <w:tcPr>
            <w:tcW w:w="80" w:type="dxa"/>
            <w:vAlign w:val="bottom"/>
          </w:tcPr>
          <w:p>
            <w:pPr>
              <w:spacing w:after="0"/>
              <w:rPr>
                <w:sz w:val="19"/>
                <w:szCs w:val="19"/>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r>
      <w:tr>
        <w:trPr>
          <w:trHeight w:val="230"/>
        </w:trPr>
        <w:tc>
          <w:tcPr>
            <w:tcW w:w="80" w:type="dxa"/>
            <w:vAlign w:val="bottom"/>
          </w:tcPr>
          <w:p>
            <w:pPr>
              <w:spacing w:after="0"/>
              <w:rPr>
                <w:sz w:val="19"/>
                <w:szCs w:val="19"/>
                <w:color w:val="auto"/>
              </w:rPr>
            </w:pPr>
          </w:p>
        </w:tc>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r>
      <w:tr>
        <w:trPr>
          <w:trHeight w:val="248"/>
        </w:trPr>
        <w:tc>
          <w:tcPr>
            <w:tcW w:w="8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3,714.9</w:t>
            </w:r>
          </w:p>
        </w:tc>
      </w:tr>
      <w:tr>
        <w:trPr>
          <w:trHeight w:val="20"/>
        </w:trPr>
        <w:tc>
          <w:tcPr>
            <w:tcW w:w="8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r>
      <w:tr>
        <w:trPr>
          <w:trHeight w:val="229"/>
        </w:trPr>
        <w:tc>
          <w:tcPr>
            <w:tcW w:w="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32.39</w:t>
            </w:r>
          </w:p>
        </w:tc>
      </w:tr>
      <w:tr>
        <w:trPr>
          <w:trHeight w:val="162"/>
        </w:trPr>
        <w:tc>
          <w:tcPr>
            <w:tcW w:w="80" w:type="dxa"/>
            <w:vAlign w:val="bottom"/>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30"/>
        </w:trPr>
        <w:tc>
          <w:tcPr>
            <w:tcW w:w="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863"/>
        </w:trPr>
        <w:tc>
          <w:tcPr>
            <w:tcW w:w="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9"/>
              </w:rPr>
              <w:t>14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80"/>
          </w:cols>
          <w:pgMar w:left="320" w:top="895" w:right="3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gridSpan w:val="9"/>
          </w:tcPr>
          <w:p>
            <w:pPr>
              <w:ind w:left="1500"/>
              <w:spacing w:after="0"/>
              <w:rPr>
                <w:sz w:val="20"/>
                <w:szCs w:val="20"/>
                <w:color w:val="auto"/>
              </w:rPr>
            </w:pPr>
            <w:r>
              <w:rPr>
                <w:rFonts w:ascii="Arial" w:cs="Arial" w:eastAsia="Arial" w:hAnsi="Arial"/>
                <w:sz w:val="18"/>
                <w:szCs w:val="18"/>
                <w:b w:val="1"/>
                <w:bCs w:val="1"/>
                <w:color w:val="auto"/>
              </w:rPr>
              <w:t xml:space="preserve">RECONCILIATION OF GAAP TO NON-GAAP FINANCIAL INFORMATION (Unaudited) </w:t>
            </w:r>
            <w:r>
              <w:rPr>
                <w:rFonts w:ascii="Arial" w:cs="Arial" w:eastAsia="Arial" w:hAnsi="Arial"/>
                <w:sz w:val="18"/>
                <w:szCs w:val="18"/>
                <w:b w:val="1"/>
                <w:bCs w:val="1"/>
                <w:i w:val="1"/>
                <w:iCs w:val="1"/>
                <w:color w:val="auto"/>
              </w:rPr>
              <w:t>(continued)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 reconciliation: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3,362.7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2,936.2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9,682.9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8,758.5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Global gross profit payment from Roche in connection with sales of Ronapreve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excluding Ronapreve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8,527.6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GAAP ETR</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Nine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3,504.3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3,295.0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54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134" w:right="3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1"/>
        </w:trPr>
        <w:tc>
          <w:tcPr>
            <w:tcW w:w="80" w:type="dxa"/>
            <w:vAlign w:val="bottom"/>
          </w:tcPr>
          <w:p>
            <w:pPr>
              <w:spacing w:after="0"/>
              <w:rPr>
                <w:sz w:val="24"/>
                <w:szCs w:val="24"/>
                <w:color w:val="auto"/>
              </w:rPr>
            </w:pPr>
          </w:p>
        </w:tc>
        <w:tc>
          <w:tcPr>
            <w:tcW w:w="7480" w:type="dxa"/>
            <w:vAlign w:val="bottom"/>
            <w:gridSpan w:val="4"/>
          </w:tcPr>
          <w:p>
            <w:pPr>
              <w:jc w:val="center"/>
              <w:ind w:left="351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7480" w:type="dxa"/>
            <w:vAlign w:val="bottom"/>
            <w:gridSpan w:val="4"/>
          </w:tcPr>
          <w:p>
            <w:pPr>
              <w:jc w:val="center"/>
              <w:ind w:left="3530"/>
              <w:spacing w:after="0"/>
              <w:rPr>
                <w:sz w:val="20"/>
                <w:szCs w:val="20"/>
                <w:color w:val="auto"/>
              </w:rPr>
            </w:pPr>
            <w:r>
              <w:rPr>
                <w:rFonts w:ascii="Arial" w:cs="Arial" w:eastAsia="Arial" w:hAnsi="Arial"/>
                <w:sz w:val="18"/>
                <w:szCs w:val="18"/>
                <w:b w:val="1"/>
                <w:bCs w:val="1"/>
                <w:color w:val="auto"/>
                <w:w w:val="98"/>
              </w:rPr>
              <w:t>COLLABORATION REVENUE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6240" w:type="dxa"/>
            <w:vAlign w:val="bottom"/>
          </w:tcPr>
          <w:p>
            <w:pPr>
              <w:jc w:val="center"/>
              <w:ind w:left="477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50"/>
              <w:spacing w:after="0" w:line="202" w:lineRule="exact"/>
              <w:rPr>
                <w:sz w:val="20"/>
                <w:szCs w:val="20"/>
                <w:color w:val="auto"/>
              </w:rPr>
            </w:pPr>
            <w:r>
              <w:rPr>
                <w:rFonts w:ascii="Arial" w:cs="Arial" w:eastAsia="Arial" w:hAnsi="Arial"/>
                <w:sz w:val="18"/>
                <w:szCs w:val="18"/>
                <w:b w:val="1"/>
                <w:bCs w:val="1"/>
                <w:color w:val="auto"/>
                <w:w w:val="99"/>
              </w:rPr>
              <w:t>Nine Months Ended</w:t>
            </w:r>
          </w:p>
        </w:tc>
      </w:tr>
      <w:tr>
        <w:trPr>
          <w:trHeight w:val="239"/>
        </w:trPr>
        <w:tc>
          <w:tcPr>
            <w:tcW w:w="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80" w:type="dxa"/>
            <w:vAlign w:val="bottom"/>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10"/>
        </w:trPr>
        <w:tc>
          <w:tcPr>
            <w:tcW w:w="8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Antibody: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Regeneron's share of profits in connection with commercialization of antibodies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1,463.0</w:t>
            </w:r>
          </w:p>
        </w:tc>
      </w:tr>
      <w:tr>
        <w:trPr>
          <w:trHeight w:val="229"/>
        </w:trPr>
        <w:tc>
          <w:tcPr>
            <w:tcW w:w="8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Sales-based milestones earned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r>
      <w:tr>
        <w:trPr>
          <w:trHeight w:val="230"/>
        </w:trPr>
        <w:tc>
          <w:tcPr>
            <w:tcW w:w="8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0" w:type="dxa"/>
            <w:vAlign w:val="bottom"/>
          </w:tcPr>
          <w:p>
            <w:pPr>
              <w:spacing w:after="0"/>
              <w:rPr>
                <w:sz w:val="19"/>
                <w:szCs w:val="19"/>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Immuno-oncology</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80" w:type="dxa"/>
            <w:vAlign w:val="bottom"/>
          </w:tcPr>
          <w:p>
            <w:pPr>
              <w:spacing w:after="0"/>
              <w:rPr>
                <w:sz w:val="19"/>
                <w:szCs w:val="19"/>
                <w:color w:val="auto"/>
              </w:rPr>
            </w:pPr>
          </w:p>
        </w:tc>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2,019.8</w:t>
            </w:r>
          </w:p>
        </w:tc>
      </w:tr>
      <w:tr>
        <w:trPr>
          <w:trHeight w:val="250"/>
        </w:trPr>
        <w:tc>
          <w:tcPr>
            <w:tcW w:w="80" w:type="dxa"/>
            <w:vAlign w:val="bottom"/>
          </w:tcPr>
          <w:p>
            <w:pPr>
              <w:spacing w:after="0"/>
              <w:rPr>
                <w:sz w:val="21"/>
                <w:szCs w:val="21"/>
                <w:color w:val="auto"/>
              </w:rPr>
            </w:pPr>
          </w:p>
        </w:tc>
        <w:tc>
          <w:tcPr>
            <w:tcW w:w="6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6"/>
        </w:trPr>
        <w:tc>
          <w:tcPr>
            <w:tcW w:w="80" w:type="dxa"/>
            <w:vAlign w:val="bottom"/>
          </w:tcPr>
          <w:p>
            <w:pPr>
              <w:spacing w:after="0"/>
              <w:rPr>
                <w:sz w:val="15"/>
                <w:szCs w:val="15"/>
                <w:color w:val="auto"/>
              </w:rPr>
            </w:pPr>
          </w:p>
        </w:tc>
        <w:tc>
          <w:tcPr>
            <w:tcW w:w="6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Regeneron's share of profits in connection with commercialization of EYLEA</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80" w:type="dxa"/>
            <w:vAlign w:val="bottom"/>
          </w:tcPr>
          <w:p>
            <w:pPr>
              <w:spacing w:after="0"/>
              <w:rPr>
                <w:sz w:val="21"/>
                <w:szCs w:val="21"/>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outside the United States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r>
      <w:tr>
        <w:trPr>
          <w:trHeight w:val="230"/>
        </w:trPr>
        <w:tc>
          <w:tcPr>
            <w:tcW w:w="8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Reimbursement for manufacturing of ex-U.S. commercial supplies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29"/>
        </w:trPr>
        <w:tc>
          <w:tcPr>
            <w:tcW w:w="80" w:type="dxa"/>
            <w:vAlign w:val="bottom"/>
          </w:tcPr>
          <w:p>
            <w:pPr>
              <w:spacing w:after="0"/>
              <w:rPr>
                <w:sz w:val="19"/>
                <w:szCs w:val="19"/>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One-time payment in connection with change in Japan arrangement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80" w:type="dxa"/>
            <w:vAlign w:val="bottom"/>
          </w:tcPr>
          <w:p>
            <w:pPr>
              <w:spacing w:after="0"/>
              <w:rPr>
                <w:sz w:val="19"/>
                <w:szCs w:val="19"/>
                <w:color w:val="auto"/>
              </w:rPr>
            </w:pPr>
          </w:p>
        </w:tc>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1,075.6</w:t>
            </w:r>
          </w:p>
        </w:tc>
      </w:tr>
      <w:tr>
        <w:trPr>
          <w:trHeight w:val="250"/>
        </w:trPr>
        <w:tc>
          <w:tcPr>
            <w:tcW w:w="80" w:type="dxa"/>
            <w:vAlign w:val="bottom"/>
          </w:tcPr>
          <w:p>
            <w:pPr>
              <w:spacing w:after="0"/>
              <w:rPr>
                <w:sz w:val="21"/>
                <w:szCs w:val="21"/>
                <w:color w:val="auto"/>
              </w:rPr>
            </w:pPr>
          </w:p>
        </w:tc>
        <w:tc>
          <w:tcPr>
            <w:tcW w:w="6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Other collaboration revenue: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Global gross profit payment from Roche in connection with sales of Ronapreve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30"/>
        </w:trPr>
        <w:tc>
          <w:tcPr>
            <w:tcW w:w="8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80" w:type="dxa"/>
            <w:vAlign w:val="bottom"/>
          </w:tcPr>
          <w:p>
            <w:pPr>
              <w:spacing w:after="0"/>
              <w:rPr>
                <w:sz w:val="23"/>
                <w:szCs w:val="23"/>
                <w:color w:val="auto"/>
              </w:rPr>
            </w:pPr>
          </w:p>
        </w:tc>
        <w:tc>
          <w:tcPr>
            <w:tcW w:w="62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r>
      <w:tr>
        <w:trPr>
          <w:trHeight w:val="223"/>
        </w:trPr>
        <w:tc>
          <w:tcPr>
            <w:tcW w:w="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3,326.7</w:t>
            </w:r>
          </w:p>
        </w:tc>
      </w:tr>
      <w:tr>
        <w:trPr>
          <w:trHeight w:val="20"/>
        </w:trPr>
        <w:tc>
          <w:tcPr>
            <w:tcW w:w="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895" w:right="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gridSpan w:val="9"/>
          </w:tcPr>
          <w:p>
            <w:pPr>
              <w:jc w:val="center"/>
              <w:ind w:right="1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980" w:type="dxa"/>
            <w:vAlign w:val="bottom"/>
            <w:gridSpan w:val="19"/>
          </w:tcPr>
          <w:p>
            <w:pPr>
              <w:jc w:val="center"/>
              <w:ind w:right="260"/>
              <w:spacing w:after="0"/>
              <w:rPr>
                <w:sz w:val="20"/>
                <w:szCs w:val="20"/>
                <w:color w:val="auto"/>
              </w:rPr>
            </w:pPr>
            <w:r>
              <w:rPr>
                <w:rFonts w:ascii="Arial" w:cs="Arial" w:eastAsia="Arial" w:hAnsi="Arial"/>
                <w:sz w:val="18"/>
                <w:szCs w:val="18"/>
                <w:b w:val="1"/>
                <w:bCs w:val="1"/>
                <w:color w:val="auto"/>
                <w:w w:val="97"/>
              </w:rPr>
              <w:t>NET PRODUCT SALES OF REGENERON-DISCOVERED PRODUCTS (Unaudited)</w:t>
            </w:r>
          </w:p>
        </w:tc>
        <w:tc>
          <w:tcPr>
            <w:tcW w:w="14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b w:val="1"/>
                <w:bCs w:val="1"/>
                <w:i w:val="1"/>
                <w:iCs w:val="1"/>
                <w:color w:val="auto"/>
                <w:w w:val="93"/>
              </w:rPr>
              <w:t>(In millions)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line="223" w:lineRule="exact"/>
              <w:rPr>
                <w:sz w:val="20"/>
                <w:szCs w:val="20"/>
                <w:color w:val="auto"/>
              </w:rPr>
            </w:pPr>
            <w:r>
              <w:rPr>
                <w:rFonts w:ascii="Arial" w:cs="Arial" w:eastAsia="Arial" w:hAnsi="Arial"/>
                <w:sz w:val="18"/>
                <w:szCs w:val="18"/>
                <w:b w:val="1"/>
                <w:bCs w:val="1"/>
                <w:color w:val="auto"/>
                <w:w w:val="95"/>
              </w:rPr>
              <w:t>ROW</w:t>
            </w:r>
            <w:r>
              <w:rPr>
                <w:rFonts w:ascii="Arial" w:cs="Arial" w:eastAsia="Arial" w:hAnsi="Arial"/>
                <w:sz w:val="23"/>
                <w:szCs w:val="23"/>
                <w:color w:val="auto"/>
                <w:w w:val="95"/>
                <w:vertAlign w:val="superscript"/>
              </w:rPr>
              <w:t>(g)</w:t>
            </w:r>
          </w:p>
        </w:tc>
        <w:tc>
          <w:tcPr>
            <w:tcW w:w="1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(h)</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304"/>
        </w:trPr>
        <w:tc>
          <w:tcPr>
            <w:tcW w:w="4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37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ROW</w:t>
            </w:r>
          </w:p>
        </w:tc>
        <w:tc>
          <w:tcPr>
            <w:tcW w:w="1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(a)</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(h)</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613.2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304"/>
        </w:trPr>
        <w:tc>
          <w:tcPr>
            <w:tcW w:w="4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21 %</w:t>
            </w:r>
          </w:p>
        </w:tc>
      </w:tr>
    </w:tbl>
    <w:p>
      <w:pPr>
        <w:spacing w:after="0" w:line="23" w:lineRule="exact"/>
        <w:rPr>
          <w:sz w:val="20"/>
          <w:szCs w:val="20"/>
          <w:color w:val="auto"/>
        </w:rPr>
      </w:pPr>
    </w:p>
    <w:p>
      <w:pPr>
        <w:ind w:left="260" w:right="400" w:firstLine="2"/>
        <w:spacing w:after="0" w:line="226" w:lineRule="auto"/>
        <w:tabs>
          <w:tab w:leader="none" w:pos="43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and EYLEA HD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20"/>
          <w:szCs w:val="20"/>
          <w:color w:val="auto"/>
          <w:vertAlign w:val="superscript"/>
        </w:rPr>
      </w:pPr>
    </w:p>
    <w:p>
      <w:pPr>
        <w:ind w:left="260" w:right="280" w:firstLine="2"/>
        <w:spacing w:after="0" w:line="213" w:lineRule="auto"/>
        <w:tabs>
          <w:tab w:leader="none" w:pos="437"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and Kevzara. The Company records its share of profits/losses in connection with global sales of Dupixent and Kevzara.</w:t>
      </w:r>
    </w:p>
    <w:p>
      <w:pPr>
        <w:spacing w:after="0" w:line="10" w:lineRule="exact"/>
        <w:rPr>
          <w:rFonts w:ascii="Arial" w:cs="Arial" w:eastAsia="Arial" w:hAnsi="Arial"/>
          <w:sz w:val="21"/>
          <w:szCs w:val="21"/>
          <w:color w:val="auto"/>
          <w:vertAlign w:val="superscript"/>
        </w:rPr>
      </w:pPr>
    </w:p>
    <w:p>
      <w:pPr>
        <w:ind w:left="260" w:right="220" w:firstLine="2"/>
        <w:spacing w:after="0" w:line="220" w:lineRule="auto"/>
        <w:tabs>
          <w:tab w:leader="none" w:pos="43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Included in this line item for the nine months ended September 30, 2023 is $6 million of first quarter 2023 net product sales recorded by Sanofi in connection with sales in certain markets outside the United States (Sanofi recorded net product sales in such markets during a transition period until inventory on hand as of July 1, 2022 had been sold through to the end customers).</w:t>
      </w:r>
    </w:p>
    <w:p>
      <w:pPr>
        <w:spacing w:after="0" w:line="10" w:lineRule="exact"/>
        <w:rPr>
          <w:rFonts w:ascii="Arial" w:cs="Arial" w:eastAsia="Arial" w:hAnsi="Arial"/>
          <w:sz w:val="21"/>
          <w:szCs w:val="21"/>
          <w:color w:val="auto"/>
          <w:vertAlign w:val="superscript"/>
        </w:rPr>
      </w:pPr>
    </w:p>
    <w:p>
      <w:pPr>
        <w:ind w:left="260" w:right="160" w:firstLine="2"/>
        <w:spacing w:after="0" w:line="213" w:lineRule="auto"/>
        <w:tabs>
          <w:tab w:leader="none" w:pos="437"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Praluent in the United States. Sanofi records net product sales of Praluent outside the United States and pays the Company a royalty on such sales.</w:t>
      </w:r>
    </w:p>
    <w:p>
      <w:pPr>
        <w:spacing w:after="0" w:line="10" w:lineRule="exact"/>
        <w:rPr>
          <w:rFonts w:ascii="Arial" w:cs="Arial" w:eastAsia="Arial" w:hAnsi="Arial"/>
          <w:sz w:val="21"/>
          <w:szCs w:val="21"/>
          <w:color w:val="auto"/>
          <w:vertAlign w:val="superscript"/>
        </w:rPr>
      </w:pPr>
    </w:p>
    <w:p>
      <w:pPr>
        <w:ind w:left="260" w:right="220" w:firstLine="2"/>
        <w:spacing w:after="0" w:line="226" w:lineRule="auto"/>
        <w:tabs>
          <w:tab w:leader="none" w:pos="43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the United States and Roche records net product sales of Ronapreve outside the United States. The parties share gross profits from global sales of REGEN-COV and Ronapreve based on a pre-specified formula.</w:t>
      </w:r>
    </w:p>
    <w:p>
      <w:pPr>
        <w:spacing w:after="0" w:line="9" w:lineRule="exact"/>
        <w:rPr>
          <w:rFonts w:ascii="Arial" w:cs="Arial" w:eastAsia="Arial" w:hAnsi="Arial"/>
          <w:sz w:val="20"/>
          <w:szCs w:val="20"/>
          <w:color w:val="auto"/>
          <w:vertAlign w:val="superscript"/>
        </w:rPr>
      </w:pPr>
    </w:p>
    <w:p>
      <w:pPr>
        <w:ind w:left="260" w:right="180" w:firstLine="2"/>
        <w:spacing w:after="0" w:line="184" w:lineRule="auto"/>
        <w:tabs>
          <w:tab w:leader="none" w:pos="417"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Included in this line item are products which are sold by the Company and others. Refer to "Third Quarter 2023 Financial Results" section above for a complete listing of net product sales recorded by the Company. Not included in this line item are net product sales of ARCALYST</w:t>
      </w:r>
      <w:r>
        <w:rPr>
          <w:rFonts w:ascii="Arial" w:cs="Arial" w:eastAsia="Arial" w:hAnsi="Arial"/>
          <w:sz w:val="21"/>
          <w:szCs w:val="21"/>
          <w:color w:val="auto"/>
          <w:vertAlign w:val="superscript"/>
        </w:rPr>
        <w:t>®</w:t>
      </w:r>
      <w:r>
        <w:rPr>
          <w:rFonts w:ascii="Arial" w:cs="Arial" w:eastAsia="Arial" w:hAnsi="Arial"/>
          <w:sz w:val="16"/>
          <w:szCs w:val="16"/>
          <w:color w:val="auto"/>
        </w:rPr>
        <w:t>, which are recorded by Kiniksa; net product sales of ARCALYST were $54 million for the second quarter of 2023.</w:t>
      </w:r>
    </w:p>
    <w:p>
      <w:pPr>
        <w:spacing w:after="0" w:line="1" w:lineRule="exact"/>
        <w:rPr>
          <w:rFonts w:ascii="Arial" w:cs="Arial" w:eastAsia="Arial" w:hAnsi="Arial"/>
          <w:sz w:val="23"/>
          <w:szCs w:val="23"/>
          <w:color w:val="auto"/>
          <w:vertAlign w:val="superscript"/>
        </w:rPr>
      </w:pPr>
    </w:p>
    <w:p>
      <w:pPr>
        <w:ind w:left="440" w:hanging="178"/>
        <w:spacing w:after="0" w:line="214" w:lineRule="auto"/>
        <w:tabs>
          <w:tab w:leader="none" w:pos="44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Rest of world (ROW)</w:t>
      </w:r>
    </w:p>
    <w:p>
      <w:pPr>
        <w:spacing w:after="0" w:line="24" w:lineRule="exact"/>
        <w:rPr>
          <w:rFonts w:ascii="Arial" w:cs="Arial" w:eastAsia="Arial" w:hAnsi="Arial"/>
          <w:sz w:val="21"/>
          <w:szCs w:val="21"/>
          <w:color w:val="auto"/>
          <w:vertAlign w:val="superscript"/>
        </w:rPr>
      </w:pPr>
    </w:p>
    <w:p>
      <w:pPr>
        <w:ind w:left="440" w:hanging="178"/>
        <w:spacing w:after="0" w:line="191" w:lineRule="auto"/>
        <w:tabs>
          <w:tab w:leader="none" w:pos="44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2023-11-02T06:16:05Z</dcterms:created>
  <dcterms:modified xsi:type="dcterms:W3CDTF">2023-11-02T06:16:05Z</dcterms:modified>
</cp:coreProperties>
</file>