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03/24/2014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3"/>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8"/>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3,027</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299.0082</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18,486,392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3,988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300.2401</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18,490,380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1,582</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301.2392</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18,491,962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1,509</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302.0969</w:t>
            </w:r>
            <w:r>
              <w:rPr>
                <w:rFonts w:ascii="Arial" w:cs="Arial" w:eastAsia="Arial" w:hAnsi="Arial"/>
                <w:sz w:val="22"/>
                <w:szCs w:val="22"/>
                <w:color w:val="008000"/>
                <w:w w:val="84"/>
                <w:vertAlign w:val="superscript"/>
              </w:rPr>
              <w:t>(1)(7)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18,493,471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6,592</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303.3339</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18,500,063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22,106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304.3466</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18,522,169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39,976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305.0842</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18,562,145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45,101</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306.2251</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18,607,246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32,358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307.1719</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18,639,604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24,473</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308.2074</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18,664,077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20,627</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309.3008</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18,684,704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36,189</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310.2267</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18,720,893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36,778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311.2042</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18,757,671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17,213</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312.1853</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18,774,884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11,628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313.1076</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18,786,512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3,798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314.215</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18,790,310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8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400" w:type="dxa"/>
            <w:vAlign w:val="bottom"/>
            <w:gridSpan w:val="8"/>
          </w:tcPr>
          <w:p>
            <w:pPr>
              <w:ind w:left="40"/>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Execution Date,</w:t>
            </w:r>
          </w:p>
        </w:tc>
        <w:tc>
          <w:tcPr>
            <w:tcW w:w="9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Transaction</w:t>
            </w:r>
          </w:p>
        </w:tc>
        <w:tc>
          <w:tcPr>
            <w:tcW w:w="720" w:type="dxa"/>
            <w:vAlign w:val="bottom"/>
          </w:tcPr>
          <w:p>
            <w:pPr>
              <w:ind w:left="20"/>
              <w:spacing w:after="0" w:line="92" w:lineRule="exact"/>
              <w:rPr>
                <w:sz w:val="20"/>
                <w:szCs w:val="20"/>
                <w:color w:val="auto"/>
              </w:rPr>
            </w:pPr>
            <w:r>
              <w:rPr>
                <w:rFonts w:ascii="Arial" w:cs="Arial" w:eastAsia="Arial" w:hAnsi="Arial"/>
                <w:sz w:val="10"/>
                <w:szCs w:val="10"/>
                <w:b w:val="1"/>
                <w:bCs w:val="1"/>
                <w:color w:val="auto"/>
              </w:rPr>
              <w:t>of</w:t>
            </w:r>
          </w:p>
        </w:tc>
        <w:tc>
          <w:tcPr>
            <w:tcW w:w="1580" w:type="dxa"/>
            <w:vAlign w:val="bottom"/>
            <w:gridSpan w:val="2"/>
          </w:tcPr>
          <w:p>
            <w:pPr>
              <w:ind w:left="80"/>
              <w:spacing w:after="0" w:line="92" w:lineRule="exact"/>
              <w:rPr>
                <w:sz w:val="20"/>
                <w:szCs w:val="20"/>
                <w:color w:val="auto"/>
              </w:rPr>
            </w:pPr>
            <w:r>
              <w:rPr>
                <w:rFonts w:ascii="Arial" w:cs="Arial" w:eastAsia="Arial" w:hAnsi="Arial"/>
                <w:sz w:val="10"/>
                <w:szCs w:val="10"/>
                <w:b w:val="1"/>
                <w:bCs w:val="1"/>
                <w:color w:val="auto"/>
              </w:rPr>
              <w:t>Expiration Date</w:t>
            </w:r>
          </w:p>
        </w:tc>
        <w:tc>
          <w:tcPr>
            <w:tcW w:w="11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Amount of</w:t>
            </w:r>
          </w:p>
        </w:tc>
        <w:tc>
          <w:tcPr>
            <w:tcW w:w="76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Derivative</w:t>
            </w: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spacing w:after="0"/>
              <w:rPr>
                <w:sz w:val="4"/>
                <w:szCs w:val="4"/>
                <w:color w:val="auto"/>
              </w:rPr>
            </w:pPr>
          </w:p>
        </w:tc>
        <w:tc>
          <w:tcPr>
            <w:tcW w:w="9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Code (Instr.</w:t>
            </w:r>
          </w:p>
        </w:tc>
        <w:tc>
          <w:tcPr>
            <w:tcW w:w="720" w:type="dxa"/>
            <w:vAlign w:val="bottom"/>
          </w:tcPr>
          <w:p>
            <w:pPr>
              <w:ind w:left="20"/>
              <w:spacing w:after="0" w:line="57" w:lineRule="exact"/>
              <w:rPr>
                <w:sz w:val="20"/>
                <w:szCs w:val="20"/>
                <w:color w:val="auto"/>
              </w:rPr>
            </w:pPr>
            <w:r>
              <w:rPr>
                <w:rFonts w:ascii="Arial" w:cs="Arial" w:eastAsia="Arial" w:hAnsi="Arial"/>
                <w:sz w:val="6"/>
                <w:szCs w:val="6"/>
                <w:b w:val="1"/>
                <w:bCs w:val="1"/>
                <w:color w:val="auto"/>
              </w:rPr>
              <w:t>De iv tive</w:t>
            </w:r>
          </w:p>
        </w:tc>
        <w:tc>
          <w:tcPr>
            <w:tcW w:w="1580" w:type="dxa"/>
            <w:vAlign w:val="bottom"/>
            <w:gridSpan w:val="2"/>
          </w:tcPr>
          <w:p>
            <w:pPr>
              <w:ind w:left="80"/>
              <w:spacing w:after="0" w:line="57" w:lineRule="exact"/>
              <w:rPr>
                <w:sz w:val="20"/>
                <w:szCs w:val="20"/>
                <w:color w:val="auto"/>
              </w:rPr>
            </w:pPr>
            <w:r>
              <w:rPr>
                <w:rFonts w:ascii="Arial" w:cs="Arial" w:eastAsia="Arial" w:hAnsi="Arial"/>
                <w:sz w:val="6"/>
                <w:szCs w:val="6"/>
                <w:b w:val="1"/>
                <w:bCs w:val="1"/>
                <w:color w:val="auto"/>
              </w:rPr>
              <w:t>(Month/Day/Year)</w:t>
            </w:r>
          </w:p>
        </w:tc>
        <w:tc>
          <w:tcPr>
            <w:tcW w:w="11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Securities</w:t>
            </w:r>
          </w:p>
        </w:tc>
        <w:tc>
          <w:tcPr>
            <w:tcW w:w="76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440" w:type="dxa"/>
            <w:vAlign w:val="bottom"/>
            <w:gridSpan w:val="6"/>
          </w:tcPr>
          <w:p>
            <w:pPr>
              <w:ind w:left="80"/>
              <w:spacing w:after="0" w:line="79" w:lineRule="exact"/>
              <w:rPr>
                <w:sz w:val="20"/>
                <w:szCs w:val="20"/>
                <w:color w:val="auto"/>
              </w:rPr>
            </w:pPr>
            <w:r>
              <w:rPr>
                <w:rFonts w:ascii="Arial" w:cs="Arial" w:eastAsia="Arial" w:hAnsi="Arial"/>
                <w:sz w:val="7"/>
                <w:szCs w:val="7"/>
                <w:b w:val="1"/>
                <w:bCs w:val="1"/>
                <w:color w:val="auto"/>
              </w:rPr>
              <w:t xml:space="preserve">if any   </w:t>
            </w:r>
            <w:r>
              <w:rPr>
                <w:rFonts w:ascii="Arial" w:cs="Arial" w:eastAsia="Arial" w:hAnsi="Arial"/>
                <w:sz w:val="9"/>
                <w:szCs w:val="9"/>
                <w:b w:val="1"/>
                <w:bCs w:val="1"/>
                <w:color w:val="auto"/>
              </w:rPr>
              <w:t>(e.g., puts, calls,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warrants,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options, convertible securities)</w:t>
            </w: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3"/>
                <w:szCs w:val="13"/>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94"/>
              </w:rPr>
              <w:t>7. Title andAmount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Amountorof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SecuritiesNumber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79"/>
              </w:rPr>
              <w:t>Acquired(A)(D)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83"/>
              </w:rPr>
              <w:t>DerivativeTitleShares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0" w:type="dxa"/>
            <w:vAlign w:val="bottom"/>
            <w:gridSpan w:val="15"/>
          </w:tcPr>
          <w:p>
            <w:pPr>
              <w:ind w:left="20"/>
              <w:spacing w:after="0" w:line="54" w:lineRule="exact"/>
              <w:rPr>
                <w:sz w:val="20"/>
                <w:szCs w:val="20"/>
                <w:color w:val="auto"/>
              </w:rPr>
            </w:pPr>
            <w:r>
              <w:rPr>
                <w:rFonts w:ascii="Arial" w:cs="Arial" w:eastAsia="Arial" w:hAnsi="Arial"/>
                <w:sz w:val="6"/>
                <w:szCs w:val="6"/>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(Instr. 3, 4</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(Instr. 4)</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0" w:type="dxa"/>
            <w:vAlign w:val="bottom"/>
            <w:gridSpan w:val="15"/>
          </w:tcPr>
          <w:p>
            <w:pPr>
              <w:ind w:left="20"/>
              <w:spacing w:after="0" w:line="68" w:lineRule="exact"/>
              <w:rPr>
                <w:sz w:val="20"/>
                <w:szCs w:val="20"/>
                <w:color w:val="auto"/>
              </w:rPr>
            </w:pPr>
            <w:r>
              <w:rPr>
                <w:rFonts w:ascii="Arial" w:cs="Arial" w:eastAsia="Arial" w:hAnsi="Arial"/>
                <w:sz w:val="7"/>
                <w:szCs w:val="7"/>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4"/>
                <w:szCs w:val="14"/>
                <w:color w:val="008000"/>
              </w:rPr>
              <w:t>separate price within the range.</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008000"/>
                <w:w w:val="88"/>
              </w:rPr>
              <w:t>2. Represents shares acquired directly by sanofi-aventis Amerique du Nord ("SAAN").</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ind w:left="520"/>
              <w:spacing w:after="0" w:line="82" w:lineRule="exact"/>
              <w:rPr>
                <w:sz w:val="20"/>
                <w:szCs w:val="20"/>
                <w:color w:val="auto"/>
              </w:rPr>
            </w:pPr>
            <w:r>
              <w:rPr>
                <w:rFonts w:ascii="Arial" w:cs="Arial" w:eastAsia="Arial" w:hAnsi="Arial"/>
                <w:sz w:val="9"/>
                <w:szCs w:val="9"/>
                <w:b w:val="1"/>
                <w:bCs w:val="1"/>
                <w:color w:val="auto"/>
              </w:rPr>
              <w:t>or</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58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58127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2"/>
        </w:trPr>
        <w:tc>
          <w:tcPr>
            <w:tcW w:w="5680" w:type="dxa"/>
            <w:vAlign w:val="bottom"/>
          </w:tcPr>
          <w:p>
            <w:pPr>
              <w:spacing w:after="0"/>
              <w:rPr>
                <w:sz w:val="20"/>
                <w:szCs w:val="20"/>
                <w:color w:val="auto"/>
              </w:rPr>
            </w:pPr>
            <w:r>
              <w:rPr>
                <w:rFonts w:ascii="Arial" w:cs="Arial" w:eastAsia="Arial" w:hAnsi="Arial"/>
                <w:sz w:val="14"/>
                <w:szCs w:val="14"/>
                <w:color w:val="008000"/>
              </w:rPr>
              <w:t>3. Purchase prices range from $298.41 to $299.31 per share, inclusive.</w:t>
            </w:r>
          </w:p>
        </w:tc>
        <w:tc>
          <w:tcPr>
            <w:tcW w:w="2320" w:type="dxa"/>
            <w:vAlign w:val="bottom"/>
            <w:vMerge w:val="restart"/>
          </w:tcPr>
          <w:p>
            <w:pPr>
              <w:ind w:left="1860"/>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0" w:hanging="131"/>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Indirectly owned through (a) SAAN, a direct, wholly-owned subsidiary of Sanofi, and (b) Aventis Pharmaceuticals</w:t>
      </w:r>
      <w:r>
        <w:rPr>
          <w:rFonts w:ascii="Arial" w:cs="Arial" w:eastAsia="Arial" w:hAnsi="Arial"/>
          <w:sz w:val="10"/>
          <w:szCs w:val="10"/>
          <w:b w:val="1"/>
          <w:bCs w:val="1"/>
          <w:color w:val="000000"/>
        </w:rPr>
        <w:t>DteExpiration</w:t>
      </w:r>
      <w:r>
        <w:rPr>
          <w:rFonts w:ascii="Arial" w:cs="Arial" w:eastAsia="Arial" w:hAnsi="Arial"/>
          <w:sz w:val="11"/>
          <w:szCs w:val="11"/>
          <w:color w:val="008000"/>
        </w:rPr>
        <w:t>Inc.("Aventis"), an indirect,</w:t>
      </w:r>
      <w:r>
        <w:rPr>
          <w:rFonts w:ascii="Arial" w:cs="Arial" w:eastAsia="Arial" w:hAnsi="Arial"/>
          <w:sz w:val="10"/>
          <w:szCs w:val="10"/>
          <w:b w:val="1"/>
          <w:bCs w:val="1"/>
          <w:color w:val="000000"/>
        </w:rPr>
        <w:t>of</w:t>
      </w:r>
      <w:r>
        <w:rPr>
          <w:rFonts w:ascii="Arial" w:cs="Arial" w:eastAsia="Arial" w:hAnsi="Arial"/>
          <w:sz w:val="11"/>
          <w:szCs w:val="11"/>
          <w:color w:val="008000"/>
        </w:rPr>
        <w:t xml:space="preserve"> wholly-owned subsidiary of SAAN. After giving effect to all</w:t>
      </w:r>
    </w:p>
    <w:p>
      <w:pPr>
        <w:spacing w:after="0" w:line="8" w:lineRule="exact"/>
        <w:rPr>
          <w:rFonts w:ascii="Arial" w:cs="Arial" w:eastAsia="Arial" w:hAnsi="Arial"/>
          <w:sz w:val="11"/>
          <w:szCs w:val="11"/>
          <w:color w:val="008000"/>
        </w:rPr>
      </w:pPr>
    </w:p>
    <w:p>
      <w:pPr>
        <w:jc w:val="both"/>
        <w:ind w:left="40" w:right="160"/>
        <w:spacing w:after="0" w:line="219" w:lineRule="auto"/>
        <w:rPr>
          <w:rFonts w:ascii="Arial" w:cs="Arial" w:eastAsia="Arial" w:hAnsi="Arial"/>
          <w:sz w:val="11"/>
          <w:szCs w:val="11"/>
          <w:color w:val="008000"/>
        </w:rPr>
      </w:pPr>
      <w:r>
        <w:rPr>
          <w:rFonts w:ascii="Arial" w:cs="Arial" w:eastAsia="Arial" w:hAnsi="Arial"/>
          <w:sz w:val="12"/>
          <w:szCs w:val="12"/>
          <w:color w:val="008000"/>
        </w:rPr>
        <w:t>acquisitions reported on this Form 4, the number of shares beneficially owned</w:t>
      </w:r>
      <w:r>
        <w:rPr>
          <w:rFonts w:ascii="Arial" w:cs="Arial" w:eastAsia="Arial" w:hAnsi="Arial"/>
          <w:sz w:val="21"/>
          <w:szCs w:val="21"/>
          <w:b w:val="1"/>
          <w:bCs w:val="1"/>
          <w:color w:val="000000"/>
          <w:vertAlign w:val="superscript"/>
        </w:rPr>
        <w:t>Code</w:t>
      </w:r>
      <w:r>
        <w:rPr>
          <w:rFonts w:ascii="Arial" w:cs="Arial" w:eastAsia="Arial" w:hAnsi="Arial"/>
          <w:sz w:val="12"/>
          <w:szCs w:val="12"/>
          <w:color w:val="008000"/>
        </w:rPr>
        <w:t xml:space="preserve"> directly</w:t>
      </w:r>
      <w:r>
        <w:rPr>
          <w:rFonts w:ascii="Arial" w:cs="Arial" w:eastAsia="Arial" w:hAnsi="Arial"/>
          <w:sz w:val="21"/>
          <w:szCs w:val="21"/>
          <w:b w:val="1"/>
          <w:bCs w:val="1"/>
          <w:color w:val="000000"/>
          <w:vertAlign w:val="superscript"/>
        </w:rPr>
        <w:t>V</w:t>
      </w:r>
      <w:r>
        <w:rPr>
          <w:rFonts w:ascii="Arial" w:cs="Arial" w:eastAsia="Arial" w:hAnsi="Arial"/>
          <w:sz w:val="12"/>
          <w:szCs w:val="12"/>
          <w:color w:val="008000"/>
        </w:rPr>
        <w:t xml:space="preserve"> by</w:t>
      </w:r>
      <w:r>
        <w:rPr>
          <w:rFonts w:ascii="Arial" w:cs="Arial" w:eastAsia="Arial" w:hAnsi="Arial"/>
          <w:sz w:val="21"/>
          <w:szCs w:val="21"/>
          <w:b w:val="1"/>
          <w:bCs w:val="1"/>
          <w:color w:val="000000"/>
          <w:vertAlign w:val="superscript"/>
        </w:rPr>
        <w:t>(A)</w:t>
      </w:r>
      <w:r>
        <w:rPr>
          <w:rFonts w:ascii="Arial" w:cs="Arial" w:eastAsia="Arial" w:hAnsi="Arial"/>
          <w:sz w:val="12"/>
          <w:szCs w:val="12"/>
          <w:color w:val="008000"/>
        </w:rPr>
        <w:t>SAAN</w:t>
      </w:r>
      <w:r>
        <w:rPr>
          <w:rFonts w:ascii="Arial" w:cs="Arial" w:eastAsia="Arial" w:hAnsi="Arial"/>
          <w:sz w:val="21"/>
          <w:szCs w:val="21"/>
          <w:b w:val="1"/>
          <w:bCs w:val="1"/>
          <w:color w:val="000000"/>
          <w:vertAlign w:val="superscript"/>
        </w:rPr>
        <w:t>(D)</w:t>
      </w:r>
      <w:r>
        <w:rPr>
          <w:rFonts w:ascii="Arial" w:cs="Arial" w:eastAsia="Arial" w:hAnsi="Arial"/>
          <w:sz w:val="12"/>
          <w:szCs w:val="12"/>
          <w:color w:val="008000"/>
        </w:rPr>
        <w:t>and Aventis</w:t>
      </w:r>
      <w:r>
        <w:rPr>
          <w:rFonts w:ascii="Arial" w:cs="Arial" w:eastAsia="Arial" w:hAnsi="Arial"/>
          <w:sz w:val="21"/>
          <w:szCs w:val="21"/>
          <w:b w:val="1"/>
          <w:bCs w:val="1"/>
          <w:color w:val="000000"/>
          <w:vertAlign w:val="superscript"/>
        </w:rPr>
        <w:t>Exercisable</w:t>
      </w:r>
      <w:r>
        <w:rPr>
          <w:rFonts w:ascii="Arial" w:cs="Arial" w:eastAsia="Arial" w:hAnsi="Arial"/>
          <w:sz w:val="12"/>
          <w:szCs w:val="12"/>
          <w:color w:val="008000"/>
        </w:rPr>
        <w:t>was15,990,758</w:t>
      </w:r>
      <w:r>
        <w:rPr>
          <w:rFonts w:ascii="Arial" w:cs="Arial" w:eastAsia="Arial" w:hAnsi="Arial"/>
          <w:sz w:val="21"/>
          <w:szCs w:val="21"/>
          <w:b w:val="1"/>
          <w:bCs w:val="1"/>
          <w:color w:val="000000"/>
          <w:vertAlign w:val="superscript"/>
        </w:rPr>
        <w:t>Date</w:t>
      </w:r>
      <w:r>
        <w:rPr>
          <w:rFonts w:ascii="Arial" w:cs="Arial" w:eastAsia="Arial" w:hAnsi="Arial"/>
          <w:sz w:val="12"/>
          <w:szCs w:val="12"/>
          <w:color w:val="008000"/>
        </w:rPr>
        <w:t xml:space="preserve"> shares</w:t>
      </w:r>
      <w:r>
        <w:rPr>
          <w:rFonts w:ascii="Arial" w:cs="Arial" w:eastAsia="Arial" w:hAnsi="Arial"/>
          <w:sz w:val="21"/>
          <w:szCs w:val="21"/>
          <w:b w:val="1"/>
          <w:bCs w:val="1"/>
          <w:color w:val="000000"/>
          <w:vertAlign w:val="superscript"/>
        </w:rPr>
        <w:t>Title</w:t>
      </w:r>
      <w:r>
        <w:rPr>
          <w:rFonts w:ascii="Arial" w:cs="Arial" w:eastAsia="Arial" w:hAnsi="Arial"/>
          <w:sz w:val="12"/>
          <w:szCs w:val="12"/>
          <w:color w:val="008000"/>
        </w:rPr>
        <w:t>and 2,799,552</w:t>
      </w:r>
      <w:r>
        <w:rPr>
          <w:rFonts w:ascii="Arial" w:cs="Arial" w:eastAsia="Arial" w:hAnsi="Arial"/>
          <w:sz w:val="21"/>
          <w:szCs w:val="21"/>
          <w:b w:val="1"/>
          <w:bCs w:val="1"/>
          <w:color w:val="000000"/>
          <w:vertAlign w:val="superscript"/>
        </w:rPr>
        <w:t>Shares</w:t>
      </w:r>
      <w:r>
        <w:rPr>
          <w:rFonts w:ascii="Arial" w:cs="Arial" w:eastAsia="Arial" w:hAnsi="Arial"/>
          <w:sz w:val="12"/>
          <w:szCs w:val="12"/>
          <w:color w:val="008000"/>
        </w:rPr>
        <w:t xml:space="preserve">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2" w:lineRule="exact"/>
        <w:rPr>
          <w:rFonts w:ascii="Arial" w:cs="Arial" w:eastAsia="Arial" w:hAnsi="Arial"/>
          <w:sz w:val="11"/>
          <w:szCs w:val="11"/>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$299.60 to $300.59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$300.60 to $301.58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$301.66 to $302.60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$302.68 to $303.67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$303.69 to $304.68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$304.69 to $305.68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$305.69 to $306.68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$306.69 to $307.68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$307.69 to $308.68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$308.69 to $309.68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$309.69 to $310.68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$310.69 to $311.68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$311.69 to $312.68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$312.69 to $313.68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$313.69 to $314.63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Due to technical limitation of the number of transactions reported, this report is 2 of 2.</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03/25/2014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2019-12-17T06:11:58Z</dcterms:created>
  <dcterms:modified xsi:type="dcterms:W3CDTF">2019-12-17T06:11:58Z</dcterms:modified>
</cp:coreProperties>
</file>