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692,707</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4,327,689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4,327,689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4.10%</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692,707</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4,327,689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4,327,689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4.10%</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w:t>
            </w:r>
          </w:p>
        </w:tc>
        <w:tc>
          <w:tcPr>
            <w:tcW w:w="28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692,707</w:t>
            </w:r>
          </w:p>
        </w:tc>
        <w:tc>
          <w:tcPr>
            <w:tcW w:w="0" w:type="dxa"/>
            <w:vAlign w:val="bottom"/>
          </w:tcPr>
          <w:p>
            <w:pPr>
              <w:spacing w:after="0"/>
              <w:rPr>
                <w:sz w:val="1"/>
                <w:szCs w:val="1"/>
                <w:color w:val="auto"/>
              </w:rPr>
            </w:pPr>
          </w:p>
        </w:tc>
      </w:tr>
      <w:tr>
        <w:trPr>
          <w:trHeight w:val="174"/>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820" w:type="dxa"/>
            <w:vAlign w:val="bottom"/>
            <w:vMerge w:val="restart"/>
          </w:tcPr>
          <w:p>
            <w:pPr>
              <w:ind w:left="720"/>
              <w:spacing w:after="0"/>
              <w:rPr>
                <w:sz w:val="20"/>
                <w:szCs w:val="20"/>
                <w:color w:val="auto"/>
              </w:rPr>
            </w:pPr>
            <w:r>
              <w:rPr>
                <w:rFonts w:ascii="Times New Roman" w:cs="Times New Roman" w:eastAsia="Times New Roman" w:hAnsi="Times New Roman"/>
                <w:sz w:val="22"/>
                <w:szCs w:val="22"/>
                <w:color w:val="auto"/>
              </w:rPr>
              <w:t>4,327,689</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4,327,689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4"/>
              </w:rPr>
              <w:t>4.10%</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4" w:name="page5"/>
    <w:bookmarkEnd w:id="4"/>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Regeneron Pharmaceuticals, Inc.</w:t>
      </w:r>
    </w:p>
    <w:p>
      <w:pPr>
        <w:spacing w:after="0" w:line="97" w:lineRule="exact"/>
        <w:rPr>
          <w:rFonts w:ascii="Times New Roman" w:cs="Times New Roman" w:eastAsia="Times New Roman" w:hAnsi="Times New Roman"/>
          <w:sz w:val="22"/>
          <w:szCs w:val="22"/>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777 Old Saw Mill River Road</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Tarrytown, NY 10591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right="540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3"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80" w:right="77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4" w:lineRule="exact"/>
        <w:rPr>
          <w:rFonts w:ascii="Times New Roman" w:cs="Times New Roman" w:eastAsia="Times New Roman" w:hAnsi="Times New Roman"/>
          <w:sz w:val="22"/>
          <w:szCs w:val="22"/>
          <w:b w:val="1"/>
          <w:bCs w:val="1"/>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80" w:right="43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3" w:lineRule="exact"/>
        <w:rPr>
          <w:rFonts w:ascii="Times New Roman" w:cs="Times New Roman" w:eastAsia="Times New Roman" w:hAnsi="Times New Roman"/>
          <w:sz w:val="22"/>
          <w:szCs w:val="22"/>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75886F107</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4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339"/>
        </w:trPr>
        <w:tc>
          <w:tcPr>
            <w:tcW w:w="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(ii)</w:t>
            </w:r>
          </w:p>
        </w:tc>
        <w:tc>
          <w:tcPr>
            <w:tcW w:w="4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43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See the responses to Item 6 on the attached cover</w:t>
            </w:r>
          </w:p>
        </w:tc>
        <w:tc>
          <w:tcPr>
            <w:tcW w:w="0" w:type="dxa"/>
            <w:vAlign w:val="bottom"/>
          </w:tcPr>
          <w:p>
            <w:pPr>
              <w:spacing w:after="0"/>
              <w:rPr>
                <w:sz w:val="1"/>
                <w:szCs w:val="1"/>
                <w:color w:val="auto"/>
              </w:rPr>
            </w:pPr>
          </w:p>
        </w:tc>
      </w:tr>
      <w:tr>
        <w:trPr>
          <w:trHeight w:val="161"/>
        </w:trPr>
        <w:tc>
          <w:tcPr>
            <w:tcW w:w="380" w:type="dxa"/>
            <w:vAlign w:val="bottom"/>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4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pages.</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dispose or to direct the disposition</w:t>
            </w:r>
          </w:p>
        </w:tc>
        <w:tc>
          <w:tcPr>
            <w:tcW w:w="4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ectPr>
          <w:pgSz w:w="11900" w:h="16855" w:orient="portrait"/>
          <w:cols w:equalWidth="0" w:num="1">
            <w:col w:w="11260"/>
          </w:cols>
          <w:pgMar w:left="320" w:top="405" w:right="319" w:bottom="0" w:gutter="0" w:footer="0" w:header="0"/>
        </w:sectPr>
      </w:pPr>
    </w:p>
    <w:bookmarkStart w:id="5" w:name="page6"/>
    <w:bookmarkEnd w:id="5"/>
    <w:p>
      <w:pPr>
        <w:ind w:left="2240"/>
        <w:spacing w:after="0"/>
        <w:rPr>
          <w:sz w:val="20"/>
          <w:szCs w:val="20"/>
          <w:color w:val="auto"/>
        </w:rPr>
      </w:pPr>
      <w:r>
        <w:rPr>
          <w:rFonts w:ascii="Times New Roman" w:cs="Times New Roman" w:eastAsia="Times New Roman" w:hAnsi="Times New Roman"/>
          <w:sz w:val="22"/>
          <w:szCs w:val="22"/>
          <w:color w:val="auto"/>
        </w:rPr>
        <w:t>of</w:t>
      </w:r>
    </w:p>
    <w:p>
      <w:pPr>
        <w:spacing w:after="0" w:line="126" w:lineRule="exact"/>
        <w:rPr>
          <w:sz w:val="20"/>
          <w:szCs w:val="20"/>
          <w:color w:val="auto"/>
        </w:rPr>
      </w:pPr>
    </w:p>
    <w:p>
      <w:pPr>
        <w:ind w:left="2240" w:right="340" w:hanging="462"/>
        <w:spacing w:after="0" w:line="185" w:lineRule="auto"/>
        <w:tabs>
          <w:tab w:leader="none" w:pos="22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80" w:space="720"/>
            <w:col w:w="4560"/>
          </w:cols>
          <w:pgMar w:left="320" w:top="111" w:right="319" w:bottom="0" w:gutter="0" w:footer="0" w:header="0"/>
        </w:sectPr>
      </w:pPr>
    </w:p>
    <w:tbl>
      <w:tblPr>
        <w:tblLayout w:type="fixed"/>
        <w:tblInd w:w="0" w:type="dxa"/>
        <w:tblCellMar>
          <w:top w:w="0" w:type="dxa"/>
          <w:left w:w="0" w:type="dxa"/>
          <w:bottom w:w="0" w:type="dxa"/>
          <w:right w:w="0" w:type="dxa"/>
        </w:tblCellMar>
      </w:tblPr>
      <w:tr>
        <w:trPr>
          <w:trHeight w:val="287"/>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 the</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w w:val="9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securities. No such client is known to have such right or power with respect to more than five percent of this class</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 the</w:t>
            </w:r>
          </w:p>
        </w:tc>
      </w:tr>
      <w:tr>
        <w:trPr>
          <w:trHeight w:val="28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Times New Roman" w:cs="Times New Roman" w:eastAsia="Times New Roman" w:hAnsi="Times New Roman"/>
                <w:sz w:val="22"/>
                <w:szCs w:val="22"/>
                <w:color w:val="auto"/>
                <w:w w:val="99"/>
              </w:rPr>
              <w:t>or with the effect of changing or influencing the control of the issuer of the securities and were not acquired and</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Times New Roman" w:cs="Times New Roman" w:eastAsia="Times New Roman" w:hAnsi="Times New Roman"/>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3"/>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5"/>
        </w:trPr>
        <w:tc>
          <w:tcPr>
            <w:tcW w:w="940" w:type="dxa"/>
            <w:vAlign w:val="bottom"/>
          </w:tcPr>
          <w:p>
            <w:pPr>
              <w:spacing w:after="0"/>
              <w:rPr>
                <w:sz w:val="21"/>
                <w:szCs w:val="21"/>
                <w:color w:val="auto"/>
              </w:rPr>
            </w:pPr>
          </w:p>
        </w:tc>
        <w:tc>
          <w:tcPr>
            <w:tcW w:w="10320" w:type="dxa"/>
            <w:vAlign w:val="bottom"/>
            <w:gridSpan w:val="3"/>
          </w:tcPr>
          <w:p>
            <w:pPr>
              <w:ind w:left="3540"/>
              <w:spacing w:after="0" w:line="245" w:lineRule="exact"/>
              <w:rPr>
                <w:sz w:val="20"/>
                <w:szCs w:val="20"/>
                <w:color w:val="auto"/>
              </w:rPr>
            </w:pPr>
            <w:r>
              <w:rPr>
                <w:rFonts w:ascii="Times New Roman" w:cs="Times New Roman" w:eastAsia="Times New Roman" w:hAnsi="Times New Roman"/>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341630</wp:posOffset>
            </wp:positionV>
            <wp:extent cx="581850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ectPr>
          <w:pgSz w:w="11900" w:h="16838" w:orient="portrait"/>
          <w:cols w:equalWidth="0" w:num="1">
            <w:col w:w="11260"/>
          </w:cols>
          <w:pgMar w:left="320" w:top="111"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ectPr>
          <w:pgSz w:w="11900" w:h="16838" w:orient="portrait"/>
          <w:cols w:equalWidth="0" w:num="1">
            <w:col w:w="11260"/>
          </w:cols>
          <w:pgMar w:left="320" w:top="111" w:right="319" w:bottom="0" w:gutter="0" w:footer="0" w:header="0"/>
          <w:type w:val="continuous"/>
        </w:sectPr>
      </w:pPr>
    </w:p>
    <w:bookmarkStart w:id="6" w:name="page7"/>
    <w:bookmarkEnd w:id="6"/>
    <w:p>
      <w:pPr>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5" w:lineRule="exact"/>
        <w:rPr>
          <w:sz w:val="20"/>
          <w:szCs w:val="20"/>
          <w:color w:val="auto"/>
        </w:rPr>
      </w:pPr>
    </w:p>
    <w:p>
      <w:pPr>
        <w:ind w:right="4460"/>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149860</wp:posOffset>
            </wp:positionV>
            <wp:extent cx="58185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Regeneron Pharmaceuticals,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Silvestre A. Fontes</w:t>
      </w:r>
    </w:p>
    <w:p>
      <w:pPr>
        <w:sectPr>
          <w:pgSz w:w="11900" w:h="16838" w:orient="portrait"/>
          <w:cols w:equalWidth="0" w:num="1">
            <w:col w:w="9020"/>
          </w:cols>
          <w:pgMar w:left="1440" w:top="153" w:right="1439" w:bottom="0" w:gutter="0" w:footer="0" w:header="0"/>
        </w:sectPr>
      </w:pPr>
    </w:p>
    <w:bookmarkStart w:id="7" w:name="page8"/>
    <w:bookmarkEnd w:id="7"/>
    <w:p>
      <w:pPr>
        <w:ind w:left="3360"/>
        <w:spacing w:after="0"/>
        <w:rPr>
          <w:sz w:val="20"/>
          <w:szCs w:val="20"/>
          <w:color w:val="auto"/>
        </w:rPr>
      </w:pPr>
      <w:r>
        <w:rPr>
          <w:rFonts w:ascii="Times New Roman" w:cs="Times New Roman" w:eastAsia="Times New Roman" w:hAnsi="Times New Roman"/>
          <w:sz w:val="21"/>
          <w:szCs w:val="21"/>
          <w:color w:val="auto"/>
        </w:rPr>
        <w:t>Title: Authorized Signor</w:t>
      </w:r>
    </w:p>
    <w:p>
      <w:pPr>
        <w:spacing w:after="0" w:line="5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1"/>
          <w:szCs w:val="21"/>
          <w:color w:val="auto"/>
        </w:rPr>
        <w:t>Date: February 14, 2018</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2019-12-05T21:59:02Z</dcterms:created>
  <dcterms:modified xsi:type="dcterms:W3CDTF">2019-12-05T21:59:02Z</dcterms:modified>
</cp:coreProperties>
</file>