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15, 2021 (January 12, 2021)</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REGENERON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24"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5580" w:type="dxa"/>
            <w:vAlign w:val="bottom"/>
          </w:tcPr>
          <w:p>
            <w:pPr>
              <w:jc w:val="center"/>
              <w:ind w:right="1481"/>
              <w:spacing w:after="0"/>
              <w:rPr>
                <w:sz w:val="20"/>
                <w:szCs w:val="20"/>
                <w:color w:val="auto"/>
              </w:rPr>
            </w:pPr>
            <w:r>
              <w:rPr>
                <w:rFonts w:ascii="Arial" w:cs="Arial" w:eastAsia="Arial" w:hAnsi="Arial"/>
                <w:sz w:val="18"/>
                <w:szCs w:val="18"/>
                <w:b w:val="1"/>
                <w:bCs w:val="1"/>
                <w:color w:val="auto"/>
                <w:w w:val="90"/>
              </w:rPr>
              <w:t>000-19034</w:t>
            </w:r>
          </w:p>
        </w:tc>
        <w:tc>
          <w:tcPr>
            <w:tcW w:w="268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13-3444607</w:t>
            </w:r>
          </w:p>
        </w:tc>
      </w:tr>
      <w:tr>
        <w:trPr>
          <w:trHeight w:val="148"/>
        </w:trPr>
        <w:tc>
          <w:tcPr>
            <w:tcW w:w="5580" w:type="dxa"/>
            <w:vAlign w:val="bottom"/>
          </w:tcPr>
          <w:p>
            <w:pPr>
              <w:jc w:val="center"/>
              <w:ind w:right="1461"/>
              <w:spacing w:after="0" w:line="149" w:lineRule="exact"/>
              <w:rPr>
                <w:sz w:val="20"/>
                <w:szCs w:val="20"/>
                <w:color w:val="auto"/>
              </w:rPr>
            </w:pPr>
            <w:r>
              <w:rPr>
                <w:rFonts w:ascii="Arial" w:cs="Arial" w:eastAsia="Arial" w:hAnsi="Arial"/>
                <w:sz w:val="14"/>
                <w:szCs w:val="14"/>
                <w:b w:val="1"/>
                <w:bCs w:val="1"/>
                <w:color w:val="auto"/>
                <w:w w:val="90"/>
              </w:rPr>
              <w:t>(Commission</w:t>
            </w:r>
          </w:p>
        </w:tc>
        <w:tc>
          <w:tcPr>
            <w:tcW w:w="2680" w:type="dxa"/>
            <w:vAlign w:val="bottom"/>
          </w:tcPr>
          <w:p>
            <w:pPr>
              <w:jc w:val="center"/>
              <w:ind w:left="14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580" w:type="dxa"/>
            <w:vAlign w:val="bottom"/>
          </w:tcPr>
          <w:p>
            <w:pPr>
              <w:jc w:val="center"/>
              <w:ind w:right="1461"/>
              <w:spacing w:after="0"/>
              <w:rPr>
                <w:sz w:val="20"/>
                <w:szCs w:val="20"/>
                <w:color w:val="auto"/>
              </w:rPr>
            </w:pPr>
            <w:r>
              <w:rPr>
                <w:rFonts w:ascii="Arial" w:cs="Arial" w:eastAsia="Arial" w:hAnsi="Arial"/>
                <w:sz w:val="14"/>
                <w:szCs w:val="14"/>
                <w:b w:val="1"/>
                <w:bCs w:val="1"/>
                <w:color w:val="auto"/>
                <w:w w:val="98"/>
              </w:rPr>
              <w:t>File Number)</w:t>
            </w:r>
          </w:p>
        </w:tc>
        <w:tc>
          <w:tcPr>
            <w:tcW w:w="2680" w:type="dxa"/>
            <w:vAlign w:val="bottom"/>
          </w:tcPr>
          <w:p>
            <w:pPr>
              <w:jc w:val="center"/>
              <w:ind w:left="1461"/>
              <w:spacing w:after="0"/>
              <w:rPr>
                <w:sz w:val="20"/>
                <w:szCs w:val="20"/>
                <w:color w:val="auto"/>
              </w:rPr>
            </w:pPr>
            <w:r>
              <w:rPr>
                <w:rFonts w:ascii="Arial" w:cs="Arial" w:eastAsia="Arial" w:hAnsi="Arial"/>
                <w:sz w:val="14"/>
                <w:szCs w:val="14"/>
                <w:b w:val="1"/>
                <w:bCs w:val="1"/>
                <w:color w:val="auto"/>
                <w:w w:val="96"/>
              </w:rPr>
              <w:t>Identification No.)</w:t>
            </w:r>
          </w:p>
        </w:tc>
      </w:tr>
      <w:tr>
        <w:trPr>
          <w:trHeight w:val="610"/>
        </w:trPr>
        <w:tc>
          <w:tcPr>
            <w:tcW w:w="5580" w:type="dxa"/>
            <w:vAlign w:val="bottom"/>
          </w:tcPr>
          <w:p>
            <w:pPr>
              <w:jc w:val="center"/>
              <w:ind w:right="146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680" w:type="dxa"/>
            <w:vAlign w:val="bottom"/>
          </w:tcPr>
          <w:p>
            <w:pPr>
              <w:jc w:val="center"/>
              <w:ind w:left="146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580" w:type="dxa"/>
            <w:vAlign w:val="bottom"/>
          </w:tcPr>
          <w:p>
            <w:pPr>
              <w:jc w:val="center"/>
              <w:ind w:right="14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80" w:type="dxa"/>
            <w:vAlign w:val="bottom"/>
          </w:tcPr>
          <w:p>
            <w:pPr>
              <w:jc w:val="center"/>
              <w:ind w:left="1461"/>
              <w:spacing w:after="0"/>
              <w:rPr>
                <w:sz w:val="20"/>
                <w:szCs w:val="20"/>
                <w:color w:val="auto"/>
              </w:rPr>
            </w:pPr>
            <w:r>
              <w:rPr>
                <w:rFonts w:ascii="Arial" w:cs="Arial" w:eastAsia="Arial" w:hAnsi="Arial"/>
                <w:sz w:val="14"/>
                <w:szCs w:val="14"/>
                <w:b w:val="1"/>
                <w:bCs w:val="1"/>
                <w:color w:val="auto"/>
                <w:w w:val="95"/>
              </w:rPr>
              <w:t>(Zip Code)</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750570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On January 12, 2021,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supply agreement (the “</w:t>
      </w:r>
      <w:r>
        <w:rPr>
          <w:rFonts w:ascii="Arial" w:cs="Arial" w:eastAsia="Arial" w:hAnsi="Arial"/>
          <w:sz w:val="17"/>
          <w:szCs w:val="17"/>
          <w:u w:val="single" w:color="auto"/>
          <w:color w:val="auto"/>
        </w:rPr>
        <w:t>Supply Agreement</w:t>
      </w:r>
      <w:r>
        <w:rPr>
          <w:rFonts w:ascii="Arial" w:cs="Arial" w:eastAsia="Arial" w:hAnsi="Arial"/>
          <w:sz w:val="17"/>
          <w:szCs w:val="17"/>
          <w:color w:val="auto"/>
        </w:rPr>
        <w:t>”) with the Army Contracting Command, New Jersey, an entity acting on behalf of the U.S. Department of Defense and the U.S. Department of Health and Human Services (collectively, the “</w:t>
      </w:r>
      <w:r>
        <w:rPr>
          <w:rFonts w:ascii="Arial" w:cs="Arial" w:eastAsia="Arial" w:hAnsi="Arial"/>
          <w:sz w:val="17"/>
          <w:szCs w:val="17"/>
          <w:u w:val="single" w:color="auto"/>
          <w:color w:val="auto"/>
        </w:rPr>
        <w:t>U.S. Government</w:t>
      </w:r>
      <w:r>
        <w:rPr>
          <w:rFonts w:ascii="Arial" w:cs="Arial" w:eastAsia="Arial" w:hAnsi="Arial"/>
          <w:sz w:val="17"/>
          <w:szCs w:val="17"/>
          <w:color w:val="auto"/>
        </w:rPr>
        <w:t>”), to manufacture and supply to the U.S. Government casirivimab and imdevimab, the Company’s novel investigational dual antibody therapy that has received an Emergency Use Authorization (“</w:t>
      </w:r>
      <w:r>
        <w:rPr>
          <w:rFonts w:ascii="Arial" w:cs="Arial" w:eastAsia="Arial" w:hAnsi="Arial"/>
          <w:sz w:val="17"/>
          <w:szCs w:val="17"/>
          <w:u w:val="single" w:color="auto"/>
          <w:color w:val="auto"/>
        </w:rPr>
        <w:t>EUA</w:t>
      </w:r>
      <w:r>
        <w:rPr>
          <w:rFonts w:ascii="Arial" w:cs="Arial" w:eastAsia="Arial" w:hAnsi="Arial"/>
          <w:sz w:val="17"/>
          <w:szCs w:val="17"/>
          <w:color w:val="auto"/>
        </w:rPr>
        <w:t>”) from the U.S. Food and Drug Administration (the “</w:t>
      </w:r>
      <w:r>
        <w:rPr>
          <w:rFonts w:ascii="Arial" w:cs="Arial" w:eastAsia="Arial" w:hAnsi="Arial"/>
          <w:sz w:val="17"/>
          <w:szCs w:val="17"/>
          <w:u w:val="single" w:color="auto"/>
          <w:color w:val="auto"/>
        </w:rPr>
        <w:t>FDA</w:t>
      </w:r>
      <w:r>
        <w:rPr>
          <w:rFonts w:ascii="Arial" w:cs="Arial" w:eastAsia="Arial" w:hAnsi="Arial"/>
          <w:sz w:val="17"/>
          <w:szCs w:val="17"/>
          <w:color w:val="auto"/>
        </w:rPr>
        <w:t>”) for the treatment of mild to moderate COVID-19 in high-risk non-hospitalized patients (the “</w:t>
      </w:r>
      <w:r>
        <w:rPr>
          <w:rFonts w:ascii="Arial" w:cs="Arial" w:eastAsia="Arial" w:hAnsi="Arial"/>
          <w:sz w:val="17"/>
          <w:szCs w:val="17"/>
          <w:u w:val="single" w:color="auto"/>
          <w:color w:val="auto"/>
        </w:rPr>
        <w:t>EUA Indication</w:t>
      </w:r>
      <w:r>
        <w:rPr>
          <w:rFonts w:ascii="Arial" w:cs="Arial" w:eastAsia="Arial" w:hAnsi="Arial"/>
          <w:sz w:val="17"/>
          <w:szCs w:val="17"/>
          <w:color w:val="auto"/>
        </w:rPr>
        <w:t>”). Pursuant to the Supply Agreement, the U.S. Government is obligated to purchase all filled and finished doses of drug product delivered by June 30, 2021, up to 1.25 million doses total, and may accept doses during the period from July 1, 2021 through September 30, 2021 at its discretion. The U.S. Government will acquire doses at the lowest dose authorized or approved by the FDA for the EUA Indication prior to or on the date of delivery for a price of $2,100 per dose, resulting in payments to Regeneron of up to $2.625 billion in the aggregate. Under the EUA, the current authorized dose for the EUA Indication is 2,400 mg; and Regeneron is evaluating the safety and efficacy of a lower 1,200 mg dose. A number of factors may impact available filled and finished supply by June 30, 2021, including manufacturing considerations and authorized dose levels. The Company is also obligated to distribute the filled and finished drug product to patient care sites as directed by the U.S. Government.</w:t>
      </w:r>
    </w:p>
    <w:p>
      <w:pPr>
        <w:spacing w:after="0" w:line="179"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Supply Agreement contains terms and conditions that are customary for U.S. Government agreements of this nature, including provisions giving the U.S. Government the right to terminate the Supply Agreement for convenience. If the Supply Agreement is terminated for convenience prior to completion, Regeneron is entitled to be paid certain termination costs, including the percentage of the contract price reflecting the percentage of work performed plus certain reasonable charges resulting from termination. The performance period under the Supply Agreement extends from January 12, 2021 through January 12, 2022, except as noted above with respect to the delivery of filled and finished doses.</w:t>
      </w:r>
    </w:p>
    <w:p>
      <w:pPr>
        <w:spacing w:after="0" w:line="176"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foregoing description of the Supply Agreement is qualified in its entirety by reference to the full text of the Supply Agreement, a copy of which will be filed with the U.S. Securities and Exchange Commission as an exhibit to the Company’s Quarterly Report on Form 10-Q for the quarterly period ending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ability of Regeneron’s collaborators, suppliers, or other third parties (as applicable) to perform manufacturing, filling, finishing, packaging, labeling, distribution, and other steps related to Regeneron's products and product candidates (including the casirivimab and imdevimab antibody cocktail) and the impact of the foregoing on Regeneron’s ability to supply its products and product candidates, including its ability to supply doses of the casirivimab and imdevimab antibody cocktail under the terms of the supply agreement with the U.S. government discussed in this Report (the “Supply Agreement”); whether and to what extent Regeneron will be able to supply doses of the casirivimab and imdevimab antibody cocktail under the Supply Agreement; the amount of payments (if any) Regeneron may receive pursuant to the Supply Agreement; what the lowest authorized dose of the casirivimab and imdevimab antibody cocktail will be at the time of delivery to the U.S. government under the Supply Agreement; and whether the Supply Agreement is terminated by the U.S. government or otherwise prior to completion. A more complete description of these and other material risks can be found in Regeneron’s filings with the U.S. Securities and Exchange Commission, including its Form 10-K for the year ended December 31, 2019 and its Form 10-Q for the quarterly period ended September 30, 2020.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REGENERON PHARMACEUTICALS,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2021-01-15T15:03:23Z</dcterms:created>
  <dcterms:modified xsi:type="dcterms:W3CDTF">2021-01-15T15:03:23Z</dcterms:modified>
</cp:coreProperties>
</file>