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January 2,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18"/>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18"/>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18"/>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18"/>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60"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left="360" w:right="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900" w:right="32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7"/>
          <w:szCs w:val="17"/>
          <w:color w:val="auto"/>
        </w:rPr>
        <w:t>Effective January 5, 2018, Robert J. Terifay has resigned as Executive Vice President, Commercial of Regeneron Pharmaceuticals, Inc.</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and related positions. Mr. Terifay has been placed on a personal leave of absence as he requested for medical reasons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through July 31, 2018. During his leave of absence, he will be able to participate in the Company’s health insurance plans and other similar plans, but will</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not receive any cash compensation. After the conclusion of his leave of absence on July 31, 2018, Mr. Terifay will retire. Thereafter, Mr. Terifay will be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eligible for his continued participation in Regeneron’s health insurance plans subsidized by Regeneron through January 31, 2020. The Company is conducting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 search for Mr. Terifay’s replacement.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00"/>
          </w:cols>
          <w:pgMar w:left="240" w:top="544" w:right="259" w:bottom="0" w:gutter="0" w:footer="0" w:header="0"/>
        </w:sectPr>
      </w:pPr>
    </w:p>
    <w:bookmarkStart w:id="1" w:name="page2"/>
    <w:bookmarkEnd w:id="1"/>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2019-12-05T21:52:55Z</dcterms:created>
  <dcterms:modified xsi:type="dcterms:W3CDTF">2019-12-05T21:52:55Z</dcterms:modified>
</cp:coreProperties>
</file>