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Sanofi</w:t>
              </w:r>
            </w:hyperlink>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4"/>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80" w:type="dxa"/>
            <w:vAlign w:val="bottom"/>
            <w:vMerge w:val="continue"/>
          </w:tcPr>
          <w:p>
            <w:pPr>
              <w:spacing w:after="0"/>
              <w:rPr>
                <w:sz w:val="5"/>
                <w:szCs w:val="5"/>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88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below)</w:t>
            </w:r>
          </w:p>
        </w:tc>
        <w:tc>
          <w:tcPr>
            <w:tcW w:w="480" w:type="dxa"/>
            <w:vAlign w:val="bottom"/>
          </w:tcPr>
          <w:p>
            <w:pPr>
              <w:spacing w:after="0"/>
              <w:rPr>
                <w:sz w:val="13"/>
                <w:szCs w:val="13"/>
                <w:color w:val="auto"/>
              </w:rPr>
            </w:pPr>
          </w:p>
        </w:tc>
        <w:tc>
          <w:tcPr>
            <w:tcW w:w="440" w:type="dxa"/>
            <w:vAlign w:val="bottom"/>
          </w:tcPr>
          <w:p>
            <w:pPr>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54 RUE LA BOETIE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4"/>
          </w:tcPr>
          <w:p>
            <w:pPr>
              <w:ind w:left="80"/>
              <w:spacing w:after="0"/>
              <w:rPr>
                <w:sz w:val="20"/>
                <w:szCs w:val="20"/>
                <w:color w:val="auto"/>
              </w:rPr>
            </w:pPr>
            <w:r>
              <w:rPr>
                <w:rFonts w:ascii="Arial" w:cs="Arial" w:eastAsia="Arial" w:hAnsi="Arial"/>
                <w:sz w:val="17"/>
                <w:szCs w:val="17"/>
                <w:color w:val="0000FF"/>
              </w:rPr>
              <w:t>03/09/2020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gridSpan w:val="2"/>
          </w:tcPr>
          <w:p>
            <w:pPr>
              <w:spacing w:after="0"/>
              <w:rPr>
                <w:sz w:val="8"/>
                <w:szCs w:val="8"/>
                <w:color w:val="auto"/>
              </w:rPr>
            </w:pPr>
          </w:p>
        </w:tc>
        <w:tc>
          <w:tcPr>
            <w:tcW w:w="214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Arial" w:cs="Arial" w:eastAsia="Arial" w:hAnsi="Arial"/>
                <w:sz w:val="17"/>
                <w:szCs w:val="17"/>
                <w:color w:val="0000FF"/>
              </w:rPr>
              <w:t>PARIS</w:t>
            </w:r>
          </w:p>
        </w:tc>
        <w:tc>
          <w:tcPr>
            <w:tcW w:w="800" w:type="dxa"/>
            <w:vAlign w:val="bottom"/>
          </w:tcPr>
          <w:p>
            <w:pPr>
              <w:ind w:left="600"/>
              <w:spacing w:after="0"/>
              <w:rPr>
                <w:sz w:val="20"/>
                <w:szCs w:val="20"/>
                <w:color w:val="auto"/>
              </w:rPr>
            </w:pPr>
            <w:r>
              <w:rPr>
                <w:rFonts w:ascii="Arial" w:cs="Arial" w:eastAsia="Arial" w:hAnsi="Arial"/>
                <w:sz w:val="17"/>
                <w:szCs w:val="17"/>
                <w:color w:val="0000FF"/>
              </w:rPr>
              <w:t>I0</w:t>
            </w:r>
          </w:p>
        </w:tc>
        <w:tc>
          <w:tcPr>
            <w:tcW w:w="88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75008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7"/>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222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680" w:type="dxa"/>
            <w:vAlign w:val="bottom"/>
            <w:gridSpan w:val="4"/>
          </w:tcPr>
          <w:p>
            <w:pPr>
              <w:ind w:left="60"/>
              <w:spacing w:after="0"/>
              <w:rPr>
                <w:sz w:val="20"/>
                <w:szCs w:val="20"/>
                <w:color w:val="auto"/>
              </w:rPr>
            </w:pPr>
            <w:r>
              <w:rPr>
                <w:rFonts w:ascii="Arial" w:cs="Arial" w:eastAsia="Arial" w:hAnsi="Arial"/>
                <w:sz w:val="12"/>
                <w:szCs w:val="12"/>
                <w:b w:val="1"/>
                <w:bCs w:val="1"/>
                <w:color w:val="auto"/>
                <w:w w:val="99"/>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4"/>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6"/>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4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4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3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w w:val="93"/>
              </w:rPr>
              <w:t>03/09/2020</w:t>
            </w:r>
          </w:p>
        </w:tc>
        <w:tc>
          <w:tcPr>
            <w:tcW w:w="4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128,914</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2020" w:type="dxa"/>
            <w:vAlign w:val="bottom"/>
            <w:tcBorders>
              <w:bottom w:val="single" w:sz="8" w:color="2C2C2C"/>
            </w:tcBorders>
            <w:gridSpan w:val="7"/>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489.6532   20,421,899</w:t>
            </w:r>
          </w:p>
        </w:tc>
        <w:tc>
          <w:tcPr>
            <w:tcW w:w="920" w:type="dxa"/>
            <w:vAlign w:val="bottom"/>
            <w:tcBorders>
              <w:bottom w:val="single" w:sz="8" w:color="2C2C2C"/>
            </w:tcBorders>
            <w:gridSpan w:val="2"/>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vMerge w:val="restart"/>
          </w:tcPr>
          <w:p>
            <w:pPr>
              <w:ind w:left="440"/>
              <w:spacing w:after="0"/>
              <w:rPr>
                <w:sz w:val="20"/>
                <w:szCs w:val="20"/>
                <w:color w:val="auto"/>
              </w:rPr>
            </w:pPr>
            <w:r>
              <w:rPr>
                <w:rFonts w:ascii="Arial" w:cs="Arial" w:eastAsia="Arial" w:hAnsi="Arial"/>
                <w:sz w:val="17"/>
                <w:szCs w:val="17"/>
                <w:color w:val="0000FF"/>
              </w:rPr>
              <w:t>2,799,552</w:t>
            </w:r>
          </w:p>
        </w:tc>
        <w:tc>
          <w:tcPr>
            <w:tcW w:w="920" w:type="dxa"/>
            <w:vAlign w:val="bottom"/>
            <w:gridSpan w:val="2"/>
            <w:vMerge w:val="restart"/>
          </w:tcPr>
          <w:p>
            <w:pPr>
              <w:ind w:left="32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(3)</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440" w:type="dxa"/>
            <w:vAlign w:val="bottom"/>
          </w:tcPr>
          <w:p>
            <w:pPr>
              <w:spacing w:after="0"/>
              <w:rPr>
                <w:sz w:val="14"/>
                <w:szCs w:val="14"/>
                <w:color w:val="auto"/>
              </w:rPr>
            </w:pP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Private sale to the Issuer pursuant to the letter agreement entered into with the Issuer on January 7, 2018 and filed on January 9, 2018 by the Reporting Person as Exhibit 99.4 to Amendment No. 13 to Reporting Person's statement on Schedule 13D.</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Directly owned by Aventisub LLC ("Aventisub"), formerly known as Aventis Pharmaceuticals Inc., an indirect, wholly-owned subsidiary of the Reporting Person.</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Amended and Restated Investor Agreement, dated as of January 11, 2014, by and among the Reporting Person, sanofi-aventis US LLC, Aventis, sanofi-aventis Amerique du Nord (collectively, the "Sanofi Parties") and the Issuer, the Sanofi Parties have agreed to vote their respective shares of the Issuer, subject to specified exceptions, in accordance with the recommendation of the Issuer's Board of Directors.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Exhibit 24 - Power of Attorney (incorporated herein by reference to Exhibit 24 to Form 4 filed by the Reporting Person with the SEC on February 3, 2016, with respect to Alnylam Pharmaceuticals, Inc.).</w:t>
      </w:r>
    </w:p>
    <w:p>
      <w:pPr>
        <w:spacing w:after="0" w:line="8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Alexandra Roger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06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Alexandra Roger Title:</w:t>
      </w:r>
      <w:r>
        <w:rPr>
          <w:sz w:val="20"/>
          <w:szCs w:val="20"/>
          <w:color w:val="auto"/>
        </w:rPr>
        <w:tab/>
      </w:r>
      <w:r>
        <w:rPr>
          <w:rFonts w:ascii="Arial" w:cs="Arial" w:eastAsia="Arial" w:hAnsi="Arial"/>
          <w:sz w:val="15"/>
          <w:szCs w:val="15"/>
          <w:color w:val="0000FF"/>
        </w:rPr>
        <w:t>03/11/2020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4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2020-03-11T16:02:44Z</dcterms:created>
  <dcterms:modified xsi:type="dcterms:W3CDTF">2020-03-11T16:02:44Z</dcterms:modified>
</cp:coreProperties>
</file>