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000"/>
        <w:spacing w:after="0"/>
        <w:rPr>
          <w:sz w:val="20"/>
          <w:szCs w:val="20"/>
          <w:color w:val="auto"/>
        </w:rPr>
      </w:pPr>
      <w:r>
        <w:rPr>
          <w:rFonts w:ascii="Arial" w:cs="Arial" w:eastAsia="Arial" w:hAnsi="Arial"/>
          <w:sz w:val="17"/>
          <w:szCs w:val="17"/>
          <w:color w:val="auto"/>
        </w:rPr>
        <w:t>SCHEDULE 14A</w:t>
      </w:r>
    </w:p>
    <w:p>
      <w:pPr>
        <w:jc w:val="right"/>
        <w:ind w:right="5040"/>
        <w:spacing w:after="0"/>
        <w:rPr>
          <w:sz w:val="20"/>
          <w:szCs w:val="20"/>
          <w:color w:val="auto"/>
        </w:rPr>
      </w:pPr>
      <w:r>
        <w:rPr>
          <w:rFonts w:ascii="Arial" w:cs="Arial" w:eastAsia="Arial" w:hAnsi="Arial"/>
          <w:sz w:val="17"/>
          <w:szCs w:val="17"/>
          <w:color w:val="auto"/>
        </w:rPr>
        <w:t>(Rule 14a-101)</w:t>
      </w:r>
    </w:p>
    <w:p>
      <w:pPr>
        <w:jc w:val="center"/>
        <w:ind w:right="-99"/>
        <w:spacing w:after="0"/>
        <w:rPr>
          <w:sz w:val="20"/>
          <w:szCs w:val="20"/>
          <w:color w:val="auto"/>
        </w:rPr>
      </w:pPr>
      <w:r>
        <w:rPr>
          <w:rFonts w:ascii="Arial" w:cs="Arial" w:eastAsia="Arial" w:hAnsi="Arial"/>
          <w:sz w:val="17"/>
          <w:szCs w:val="17"/>
          <w:color w:val="auto"/>
        </w:rPr>
        <w:t>INFORMATION REQUIRED IN PROXY STATEMENT</w:t>
      </w:r>
    </w:p>
    <w:p>
      <w:pPr>
        <w:jc w:val="center"/>
        <w:ind w:right="-99"/>
        <w:spacing w:after="0"/>
        <w:rPr>
          <w:sz w:val="20"/>
          <w:szCs w:val="20"/>
          <w:color w:val="auto"/>
        </w:rPr>
      </w:pPr>
      <w:r>
        <w:rPr>
          <w:rFonts w:ascii="Arial" w:cs="Arial" w:eastAsia="Arial" w:hAnsi="Arial"/>
          <w:sz w:val="17"/>
          <w:szCs w:val="17"/>
          <w:color w:val="auto"/>
        </w:rPr>
        <w:t>SCHEDULE 14A INFORMATION</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Proxy Statement Pursuant to Section 14(a) of the</w:t>
      </w:r>
    </w:p>
    <w:p>
      <w:pPr>
        <w:jc w:val="center"/>
        <w:ind w:right="-79"/>
        <w:spacing w:after="0"/>
        <w:tabs>
          <w:tab w:leader="none" w:pos="120" w:val="left"/>
        </w:tabs>
        <w:rPr>
          <w:sz w:val="20"/>
          <w:szCs w:val="20"/>
          <w:color w:val="auto"/>
        </w:rPr>
      </w:pPr>
      <w:r>
        <w:rPr>
          <w:rFonts w:ascii="Arial" w:cs="Arial" w:eastAsia="Arial" w:hAnsi="Arial"/>
          <w:sz w:val="17"/>
          <w:szCs w:val="17"/>
          <w:color w:val="auto"/>
        </w:rPr>
        <w:t>Securities Exchange Act of 1934 (Amendment No.</w:t>
        <w:tab/>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2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129" w:lineRule="exact"/>
        <w:rPr>
          <w:rFonts w:ascii="Arial" w:cs="Arial" w:eastAsia="Arial" w:hAnsi="Arial"/>
          <w:sz w:val="17"/>
          <w:szCs w:val="17"/>
          <w:color w:val="auto"/>
        </w:rPr>
      </w:pPr>
    </w:p>
    <w:p>
      <w:pPr>
        <w:ind w:left="360" w:hanging="356"/>
        <w:spacing w:after="0"/>
        <w:tabs>
          <w:tab w:leader="none" w:pos="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Under Rule 14a-12</w:t>
      </w:r>
    </w:p>
    <w:p>
      <w:pPr>
        <w:spacing w:after="0" w:line="116" w:lineRule="exact"/>
        <w:rPr>
          <w:rFonts w:ascii="Arial" w:cs="Arial" w:eastAsia="Arial" w:hAnsi="Arial"/>
          <w:sz w:val="17"/>
          <w:szCs w:val="17"/>
          <w:color w:val="auto"/>
        </w:rPr>
      </w:pPr>
    </w:p>
    <w:p>
      <w:pPr>
        <w:ind w:left="360" w:right="8560" w:hanging="356"/>
        <w:spacing w:after="0" w:line="237" w:lineRule="auto"/>
        <w:tabs>
          <w:tab w:leader="none" w:pos="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Confidential, For Use of the Commission Only (as permitted by Rule 14a-6(e)(2))</w:t>
      </w:r>
    </w:p>
    <w:p>
      <w:pPr>
        <w:spacing w:after="0" w:line="6"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 w:lineRule="exact"/>
        <w:rPr>
          <w:sz w:val="24"/>
          <w:szCs w:val="24"/>
          <w:color w:val="auto"/>
        </w:rPr>
      </w:pPr>
    </w:p>
    <w:p>
      <w:pPr>
        <w:ind w:left="360" w:hanging="356"/>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304"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1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29" w:lineRule="exact"/>
        <w:rPr>
          <w:sz w:val="24"/>
          <w:szCs w:val="24"/>
          <w:color w:val="auto"/>
        </w:rPr>
      </w:pPr>
    </w:p>
    <w:p>
      <w:pPr>
        <w:ind w:left="360" w:hanging="356"/>
        <w:spacing w:after="0"/>
        <w:tabs>
          <w:tab w:leader="none" w:pos="3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16" w:lineRule="exact"/>
        <w:rPr>
          <w:sz w:val="24"/>
          <w:szCs w:val="24"/>
          <w:color w:val="auto"/>
        </w:rPr>
      </w:pPr>
    </w:p>
    <w:p>
      <w:pPr>
        <w:ind w:left="360" w:hanging="356"/>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14a-6(i)(4) and 0-11.</w:t>
      </w:r>
    </w:p>
    <w:p>
      <w:pPr>
        <w:spacing w:after="0" w:line="168"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46"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98" w:lineRule="exact"/>
        <w:rPr>
          <w:rFonts w:ascii="Arial" w:cs="Arial" w:eastAsia="Arial" w:hAnsi="Arial"/>
          <w:sz w:val="17"/>
          <w:szCs w:val="17"/>
          <w:color w:val="auto"/>
        </w:rPr>
      </w:pPr>
    </w:p>
    <w:p>
      <w:pPr>
        <w:ind w:left="700" w:right="280" w:hanging="345"/>
        <w:spacing w:after="0" w:line="255" w:lineRule="auto"/>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21"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6"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363" w:lineRule="exact"/>
        <w:rPr>
          <w:rFonts w:ascii="Arial" w:cs="Arial" w:eastAsia="Arial" w:hAnsi="Arial"/>
          <w:sz w:val="17"/>
          <w:szCs w:val="17"/>
          <w:color w:val="auto"/>
        </w:rPr>
      </w:pPr>
    </w:p>
    <w:p>
      <w:pPr>
        <w:ind w:left="360" w:hanging="356"/>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129" w:lineRule="exact"/>
        <w:rPr>
          <w:rFonts w:ascii="Arial" w:cs="Arial" w:eastAsia="Arial" w:hAnsi="Arial"/>
          <w:sz w:val="17"/>
          <w:szCs w:val="17"/>
          <w:color w:val="auto"/>
        </w:rPr>
      </w:pPr>
    </w:p>
    <w:p>
      <w:pPr>
        <w:ind w:left="360" w:hanging="356"/>
        <w:spacing w:after="0" w:line="255"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1"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29"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46"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46" w:lineRule="exact"/>
        <w:rPr>
          <w:rFonts w:ascii="Arial" w:cs="Arial" w:eastAsia="Arial" w:hAnsi="Arial"/>
          <w:sz w:val="17"/>
          <w:szCs w:val="17"/>
          <w:color w:val="auto"/>
        </w:rPr>
      </w:pPr>
    </w:p>
    <w:p>
      <w:pPr>
        <w:ind w:left="700" w:hanging="345"/>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440055</wp:posOffset>
            </wp:positionH>
            <wp:positionV relativeFrom="paragraph">
              <wp:posOffset>-2853690</wp:posOffset>
            </wp:positionV>
            <wp:extent cx="6814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-2573020</wp:posOffset>
            </wp:positionV>
            <wp:extent cx="6814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-2136140</wp:posOffset>
            </wp:positionV>
            <wp:extent cx="6814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-1855470</wp:posOffset>
            </wp:positionV>
            <wp:extent cx="6814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-1574800</wp:posOffset>
            </wp:positionV>
            <wp:extent cx="6814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-485775</wp:posOffset>
            </wp:positionV>
            <wp:extent cx="6814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-205740</wp:posOffset>
            </wp:positionV>
            <wp:extent cx="6814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74295</wp:posOffset>
            </wp:positionV>
            <wp:extent cx="6814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-692150</wp:posOffset>
            </wp:positionV>
            <wp:extent cx="6814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231140</wp:posOffset>
            </wp:positionV>
            <wp:extent cx="72517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1340"/>
          </w:cols>
          <w:pgMar w:left="240" w:top="242"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262255</wp:posOffset>
            </wp:positionV>
            <wp:extent cx="7251700" cy="9149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700" cy="9149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1334770</wp:posOffset>
            </wp:positionH>
            <wp:positionV relativeFrom="page">
              <wp:posOffset>5896610</wp:posOffset>
            </wp:positionV>
            <wp:extent cx="4892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92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205BA8"/>
        </w:rPr>
        <w:t>Cover page depicts fluorescent immuno-detection of the developing retinal vasculature, as captured by a Regeneron scientist.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149860</wp:posOffset>
            </wp:positionV>
            <wp:extent cx="72517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262255</wp:posOffset>
            </wp:positionV>
            <wp:extent cx="7251700" cy="8869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886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262255</wp:posOffset>
            </wp:positionV>
            <wp:extent cx="7251700" cy="8869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886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55"/>
          <w:szCs w:val="55"/>
          <w:b w:val="1"/>
          <w:bCs w:val="1"/>
          <w:color w:val="57616D"/>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190" cy="16510"/>
                    </a:xfrm>
                    <a:prstGeom prst="rect">
                      <a:avLst/>
                    </a:prstGeom>
                    <a:noFill/>
                  </pic:spPr>
                </pic:pic>
              </a:graphicData>
            </a:graphic>
          </wp:anchor>
        </w:drawing>
        <w:t>REGENERON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600190" cy="9231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190" cy="923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000"/>
        </w:trPr>
        <w:tc>
          <w:tcPr>
            <w:tcW w:w="3280" w:type="dxa"/>
            <w:vAlign w:val="bottom"/>
          </w:tcPr>
          <w:p>
            <w:pPr>
              <w:jc w:val="center"/>
              <w:ind w:right="1249"/>
              <w:spacing w:after="0"/>
              <w:rPr>
                <w:sz w:val="20"/>
                <w:szCs w:val="20"/>
                <w:color w:val="auto"/>
              </w:rPr>
            </w:pPr>
            <w:r>
              <w:rPr>
                <w:rFonts w:ascii="Arial" w:cs="Arial" w:eastAsia="Arial" w:hAnsi="Arial"/>
                <w:sz w:val="87"/>
                <w:szCs w:val="87"/>
                <w:color w:val="FFFFFF"/>
                <w:w w:val="99"/>
              </w:rPr>
              <w:t>7</w:t>
            </w:r>
          </w:p>
        </w:tc>
        <w:tc>
          <w:tcPr>
            <w:tcW w:w="4120" w:type="dxa"/>
            <w:vAlign w:val="bottom"/>
          </w:tcPr>
          <w:p>
            <w:pPr>
              <w:jc w:val="center"/>
              <w:ind w:left="1289"/>
              <w:spacing w:after="0"/>
              <w:rPr>
                <w:sz w:val="20"/>
                <w:szCs w:val="20"/>
                <w:color w:val="auto"/>
              </w:rPr>
            </w:pPr>
            <w:r>
              <w:rPr>
                <w:rFonts w:ascii="Arial" w:cs="Arial" w:eastAsia="Arial" w:hAnsi="Arial"/>
                <w:sz w:val="87"/>
                <w:szCs w:val="87"/>
                <w:color w:val="FFFFFF"/>
                <w:w w:val="99"/>
              </w:rPr>
              <w:t>2</w:t>
            </w:r>
          </w:p>
        </w:tc>
      </w:tr>
      <w:tr>
        <w:trPr>
          <w:trHeight w:val="299"/>
        </w:trPr>
        <w:tc>
          <w:tcPr>
            <w:tcW w:w="3280" w:type="dxa"/>
            <w:vAlign w:val="bottom"/>
          </w:tcPr>
          <w:p>
            <w:pPr>
              <w:jc w:val="center"/>
              <w:ind w:right="1249"/>
              <w:spacing w:after="0"/>
              <w:rPr>
                <w:sz w:val="20"/>
                <w:szCs w:val="20"/>
                <w:color w:val="auto"/>
              </w:rPr>
            </w:pPr>
            <w:r>
              <w:rPr>
                <w:rFonts w:ascii="Arial" w:cs="Arial" w:eastAsia="Arial" w:hAnsi="Arial"/>
                <w:sz w:val="26"/>
                <w:szCs w:val="26"/>
                <w:b w:val="1"/>
                <w:bCs w:val="1"/>
                <w:color w:val="FFFFFF"/>
              </w:rPr>
              <w:t>FDA-approved</w:t>
            </w:r>
          </w:p>
        </w:tc>
        <w:tc>
          <w:tcPr>
            <w:tcW w:w="4120" w:type="dxa"/>
            <w:vAlign w:val="bottom"/>
          </w:tcPr>
          <w:p>
            <w:pPr>
              <w:jc w:val="center"/>
              <w:ind w:left="1269"/>
              <w:spacing w:after="0"/>
              <w:rPr>
                <w:sz w:val="20"/>
                <w:szCs w:val="20"/>
                <w:color w:val="auto"/>
              </w:rPr>
            </w:pPr>
            <w:r>
              <w:rPr>
                <w:rFonts w:ascii="Arial" w:cs="Arial" w:eastAsia="Arial" w:hAnsi="Arial"/>
                <w:sz w:val="26"/>
                <w:szCs w:val="26"/>
                <w:b w:val="1"/>
                <w:bCs w:val="1"/>
                <w:color w:val="FFFFFF"/>
              </w:rPr>
              <w:t>major FDA approvals</w:t>
            </w:r>
          </w:p>
        </w:tc>
      </w:tr>
      <w:tr>
        <w:trPr>
          <w:trHeight w:val="345"/>
        </w:trPr>
        <w:tc>
          <w:tcPr>
            <w:tcW w:w="3280" w:type="dxa"/>
            <w:vAlign w:val="bottom"/>
          </w:tcPr>
          <w:p>
            <w:pPr>
              <w:jc w:val="center"/>
              <w:ind w:right="1249"/>
              <w:spacing w:after="0"/>
              <w:rPr>
                <w:sz w:val="20"/>
                <w:szCs w:val="20"/>
                <w:color w:val="auto"/>
              </w:rPr>
            </w:pPr>
            <w:r>
              <w:rPr>
                <w:rFonts w:ascii="Arial" w:cs="Arial" w:eastAsia="Arial" w:hAnsi="Arial"/>
                <w:sz w:val="26"/>
                <w:szCs w:val="26"/>
                <w:b w:val="1"/>
                <w:bCs w:val="1"/>
                <w:color w:val="FFFFFF"/>
              </w:rPr>
              <w:t>products</w:t>
            </w:r>
          </w:p>
        </w:tc>
        <w:tc>
          <w:tcPr>
            <w:tcW w:w="4120" w:type="dxa"/>
            <w:vAlign w:val="bottom"/>
          </w:tcPr>
          <w:p>
            <w:pPr>
              <w:jc w:val="center"/>
              <w:ind w:left="1289"/>
              <w:spacing w:after="0"/>
              <w:rPr>
                <w:sz w:val="20"/>
                <w:szCs w:val="20"/>
                <w:color w:val="auto"/>
              </w:rPr>
            </w:pPr>
            <w:r>
              <w:rPr>
                <w:rFonts w:ascii="Arial" w:cs="Arial" w:eastAsia="Arial" w:hAnsi="Arial"/>
                <w:sz w:val="26"/>
                <w:szCs w:val="26"/>
                <w:b w:val="1"/>
                <w:bCs w:val="1"/>
                <w:color w:val="FFFFFF"/>
                <w:w w:val="99"/>
              </w:rPr>
              <w:t>in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1320" w:type="dxa"/>
        <w:tblCellMar>
          <w:top w:w="0" w:type="dxa"/>
          <w:left w:w="0" w:type="dxa"/>
          <w:bottom w:w="0" w:type="dxa"/>
          <w:right w:w="0" w:type="dxa"/>
        </w:tblCellMar>
      </w:tblPr>
      <w:tr>
        <w:trPr>
          <w:trHeight w:val="1000"/>
        </w:trPr>
        <w:tc>
          <w:tcPr>
            <w:tcW w:w="3340" w:type="dxa"/>
            <w:vAlign w:val="bottom"/>
          </w:tcPr>
          <w:p>
            <w:pPr>
              <w:jc w:val="center"/>
              <w:ind w:right="549"/>
              <w:spacing w:after="0"/>
              <w:rPr>
                <w:sz w:val="20"/>
                <w:szCs w:val="20"/>
                <w:color w:val="auto"/>
              </w:rPr>
            </w:pPr>
            <w:r>
              <w:rPr>
                <w:rFonts w:ascii="Arial" w:cs="Arial" w:eastAsia="Arial" w:hAnsi="Arial"/>
                <w:sz w:val="87"/>
                <w:szCs w:val="87"/>
                <w:color w:val="FFFFFF"/>
                <w:w w:val="99"/>
              </w:rPr>
              <w:t>20</w:t>
            </w:r>
          </w:p>
        </w:tc>
        <w:tc>
          <w:tcPr>
            <w:tcW w:w="5480" w:type="dxa"/>
            <w:vAlign w:val="bottom"/>
          </w:tcPr>
          <w:p>
            <w:pPr>
              <w:jc w:val="center"/>
              <w:ind w:left="574"/>
              <w:spacing w:after="0"/>
              <w:rPr>
                <w:sz w:val="20"/>
                <w:szCs w:val="20"/>
                <w:color w:val="auto"/>
              </w:rPr>
            </w:pPr>
            <w:r>
              <w:rPr>
                <w:rFonts w:ascii="Arial" w:cs="Arial" w:eastAsia="Arial" w:hAnsi="Arial"/>
                <w:sz w:val="87"/>
                <w:szCs w:val="87"/>
                <w:color w:val="FFFFFF"/>
                <w:w w:val="99"/>
              </w:rPr>
              <w:t>7.5M+</w:t>
            </w:r>
          </w:p>
        </w:tc>
      </w:tr>
      <w:tr>
        <w:trPr>
          <w:trHeight w:val="299"/>
        </w:trPr>
        <w:tc>
          <w:tcPr>
            <w:tcW w:w="3340" w:type="dxa"/>
            <w:vAlign w:val="bottom"/>
          </w:tcPr>
          <w:p>
            <w:pPr>
              <w:jc w:val="center"/>
              <w:ind w:right="569"/>
              <w:spacing w:after="0"/>
              <w:rPr>
                <w:sz w:val="20"/>
                <w:szCs w:val="20"/>
                <w:color w:val="auto"/>
              </w:rPr>
            </w:pPr>
            <w:r>
              <w:rPr>
                <w:rFonts w:ascii="Arial" w:cs="Arial" w:eastAsia="Arial" w:hAnsi="Arial"/>
                <w:sz w:val="26"/>
                <w:szCs w:val="26"/>
                <w:b w:val="1"/>
                <w:bCs w:val="1"/>
                <w:color w:val="FFFFFF"/>
                <w:w w:val="99"/>
              </w:rPr>
              <w:t>candidates in</w:t>
            </w:r>
          </w:p>
        </w:tc>
        <w:tc>
          <w:tcPr>
            <w:tcW w:w="5480" w:type="dxa"/>
            <w:vAlign w:val="bottom"/>
          </w:tcPr>
          <w:p>
            <w:pPr>
              <w:jc w:val="center"/>
              <w:ind w:left="574"/>
              <w:spacing w:after="0"/>
              <w:rPr>
                <w:sz w:val="20"/>
                <w:szCs w:val="20"/>
                <w:color w:val="auto"/>
              </w:rPr>
            </w:pPr>
            <w:r>
              <w:rPr>
                <w:rFonts w:ascii="Arial" w:cs="Arial" w:eastAsia="Arial" w:hAnsi="Arial"/>
                <w:sz w:val="26"/>
                <w:szCs w:val="26"/>
                <w:b w:val="1"/>
                <w:bCs w:val="1"/>
                <w:color w:val="FFFFFF"/>
              </w:rPr>
              <w:t>doses of our medicines manufactured</w:t>
            </w:r>
          </w:p>
        </w:tc>
      </w:tr>
      <w:tr>
        <w:trPr>
          <w:trHeight w:val="299"/>
        </w:trPr>
        <w:tc>
          <w:tcPr>
            <w:tcW w:w="3340" w:type="dxa"/>
            <w:vAlign w:val="bottom"/>
          </w:tcPr>
          <w:p>
            <w:pPr>
              <w:jc w:val="center"/>
              <w:ind w:right="549"/>
              <w:spacing w:after="0"/>
              <w:rPr>
                <w:sz w:val="20"/>
                <w:szCs w:val="20"/>
                <w:color w:val="auto"/>
              </w:rPr>
            </w:pPr>
            <w:r>
              <w:rPr>
                <w:rFonts w:ascii="Arial" w:cs="Arial" w:eastAsia="Arial" w:hAnsi="Arial"/>
                <w:sz w:val="26"/>
                <w:szCs w:val="26"/>
                <w:b w:val="1"/>
                <w:bCs w:val="1"/>
                <w:color w:val="FFFFFF"/>
              </w:rPr>
              <w:t>clinical development</w:t>
            </w:r>
          </w:p>
        </w:tc>
        <w:tc>
          <w:tcPr>
            <w:tcW w:w="5480" w:type="dxa"/>
            <w:vAlign w:val="bottom"/>
          </w:tcPr>
          <w:p>
            <w:pPr>
              <w:jc w:val="center"/>
              <w:ind w:left="574"/>
              <w:spacing w:after="0"/>
              <w:rPr>
                <w:sz w:val="20"/>
                <w:szCs w:val="20"/>
                <w:color w:val="auto"/>
              </w:rPr>
            </w:pPr>
            <w:r>
              <w:rPr>
                <w:rFonts w:ascii="Arial" w:cs="Arial" w:eastAsia="Arial" w:hAnsi="Arial"/>
                <w:sz w:val="26"/>
                <w:szCs w:val="26"/>
                <w:b w:val="1"/>
                <w:bCs w:val="1"/>
                <w:color w:val="FFFFFF"/>
              </w:rPr>
              <w:t>by our Industrial Operations and</w:t>
            </w:r>
          </w:p>
        </w:tc>
      </w:tr>
      <w:tr>
        <w:trPr>
          <w:trHeight w:val="345"/>
        </w:trPr>
        <w:tc>
          <w:tcPr>
            <w:tcW w:w="3340" w:type="dxa"/>
            <w:vAlign w:val="bottom"/>
          </w:tcPr>
          <w:p>
            <w:pPr>
              <w:spacing w:after="0"/>
              <w:rPr>
                <w:sz w:val="24"/>
                <w:szCs w:val="24"/>
                <w:color w:val="auto"/>
              </w:rPr>
            </w:pPr>
          </w:p>
        </w:tc>
        <w:tc>
          <w:tcPr>
            <w:tcW w:w="5480" w:type="dxa"/>
            <w:vAlign w:val="bottom"/>
          </w:tcPr>
          <w:p>
            <w:pPr>
              <w:jc w:val="center"/>
              <w:ind w:left="574"/>
              <w:spacing w:after="0"/>
              <w:rPr>
                <w:sz w:val="20"/>
                <w:szCs w:val="20"/>
                <w:color w:val="auto"/>
              </w:rPr>
            </w:pPr>
            <w:r>
              <w:rPr>
                <w:rFonts w:ascii="Arial" w:cs="Arial" w:eastAsia="Arial" w:hAnsi="Arial"/>
                <w:sz w:val="26"/>
                <w:szCs w:val="26"/>
                <w:b w:val="1"/>
                <w:bCs w:val="1"/>
                <w:color w:val="FFFFFF"/>
                <w:w w:val="99"/>
              </w:rPr>
              <w:t>Product Supply (IOPS) team in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000"/>
        </w:trPr>
        <w:tc>
          <w:tcPr>
            <w:tcW w:w="4740" w:type="dxa"/>
            <w:vAlign w:val="bottom"/>
          </w:tcPr>
          <w:p>
            <w:pPr>
              <w:jc w:val="center"/>
              <w:ind w:right="494"/>
              <w:spacing w:after="0"/>
              <w:rPr>
                <w:sz w:val="20"/>
                <w:szCs w:val="20"/>
                <w:color w:val="auto"/>
              </w:rPr>
            </w:pPr>
            <w:r>
              <w:rPr>
                <w:rFonts w:ascii="Arial" w:cs="Arial" w:eastAsia="Arial" w:hAnsi="Arial"/>
                <w:sz w:val="87"/>
                <w:szCs w:val="87"/>
                <w:color w:val="FFFFFF"/>
                <w:w w:val="89"/>
                <w:vertAlign w:val="superscript"/>
              </w:rPr>
              <w:t>#</w:t>
            </w:r>
            <w:r>
              <w:rPr>
                <w:rFonts w:ascii="Arial" w:cs="Arial" w:eastAsia="Arial" w:hAnsi="Arial"/>
                <w:sz w:val="87"/>
                <w:szCs w:val="87"/>
                <w:color w:val="FFFFFF"/>
                <w:w w:val="89"/>
              </w:rPr>
              <w:t>1</w:t>
            </w:r>
          </w:p>
        </w:tc>
        <w:tc>
          <w:tcPr>
            <w:tcW w:w="4260" w:type="dxa"/>
            <w:vAlign w:val="bottom"/>
          </w:tcPr>
          <w:p>
            <w:pPr>
              <w:jc w:val="center"/>
              <w:ind w:left="449"/>
              <w:spacing w:after="0"/>
              <w:rPr>
                <w:sz w:val="20"/>
                <w:szCs w:val="20"/>
                <w:color w:val="auto"/>
              </w:rPr>
            </w:pPr>
            <w:r>
              <w:rPr>
                <w:rFonts w:ascii="Arial" w:cs="Arial" w:eastAsia="Arial" w:hAnsi="Arial"/>
                <w:sz w:val="87"/>
                <w:szCs w:val="87"/>
                <w:color w:val="FFFFFF"/>
                <w:w w:val="99"/>
              </w:rPr>
              <w:t>7,300+</w:t>
            </w:r>
          </w:p>
        </w:tc>
      </w:tr>
      <w:tr>
        <w:trPr>
          <w:trHeight w:val="299"/>
        </w:trPr>
        <w:tc>
          <w:tcPr>
            <w:tcW w:w="4740" w:type="dxa"/>
            <w:vAlign w:val="bottom"/>
          </w:tcPr>
          <w:p>
            <w:pPr>
              <w:jc w:val="center"/>
              <w:ind w:right="514"/>
              <w:spacing w:after="0"/>
              <w:rPr>
                <w:sz w:val="20"/>
                <w:szCs w:val="20"/>
                <w:color w:val="auto"/>
              </w:rPr>
            </w:pPr>
            <w:r>
              <w:rPr>
                <w:rFonts w:ascii="Arial" w:cs="Arial" w:eastAsia="Arial" w:hAnsi="Arial"/>
                <w:sz w:val="26"/>
                <w:szCs w:val="26"/>
                <w:b w:val="1"/>
                <w:bCs w:val="1"/>
                <w:color w:val="FFFFFF"/>
                <w:w w:val="99"/>
              </w:rPr>
              <w:t>top-ranked Biopharma Employer</w:t>
            </w:r>
          </w:p>
        </w:tc>
        <w:tc>
          <w:tcPr>
            <w:tcW w:w="4260" w:type="dxa"/>
            <w:vAlign w:val="bottom"/>
          </w:tcPr>
          <w:p>
            <w:pPr>
              <w:jc w:val="center"/>
              <w:ind w:left="449"/>
              <w:spacing w:after="0"/>
              <w:rPr>
                <w:sz w:val="20"/>
                <w:szCs w:val="20"/>
                <w:color w:val="auto"/>
              </w:rPr>
            </w:pPr>
            <w:r>
              <w:rPr>
                <w:rFonts w:ascii="Arial" w:cs="Arial" w:eastAsia="Arial" w:hAnsi="Arial"/>
                <w:sz w:val="26"/>
                <w:szCs w:val="26"/>
                <w:b w:val="1"/>
                <w:bCs w:val="1"/>
                <w:color w:val="FFFFFF"/>
                <w:w w:val="99"/>
              </w:rPr>
              <w:t>employees from</w:t>
            </w:r>
          </w:p>
        </w:tc>
      </w:tr>
      <w:tr>
        <w:trPr>
          <w:trHeight w:val="299"/>
        </w:trPr>
        <w:tc>
          <w:tcPr>
            <w:tcW w:w="4740" w:type="dxa"/>
            <w:vAlign w:val="bottom"/>
          </w:tcPr>
          <w:p>
            <w:pPr>
              <w:jc w:val="center"/>
              <w:ind w:right="494"/>
              <w:spacing w:after="0"/>
              <w:rPr>
                <w:sz w:val="20"/>
                <w:szCs w:val="20"/>
                <w:color w:val="auto"/>
              </w:rPr>
            </w:pPr>
            <w:r>
              <w:rPr>
                <w:rFonts w:ascii="Arial" w:cs="Arial" w:eastAsia="Arial" w:hAnsi="Arial"/>
                <w:sz w:val="26"/>
                <w:szCs w:val="26"/>
                <w:b w:val="1"/>
                <w:bCs w:val="1"/>
                <w:color w:val="FFFFFF"/>
              </w:rPr>
              <w:t xml:space="preserve">in </w:t>
            </w:r>
            <w:r>
              <w:rPr>
                <w:rFonts w:ascii="Arial" w:cs="Arial" w:eastAsia="Arial" w:hAnsi="Arial"/>
                <w:sz w:val="26"/>
                <w:szCs w:val="26"/>
                <w:b w:val="1"/>
                <w:bCs w:val="1"/>
                <w:i w:val="1"/>
                <w:iCs w:val="1"/>
                <w:color w:val="FFFFFF"/>
              </w:rPr>
              <w:t>Science</w:t>
            </w:r>
            <w:r>
              <w:rPr>
                <w:rFonts w:ascii="Arial" w:cs="Arial" w:eastAsia="Arial" w:hAnsi="Arial"/>
                <w:sz w:val="26"/>
                <w:szCs w:val="26"/>
                <w:b w:val="1"/>
                <w:bCs w:val="1"/>
                <w:color w:val="FFFFFF"/>
              </w:rPr>
              <w:t xml:space="preserve"> global survey</w:t>
            </w:r>
          </w:p>
        </w:tc>
        <w:tc>
          <w:tcPr>
            <w:tcW w:w="4260" w:type="dxa"/>
            <w:vAlign w:val="bottom"/>
          </w:tcPr>
          <w:p>
            <w:pPr>
              <w:jc w:val="center"/>
              <w:ind w:left="469"/>
              <w:spacing w:after="0"/>
              <w:rPr>
                <w:sz w:val="20"/>
                <w:szCs w:val="20"/>
                <w:color w:val="auto"/>
              </w:rPr>
            </w:pPr>
            <w:r>
              <w:rPr>
                <w:rFonts w:ascii="Arial" w:cs="Arial" w:eastAsia="Arial" w:hAnsi="Arial"/>
                <w:sz w:val="26"/>
                <w:szCs w:val="26"/>
                <w:b w:val="1"/>
                <w:bCs w:val="1"/>
                <w:color w:val="FFFFFF"/>
                <w:w w:val="99"/>
              </w:rPr>
              <w:t>100+ countries in 7 locations</w:t>
            </w:r>
          </w:p>
        </w:tc>
      </w:tr>
      <w:tr>
        <w:trPr>
          <w:trHeight w:val="345"/>
        </w:trPr>
        <w:tc>
          <w:tcPr>
            <w:tcW w:w="4740" w:type="dxa"/>
            <w:vAlign w:val="bottom"/>
          </w:tcPr>
          <w:p>
            <w:pPr>
              <w:jc w:val="center"/>
              <w:ind w:right="514"/>
              <w:spacing w:after="0"/>
              <w:rPr>
                <w:sz w:val="20"/>
                <w:szCs w:val="20"/>
                <w:color w:val="auto"/>
              </w:rPr>
            </w:pPr>
            <w:r>
              <w:rPr>
                <w:rFonts w:ascii="Arial" w:cs="Arial" w:eastAsia="Arial" w:hAnsi="Arial"/>
                <w:sz w:val="26"/>
                <w:szCs w:val="26"/>
                <w:b w:val="1"/>
                <w:bCs w:val="1"/>
                <w:color w:val="FFFFFF"/>
              </w:rPr>
              <w:t>for 6th time</w:t>
            </w:r>
          </w:p>
        </w:tc>
        <w:tc>
          <w:tcPr>
            <w:tcW w:w="4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80" w:type="dxa"/>
        <w:tblCellMar>
          <w:top w:w="0" w:type="dxa"/>
          <w:left w:w="0" w:type="dxa"/>
          <w:bottom w:w="0" w:type="dxa"/>
          <w:right w:w="0" w:type="dxa"/>
        </w:tblCellMar>
      </w:tblPr>
      <w:tr>
        <w:trPr>
          <w:trHeight w:val="1000"/>
        </w:trPr>
        <w:tc>
          <w:tcPr>
            <w:tcW w:w="5420" w:type="dxa"/>
            <w:vAlign w:val="bottom"/>
          </w:tcPr>
          <w:p>
            <w:pPr>
              <w:jc w:val="center"/>
              <w:ind w:right="574"/>
              <w:spacing w:after="0"/>
              <w:rPr>
                <w:sz w:val="20"/>
                <w:szCs w:val="20"/>
                <w:color w:val="auto"/>
              </w:rPr>
            </w:pPr>
            <w:r>
              <w:rPr>
                <w:rFonts w:ascii="Arial" w:cs="Arial" w:eastAsia="Arial" w:hAnsi="Arial"/>
                <w:sz w:val="87"/>
                <w:szCs w:val="87"/>
                <w:color w:val="FFFFFF"/>
                <w:w w:val="99"/>
              </w:rPr>
              <w:t>4,000+</w:t>
            </w:r>
          </w:p>
        </w:tc>
        <w:tc>
          <w:tcPr>
            <w:tcW w:w="3400" w:type="dxa"/>
            <w:vAlign w:val="bottom"/>
          </w:tcPr>
          <w:p>
            <w:pPr>
              <w:jc w:val="center"/>
              <w:ind w:left="574"/>
              <w:spacing w:after="0"/>
              <w:rPr>
                <w:sz w:val="20"/>
                <w:szCs w:val="20"/>
                <w:color w:val="auto"/>
              </w:rPr>
            </w:pPr>
            <w:r>
              <w:rPr>
                <w:rFonts w:ascii="Arial" w:cs="Arial" w:eastAsia="Arial" w:hAnsi="Arial"/>
                <w:sz w:val="87"/>
                <w:szCs w:val="87"/>
                <w:color w:val="FFFFFF"/>
                <w:w w:val="99"/>
              </w:rPr>
              <w:t>98%</w:t>
            </w:r>
          </w:p>
        </w:tc>
      </w:tr>
      <w:tr>
        <w:trPr>
          <w:trHeight w:val="299"/>
        </w:trPr>
        <w:tc>
          <w:tcPr>
            <w:tcW w:w="5420" w:type="dxa"/>
            <w:vAlign w:val="bottom"/>
          </w:tcPr>
          <w:p>
            <w:pPr>
              <w:jc w:val="center"/>
              <w:ind w:right="574"/>
              <w:spacing w:after="0"/>
              <w:rPr>
                <w:sz w:val="20"/>
                <w:szCs w:val="20"/>
                <w:color w:val="auto"/>
              </w:rPr>
            </w:pPr>
            <w:r>
              <w:rPr>
                <w:rFonts w:ascii="Arial" w:cs="Arial" w:eastAsia="Arial" w:hAnsi="Arial"/>
                <w:sz w:val="26"/>
                <w:szCs w:val="26"/>
                <w:b w:val="1"/>
                <w:bCs w:val="1"/>
                <w:color w:val="FFFFFF"/>
              </w:rPr>
              <w:t>employees participated in 2nd annual</w:t>
            </w:r>
          </w:p>
        </w:tc>
        <w:tc>
          <w:tcPr>
            <w:tcW w:w="3400" w:type="dxa"/>
            <w:vAlign w:val="bottom"/>
          </w:tcPr>
          <w:p>
            <w:pPr>
              <w:jc w:val="center"/>
              <w:ind w:left="574"/>
              <w:spacing w:after="0"/>
              <w:rPr>
                <w:sz w:val="20"/>
                <w:szCs w:val="20"/>
                <w:color w:val="auto"/>
              </w:rPr>
            </w:pPr>
            <w:r>
              <w:rPr>
                <w:rFonts w:ascii="Arial" w:cs="Arial" w:eastAsia="Arial" w:hAnsi="Arial"/>
                <w:sz w:val="26"/>
                <w:szCs w:val="26"/>
                <w:b w:val="1"/>
                <w:bCs w:val="1"/>
                <w:color w:val="FFFFFF"/>
              </w:rPr>
              <w:t>of our waste diverted</w:t>
            </w:r>
          </w:p>
        </w:tc>
      </w:tr>
      <w:tr>
        <w:trPr>
          <w:trHeight w:val="299"/>
        </w:trPr>
        <w:tc>
          <w:tcPr>
            <w:tcW w:w="5420" w:type="dxa"/>
            <w:vAlign w:val="bottom"/>
          </w:tcPr>
          <w:p>
            <w:pPr>
              <w:jc w:val="center"/>
              <w:ind w:right="574"/>
              <w:spacing w:after="0"/>
              <w:rPr>
                <w:sz w:val="20"/>
                <w:szCs w:val="20"/>
                <w:color w:val="auto"/>
              </w:rPr>
            </w:pPr>
            <w:r>
              <w:rPr>
                <w:rFonts w:ascii="Arial" w:cs="Arial" w:eastAsia="Arial" w:hAnsi="Arial"/>
                <w:sz w:val="26"/>
                <w:szCs w:val="26"/>
                <w:b w:val="1"/>
                <w:bCs w:val="1"/>
                <w:i w:val="1"/>
                <w:iCs w:val="1"/>
                <w:color w:val="FFFFFF"/>
                <w:w w:val="99"/>
              </w:rPr>
              <w:t>Day for Doing Good</w:t>
            </w:r>
            <w:r>
              <w:rPr>
                <w:rFonts w:ascii="Arial" w:cs="Arial" w:eastAsia="Arial" w:hAnsi="Arial"/>
                <w:sz w:val="26"/>
                <w:szCs w:val="26"/>
                <w:b w:val="1"/>
                <w:bCs w:val="1"/>
                <w:color w:val="FFFFFF"/>
                <w:w w:val="99"/>
              </w:rPr>
              <w:t>, logging more</w:t>
            </w:r>
          </w:p>
        </w:tc>
        <w:tc>
          <w:tcPr>
            <w:tcW w:w="3400" w:type="dxa"/>
            <w:vAlign w:val="bottom"/>
          </w:tcPr>
          <w:p>
            <w:pPr>
              <w:jc w:val="center"/>
              <w:ind w:left="594"/>
              <w:spacing w:after="0"/>
              <w:rPr>
                <w:sz w:val="20"/>
                <w:szCs w:val="20"/>
                <w:color w:val="auto"/>
              </w:rPr>
            </w:pPr>
            <w:r>
              <w:rPr>
                <w:rFonts w:ascii="Arial" w:cs="Arial" w:eastAsia="Arial" w:hAnsi="Arial"/>
                <w:sz w:val="26"/>
                <w:szCs w:val="26"/>
                <w:b w:val="1"/>
                <w:bCs w:val="1"/>
                <w:color w:val="FFFFFF"/>
                <w:w w:val="99"/>
              </w:rPr>
              <w:t>from landfill,</w:t>
            </w:r>
          </w:p>
        </w:tc>
      </w:tr>
      <w:tr>
        <w:trPr>
          <w:trHeight w:val="345"/>
        </w:trPr>
        <w:tc>
          <w:tcPr>
            <w:tcW w:w="5420" w:type="dxa"/>
            <w:vAlign w:val="bottom"/>
          </w:tcPr>
          <w:p>
            <w:pPr>
              <w:jc w:val="center"/>
              <w:ind w:right="594"/>
              <w:spacing w:after="0"/>
              <w:rPr>
                <w:sz w:val="20"/>
                <w:szCs w:val="20"/>
                <w:color w:val="auto"/>
              </w:rPr>
            </w:pPr>
            <w:r>
              <w:rPr>
                <w:rFonts w:ascii="Arial" w:cs="Arial" w:eastAsia="Arial" w:hAnsi="Arial"/>
                <w:sz w:val="26"/>
                <w:szCs w:val="26"/>
                <w:b w:val="1"/>
                <w:bCs w:val="1"/>
                <w:color w:val="FFFFFF"/>
              </w:rPr>
              <w:t>than 14,000 hours of service</w:t>
            </w:r>
          </w:p>
        </w:tc>
        <w:tc>
          <w:tcPr>
            <w:tcW w:w="3400" w:type="dxa"/>
            <w:vAlign w:val="bottom"/>
          </w:tcPr>
          <w:p>
            <w:pPr>
              <w:jc w:val="center"/>
              <w:ind w:left="594"/>
              <w:spacing w:after="0"/>
              <w:rPr>
                <w:sz w:val="20"/>
                <w:szCs w:val="20"/>
                <w:color w:val="auto"/>
              </w:rPr>
            </w:pPr>
            <w:r>
              <w:rPr>
                <w:rFonts w:ascii="Arial" w:cs="Arial" w:eastAsia="Arial" w:hAnsi="Arial"/>
                <w:sz w:val="26"/>
                <w:szCs w:val="26"/>
                <w:b w:val="1"/>
                <w:bCs w:val="1"/>
                <w:color w:val="FFFFFF"/>
                <w:w w:val="99"/>
              </w:rPr>
              <w:t>surpassing our goal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396240</wp:posOffset>
            </wp:positionV>
            <wp:extent cx="72517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140"/>
          </w:cols>
          <w:pgMar w:left="760" w:top="568" w:right="999" w:bottom="673" w:gutter="0" w:footer="0" w:header="0"/>
        </w:sectPr>
      </w:pPr>
    </w:p>
    <w:bookmarkStart w:id="6" w:name="page7"/>
    <w:bookmarkEnd w:id="6"/>
    <w:p>
      <w:pPr>
        <w:ind w:right="3440"/>
        <w:spacing w:after="0" w:line="281" w:lineRule="auto"/>
        <w:rPr>
          <w:sz w:val="20"/>
          <w:szCs w:val="20"/>
          <w:color w:val="auto"/>
        </w:rPr>
      </w:pPr>
      <w:r>
        <w:rPr>
          <w:rFonts w:ascii="Arial" w:cs="Arial" w:eastAsia="Arial" w:hAnsi="Arial"/>
          <w:sz w:val="55"/>
          <w:szCs w:val="55"/>
          <w:b w:val="1"/>
          <w:bCs w:val="1"/>
          <w:color w:val="FFFFFF"/>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t>MANAGEMENT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28"/>
          <w:szCs w:val="28"/>
          <w:b w:val="1"/>
          <w:bCs w:val="1"/>
          <w:color w:val="D61C5A"/>
        </w:rPr>
        <w:t>DEAR FELLOW SHAREHOLDERS,</w:t>
      </w:r>
    </w:p>
    <w:p>
      <w:pPr>
        <w:spacing w:after="0" w:line="364" w:lineRule="exact"/>
        <w:rPr>
          <w:sz w:val="20"/>
          <w:szCs w:val="20"/>
          <w:color w:val="auto"/>
        </w:rPr>
      </w:pPr>
    </w:p>
    <w:p>
      <w:pPr>
        <w:ind w:left="1660" w:right="80"/>
        <w:spacing w:after="0" w:line="223" w:lineRule="auto"/>
        <w:rPr>
          <w:sz w:val="20"/>
          <w:szCs w:val="20"/>
          <w:color w:val="auto"/>
        </w:rPr>
      </w:pPr>
      <w:r>
        <w:rPr>
          <w:rFonts w:ascii="Arial" w:cs="Arial" w:eastAsia="Arial" w:hAnsi="Arial"/>
          <w:sz w:val="15"/>
          <w:szCs w:val="15"/>
          <w:color w:val="auto"/>
        </w:rPr>
        <w:t>2018 was a milestone year that marked 30 years since Regeneron’s founding. During these three decades, we stayed true to our mission of harnessing the power of science to bring important new medicines to people with serious diseases. Our long-term commitment to science and technology has resulted in seven approved medicines, a clinical product pipeline of 20 candidates across therapeutic areas, and a strong engine for future discovery and innovation.</w:t>
      </w:r>
    </w:p>
    <w:p>
      <w:pPr>
        <w:spacing w:after="0" w:line="138" w:lineRule="exact"/>
        <w:rPr>
          <w:sz w:val="20"/>
          <w:szCs w:val="20"/>
          <w:color w:val="auto"/>
        </w:rPr>
      </w:pPr>
    </w:p>
    <w:p>
      <w:pPr>
        <w:ind w:left="1660" w:right="120"/>
        <w:spacing w:after="0" w:line="188" w:lineRule="auto"/>
        <w:rPr>
          <w:sz w:val="20"/>
          <w:szCs w:val="20"/>
          <w:color w:val="auto"/>
        </w:rPr>
      </w:pPr>
      <w:r>
        <w:rPr>
          <w:rFonts w:ascii="Arial" w:cs="Arial" w:eastAsia="Arial" w:hAnsi="Arial"/>
          <w:sz w:val="14"/>
          <w:szCs w:val="14"/>
          <w:color w:val="auto"/>
        </w:rPr>
        <w:t>We continue to receive important new regulatory approvals for our products. This included the September 2018 U.S. Food and Drug Administration (FDA) approval for our first immuno-oncology therapy, the PD-1 inhibitor Libtayo</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(cemiplimab-rwlc)</w:t>
      </w:r>
    </w:p>
    <w:p>
      <w:pPr>
        <w:spacing w:after="0" w:line="1" w:lineRule="exact"/>
        <w:rPr>
          <w:sz w:val="20"/>
          <w:szCs w:val="20"/>
          <w:color w:val="auto"/>
        </w:rPr>
      </w:pPr>
    </w:p>
    <w:p>
      <w:pPr>
        <w:ind w:left="1660" w:right="220"/>
        <w:spacing w:after="0" w:line="202" w:lineRule="auto"/>
        <w:rPr>
          <w:sz w:val="20"/>
          <w:szCs w:val="20"/>
          <w:color w:val="auto"/>
        </w:rPr>
      </w:pPr>
      <w:r>
        <w:rPr>
          <w:rFonts w:ascii="Arial" w:cs="Arial" w:eastAsia="Arial" w:hAnsi="Arial"/>
          <w:sz w:val="14"/>
          <w:szCs w:val="14"/>
          <w:color w:val="auto"/>
        </w:rPr>
        <w:t>Injection for advanced cutaneous squamous cell carcinoma. In October 2018, we received FDA approval for Dupixent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(dupilumab) Injection in asthma, which followed its 2017 approval for adults with atopic dermatitis. In March 2019, Dupixent was also approved for adolescents with atopic dermatitis. In addition, in August 2018, we received FDA approval on a new</w:t>
      </w:r>
    </w:p>
    <w:p>
      <w:pPr>
        <w:ind w:left="1660"/>
        <w:spacing w:after="0"/>
        <w:rPr>
          <w:sz w:val="20"/>
          <w:szCs w:val="20"/>
          <w:color w:val="auto"/>
        </w:rPr>
      </w:pPr>
      <w:r>
        <w:rPr>
          <w:rFonts w:ascii="Arial" w:cs="Arial" w:eastAsia="Arial" w:hAnsi="Arial"/>
          <w:sz w:val="15"/>
          <w:szCs w:val="15"/>
          <w:color w:val="auto"/>
        </w:rPr>
        <w:t>dosing regimen for 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(aflibercept) Injection in wet age-related macular degeneration (AMD).</w:t>
      </w:r>
    </w:p>
    <w:p>
      <w:pPr>
        <w:spacing w:after="0" w:line="66" w:lineRule="exact"/>
        <w:rPr>
          <w:sz w:val="20"/>
          <w:szCs w:val="20"/>
          <w:color w:val="auto"/>
        </w:rPr>
      </w:pPr>
    </w:p>
    <w:p>
      <w:pPr>
        <w:ind w:left="1660" w:right="40"/>
        <w:spacing w:after="0" w:line="223" w:lineRule="auto"/>
        <w:rPr>
          <w:sz w:val="20"/>
          <w:szCs w:val="20"/>
          <w:color w:val="auto"/>
        </w:rPr>
      </w:pPr>
      <w:r>
        <w:rPr>
          <w:rFonts w:ascii="Arial" w:cs="Arial" w:eastAsia="Arial" w:hAnsi="Arial"/>
          <w:sz w:val="15"/>
          <w:szCs w:val="15"/>
          <w:color w:val="auto"/>
        </w:rPr>
        <w:t>Together with our ex-U.S. collaborator Bayer, we continued to bring EYLEA to more patients, achieving a record $6.75 billion in global net product sales for 2018. EYLEA continues to have opportunities to help more patients in need. In 2018, we reported positive Phase 3 results in patients with diabetic retinopathy and are expecting FDA action on our submission for this indication in May 2019.</w:t>
      </w:r>
    </w:p>
    <w:p>
      <w:pPr>
        <w:spacing w:after="0" w:line="138" w:lineRule="exact"/>
        <w:rPr>
          <w:sz w:val="20"/>
          <w:szCs w:val="20"/>
          <w:color w:val="auto"/>
        </w:rPr>
      </w:pPr>
    </w:p>
    <w:p>
      <w:pPr>
        <w:ind w:left="1660" w:right="40"/>
        <w:spacing w:after="0" w:line="221" w:lineRule="auto"/>
        <w:rPr>
          <w:sz w:val="20"/>
          <w:szCs w:val="20"/>
          <w:color w:val="auto"/>
        </w:rPr>
      </w:pPr>
      <w:r>
        <w:rPr>
          <w:rFonts w:ascii="Arial" w:cs="Arial" w:eastAsia="Arial" w:hAnsi="Arial"/>
          <w:sz w:val="15"/>
          <w:szCs w:val="15"/>
          <w:color w:val="auto"/>
        </w:rPr>
        <w:t>Dupixent achieved $922 million in 2018 global net product sales, as recorded by our collaborator Sanofi, and has the potential to be a ‘pipeline-in-a-product’ as it targets Type 2 inflammation, which underlies many allergic diseases. In 2019, the FDA accepted for Priority Review our submission for a third Type 2 disease, chronic rhinosinusitis with nasal polyps, which has a target action date of June 26, 2019. We are studying Dupixent in a broad development program in other Type 2 allergic conditions, including eosinophilic esophagitis and peanut and grass allergies.</w:t>
      </w:r>
    </w:p>
    <w:p>
      <w:pPr>
        <w:spacing w:after="0" w:line="141" w:lineRule="exact"/>
        <w:rPr>
          <w:sz w:val="20"/>
          <w:szCs w:val="20"/>
          <w:color w:val="auto"/>
        </w:rPr>
      </w:pPr>
    </w:p>
    <w:p>
      <w:pPr>
        <w:ind w:left="1660" w:right="60"/>
        <w:spacing w:after="0" w:line="221" w:lineRule="auto"/>
        <w:rPr>
          <w:sz w:val="20"/>
          <w:szCs w:val="20"/>
          <w:color w:val="auto"/>
        </w:rPr>
      </w:pPr>
      <w:r>
        <w:rPr>
          <w:rFonts w:ascii="Arial" w:cs="Arial" w:eastAsia="Arial" w:hAnsi="Arial"/>
          <w:sz w:val="15"/>
          <w:szCs w:val="15"/>
          <w:color w:val="auto"/>
        </w:rPr>
        <w:t>Our robust immuno-oncology portfolio, anchored by Libtayo, is beginning to show important potential. Libtayo is being studied as a monotherapy as well as in combination across various types of cancer. We are also encouraged by our broad bispecific development program, including clinical-stage CD3 bispecifics and our new class of costimulatory bispecifics. At the most recent American Society of Hematology meeting, we reported promising results from early clinical trials of our CD20xCD3 bispecific in certain advanced lymphoma patients. We believe these approaches may be able to extend the benefits of immunotherapy to more patients in need.</w:t>
      </w:r>
    </w:p>
    <w:p>
      <w:pPr>
        <w:spacing w:after="0" w:line="138" w:lineRule="exact"/>
        <w:rPr>
          <w:sz w:val="20"/>
          <w:szCs w:val="20"/>
          <w:color w:val="auto"/>
        </w:rPr>
      </w:pPr>
    </w:p>
    <w:p>
      <w:pPr>
        <w:ind w:left="1660" w:right="140"/>
        <w:spacing w:after="0" w:line="225" w:lineRule="auto"/>
        <w:rPr>
          <w:sz w:val="20"/>
          <w:szCs w:val="20"/>
          <w:color w:val="auto"/>
        </w:rPr>
      </w:pPr>
      <w:r>
        <w:rPr>
          <w:rFonts w:ascii="Arial" w:cs="Arial" w:eastAsia="Arial" w:hAnsi="Arial"/>
          <w:sz w:val="15"/>
          <w:szCs w:val="15"/>
          <w:color w:val="auto"/>
        </w:rPr>
        <w:t>These are just a few highlights from our innovative, growing pipeline that spans therapeutic areas with high unmet need, including eye diseases, allergic and inflammatory diseases, cancer, cardiovascular and metabolic diseases, musculoskeletal diseases, infectious diseases, and rare diseases.</w:t>
      </w:r>
    </w:p>
    <w:p>
      <w:pPr>
        <w:spacing w:after="0" w:line="12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Developing innovative technology and pursuing basic biological research that drives the drug development process continues</w:t>
      </w:r>
    </w:p>
    <w:p>
      <w:pPr>
        <w:ind w:left="1660" w:right="260"/>
        <w:spacing w:after="0" w:line="205" w:lineRule="auto"/>
        <w:rPr>
          <w:sz w:val="20"/>
          <w:szCs w:val="20"/>
          <w:color w:val="auto"/>
        </w:rPr>
      </w:pPr>
      <w:r>
        <w:rPr>
          <w:rFonts w:ascii="Arial" w:cs="Arial" w:eastAsia="Arial" w:hAnsi="Arial"/>
          <w:sz w:val="15"/>
          <w:szCs w:val="15"/>
          <w:color w:val="auto"/>
        </w:rPr>
        <w:t>to be a priority. In 2019, we will be celebrating the fifth anniversary of the Regeneron Genetics Center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(RGC), one of the world’s largest research efforts on the genetic causes of health and disease. As of January 2019, the RGC had sequenced exomes from more than 500,000 volunteers and paired that data with deidentified health records, enabled through collaborations with health record pioneers like the Geisinger Health System and the UK Biobank. In March 2019, we were proud to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90170</wp:posOffset>
            </wp:positionV>
            <wp:extent cx="717550" cy="99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 cy="99060"/>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156210</wp:posOffset>
            </wp:positionV>
            <wp:extent cx="72517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780"/>
          </w:cols>
          <w:pgMar w:left="1380" w:top="1049" w:right="7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2004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00190" cy="200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80" w:right="240"/>
        <w:spacing w:after="0" w:line="229" w:lineRule="auto"/>
        <w:rPr>
          <w:sz w:val="20"/>
          <w:szCs w:val="20"/>
          <w:color w:val="auto"/>
        </w:rPr>
      </w:pPr>
      <w:r>
        <w:rPr>
          <w:rFonts w:ascii="Arial" w:cs="Arial" w:eastAsia="Arial" w:hAnsi="Arial"/>
          <w:sz w:val="15"/>
          <w:szCs w:val="15"/>
          <w:color w:val="auto"/>
        </w:rPr>
        <w:t>some of this valuable work with the world when the first batch of sequencing data from the UK Biobank initiative was made publicly available to the global research community.</w:t>
      </w:r>
    </w:p>
    <w:p>
      <w:pPr>
        <w:spacing w:after="0" w:line="139" w:lineRule="exact"/>
        <w:rPr>
          <w:sz w:val="20"/>
          <w:szCs w:val="20"/>
          <w:color w:val="auto"/>
        </w:rPr>
      </w:pPr>
    </w:p>
    <w:p>
      <w:pPr>
        <w:ind w:left="2280" w:right="100"/>
        <w:spacing w:after="0" w:line="236" w:lineRule="auto"/>
        <w:rPr>
          <w:sz w:val="20"/>
          <w:szCs w:val="20"/>
          <w:color w:val="auto"/>
        </w:rPr>
      </w:pPr>
      <w:r>
        <w:rPr>
          <w:rFonts w:ascii="Arial" w:cs="Arial" w:eastAsia="Arial" w:hAnsi="Arial"/>
          <w:sz w:val="14"/>
          <w:szCs w:val="14"/>
          <w:color w:val="auto"/>
        </w:rPr>
        <w:t>We believe that our commitment to long-term science and innovation brings value to patients and shareholders alike, and we are committed to reinvesting a significant share of our revenues to this effort. In 2018, total revenues increased 14 percent from 2017 to $6.7 billion, and we were able to reinvest 33 percent* of our revenues back into our R&amp;D efforts. Revenue was driven by continued EYLEA growth, the launch of our new products, and collaboration revenues. GAAP net income for 2018 was $2.4 billion, or $21.29 per diluted share, compared to GAAP net income for 2017 of $1.2 billion, or $10.34 per diluted share. In 2018, our non-GAAP net income increased 38 percent from 2017 to $2.6 billion, or $22.84 per diluted share.** Our balance sheet remains strong, and we ended the year with $4.6 billion in cash and marketable securities.</w:t>
      </w:r>
    </w:p>
    <w:p>
      <w:pPr>
        <w:spacing w:after="0" w:line="139" w:lineRule="exact"/>
        <w:rPr>
          <w:sz w:val="20"/>
          <w:szCs w:val="20"/>
          <w:color w:val="auto"/>
        </w:rPr>
      </w:pPr>
    </w:p>
    <w:p>
      <w:pPr>
        <w:ind w:left="2280" w:right="400"/>
        <w:spacing w:after="0" w:line="241" w:lineRule="auto"/>
        <w:rPr>
          <w:sz w:val="20"/>
          <w:szCs w:val="20"/>
          <w:color w:val="auto"/>
        </w:rPr>
      </w:pPr>
      <w:r>
        <w:rPr>
          <w:rFonts w:ascii="Arial" w:cs="Arial" w:eastAsia="Arial" w:hAnsi="Arial"/>
          <w:sz w:val="14"/>
          <w:szCs w:val="14"/>
          <w:color w:val="auto"/>
        </w:rPr>
        <w:t>The Regeneron team continues to expand, and we now have more than 7,300 colleagues across seven sites. We are expanding our presence in Rensselaer, NY, and in Ireland, where we have our Industrial Operations and Product Supply (IOPS) teams, and we opened a new office in the United Kingdom to support our global regulatory and clinical needs.</w:t>
      </w:r>
    </w:p>
    <w:p>
      <w:pPr>
        <w:spacing w:after="0" w:line="139" w:lineRule="exact"/>
        <w:rPr>
          <w:sz w:val="20"/>
          <w:szCs w:val="20"/>
          <w:color w:val="auto"/>
        </w:rPr>
      </w:pPr>
    </w:p>
    <w:p>
      <w:pPr>
        <w:ind w:left="2280"/>
        <w:spacing w:after="0" w:line="221" w:lineRule="auto"/>
        <w:rPr>
          <w:sz w:val="20"/>
          <w:szCs w:val="20"/>
          <w:color w:val="auto"/>
        </w:rPr>
      </w:pPr>
      <w:r>
        <w:rPr>
          <w:rFonts w:ascii="Arial" w:cs="Arial" w:eastAsia="Arial" w:hAnsi="Arial"/>
          <w:sz w:val="15"/>
          <w:szCs w:val="15"/>
          <w:color w:val="auto"/>
        </w:rPr>
        <w:t>As part of our long-standing commitment to operating as a responsible corporate citizen, we continue to foster the next generation of scientific innovators, support sustainable communities, and run our business with the highest standards of ethics and integrity. We are a leader in supporting STEM (Science, Technology, Engineering, and Math) initiatives that reward and inspire promising young minds, including providing $100 million over ten years to support the Regeneron Science Talent Search, the nation’s oldest and most prestigious high school science competition. To learn more about our commitment to corporate citizenship, please review our second annual Responsibility Report.</w:t>
      </w:r>
    </w:p>
    <w:p>
      <w:pPr>
        <w:spacing w:after="0" w:line="138" w:lineRule="exact"/>
        <w:rPr>
          <w:sz w:val="20"/>
          <w:szCs w:val="20"/>
          <w:color w:val="auto"/>
        </w:rPr>
      </w:pPr>
    </w:p>
    <w:p>
      <w:pPr>
        <w:jc w:val="both"/>
        <w:ind w:left="2280"/>
        <w:spacing w:after="0" w:line="225" w:lineRule="auto"/>
        <w:rPr>
          <w:sz w:val="20"/>
          <w:szCs w:val="20"/>
          <w:color w:val="auto"/>
        </w:rPr>
      </w:pPr>
      <w:r>
        <w:rPr>
          <w:rFonts w:ascii="Arial" w:cs="Arial" w:eastAsia="Arial" w:hAnsi="Arial"/>
          <w:sz w:val="15"/>
          <w:szCs w:val="15"/>
          <w:color w:val="auto"/>
        </w:rPr>
        <w:t>We are proud of the work we do every day to find new solutions for people with serious diseases but know there is much more work to do. We are confident that if we continue delivering important advances through innovative science and technology, we will achieve a diverse portfolio of medicines and sustainable, long-term growth.</w:t>
      </w:r>
    </w:p>
    <w:p>
      <w:pPr>
        <w:spacing w:after="0" w:line="139" w:lineRule="exact"/>
        <w:rPr>
          <w:sz w:val="20"/>
          <w:szCs w:val="20"/>
          <w:color w:val="auto"/>
        </w:rPr>
      </w:pPr>
    </w:p>
    <w:tbl>
      <w:tblPr>
        <w:tblLayout w:type="fixed"/>
        <w:tblInd w:w="2280" w:type="dxa"/>
        <w:tblCellMar>
          <w:top w:w="0" w:type="dxa"/>
          <w:left w:w="0" w:type="dxa"/>
          <w:bottom w:w="0" w:type="dxa"/>
          <w:right w:w="0" w:type="dxa"/>
        </w:tblCellMar>
      </w:tblPr>
      <w:tr>
        <w:trPr>
          <w:trHeight w:val="174"/>
        </w:trPr>
        <w:tc>
          <w:tcPr>
            <w:tcW w:w="2460" w:type="dxa"/>
            <w:vAlign w:val="bottom"/>
          </w:tcPr>
          <w:p>
            <w:pPr>
              <w:spacing w:after="0"/>
              <w:rPr>
                <w:sz w:val="20"/>
                <w:szCs w:val="20"/>
                <w:color w:val="auto"/>
              </w:rPr>
            </w:pPr>
            <w:r>
              <w:rPr>
                <w:rFonts w:ascii="Arial" w:cs="Arial" w:eastAsia="Arial" w:hAnsi="Arial"/>
                <w:sz w:val="15"/>
                <w:szCs w:val="15"/>
                <w:color w:val="auto"/>
              </w:rPr>
              <w:t>Sincerely,</w:t>
            </w:r>
          </w:p>
        </w:tc>
        <w:tc>
          <w:tcPr>
            <w:tcW w:w="3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840"/>
        </w:trPr>
        <w:tc>
          <w:tcPr>
            <w:tcW w:w="2460" w:type="dxa"/>
            <w:vAlign w:val="bottom"/>
          </w:tcPr>
          <w:p>
            <w:pPr>
              <w:spacing w:after="0"/>
              <w:rPr>
                <w:sz w:val="20"/>
                <w:szCs w:val="20"/>
                <w:color w:val="auto"/>
              </w:rPr>
            </w:pPr>
            <w:r>
              <w:rPr>
                <w:rFonts w:ascii="Arial" w:cs="Arial" w:eastAsia="Arial" w:hAnsi="Arial"/>
                <w:sz w:val="15"/>
                <w:szCs w:val="15"/>
                <w:b w:val="1"/>
                <w:bCs w:val="1"/>
                <w:color w:val="205BA8"/>
              </w:rPr>
              <w:t>Leonard S. Schleifer, M.D., Ph.D.</w:t>
            </w:r>
          </w:p>
        </w:tc>
        <w:tc>
          <w:tcPr>
            <w:tcW w:w="3000" w:type="dxa"/>
            <w:vAlign w:val="bottom"/>
          </w:tcPr>
          <w:p>
            <w:pPr>
              <w:ind w:left="240"/>
              <w:spacing w:after="0"/>
              <w:rPr>
                <w:sz w:val="20"/>
                <w:szCs w:val="20"/>
                <w:color w:val="auto"/>
              </w:rPr>
            </w:pPr>
            <w:r>
              <w:rPr>
                <w:rFonts w:ascii="Arial" w:cs="Arial" w:eastAsia="Arial" w:hAnsi="Arial"/>
                <w:sz w:val="15"/>
                <w:szCs w:val="15"/>
                <w:b w:val="1"/>
                <w:bCs w:val="1"/>
                <w:color w:val="205BA8"/>
              </w:rPr>
              <w:t>George D. Yancopoulos, M.D., Ph.D.</w:t>
            </w:r>
          </w:p>
        </w:tc>
        <w:tc>
          <w:tcPr>
            <w:tcW w:w="1680" w:type="dxa"/>
            <w:vAlign w:val="bottom"/>
          </w:tcPr>
          <w:p>
            <w:pPr>
              <w:ind w:left="220"/>
              <w:spacing w:after="0"/>
              <w:rPr>
                <w:sz w:val="20"/>
                <w:szCs w:val="20"/>
                <w:color w:val="auto"/>
              </w:rPr>
            </w:pPr>
            <w:r>
              <w:rPr>
                <w:rFonts w:ascii="Arial" w:cs="Arial" w:eastAsia="Arial" w:hAnsi="Arial"/>
                <w:sz w:val="15"/>
                <w:szCs w:val="15"/>
                <w:b w:val="1"/>
                <w:bCs w:val="1"/>
                <w:color w:val="205BA8"/>
                <w:w w:val="97"/>
              </w:rPr>
              <w:t>P. Roy Vagelos, M.D.</w:t>
            </w:r>
          </w:p>
        </w:tc>
      </w:tr>
      <w:tr>
        <w:trPr>
          <w:trHeight w:val="156"/>
        </w:trPr>
        <w:tc>
          <w:tcPr>
            <w:tcW w:w="2460" w:type="dxa"/>
            <w:vAlign w:val="bottom"/>
          </w:tcPr>
          <w:p>
            <w:pPr>
              <w:spacing w:after="0" w:line="156" w:lineRule="exact"/>
              <w:rPr>
                <w:sz w:val="20"/>
                <w:szCs w:val="20"/>
                <w:color w:val="auto"/>
              </w:rPr>
            </w:pPr>
            <w:r>
              <w:rPr>
                <w:rFonts w:ascii="Arial" w:cs="Arial" w:eastAsia="Arial" w:hAnsi="Arial"/>
                <w:sz w:val="15"/>
                <w:szCs w:val="15"/>
                <w:color w:val="auto"/>
              </w:rPr>
              <w:t>Founder, President and Chief</w:t>
            </w:r>
          </w:p>
        </w:tc>
        <w:tc>
          <w:tcPr>
            <w:tcW w:w="3000" w:type="dxa"/>
            <w:vAlign w:val="bottom"/>
          </w:tcPr>
          <w:p>
            <w:pPr>
              <w:ind w:left="240"/>
              <w:spacing w:after="0" w:line="156" w:lineRule="exact"/>
              <w:rPr>
                <w:sz w:val="20"/>
                <w:szCs w:val="20"/>
                <w:color w:val="auto"/>
              </w:rPr>
            </w:pPr>
            <w:r>
              <w:rPr>
                <w:rFonts w:ascii="Arial" w:cs="Arial" w:eastAsia="Arial" w:hAnsi="Arial"/>
                <w:sz w:val="15"/>
                <w:szCs w:val="15"/>
                <w:color w:val="auto"/>
              </w:rPr>
              <w:t>Founding Scientist, President and Chief</w:t>
            </w:r>
          </w:p>
        </w:tc>
        <w:tc>
          <w:tcPr>
            <w:tcW w:w="1680" w:type="dxa"/>
            <w:vAlign w:val="bottom"/>
          </w:tcPr>
          <w:p>
            <w:pPr>
              <w:ind w:left="220"/>
              <w:spacing w:after="0" w:line="156" w:lineRule="exact"/>
              <w:rPr>
                <w:sz w:val="20"/>
                <w:szCs w:val="20"/>
                <w:color w:val="auto"/>
              </w:rPr>
            </w:pPr>
            <w:r>
              <w:rPr>
                <w:rFonts w:ascii="Arial" w:cs="Arial" w:eastAsia="Arial" w:hAnsi="Arial"/>
                <w:sz w:val="15"/>
                <w:szCs w:val="15"/>
                <w:color w:val="auto"/>
                <w:w w:val="95"/>
              </w:rPr>
              <w:t>Chairman of the Board</w:t>
            </w:r>
          </w:p>
        </w:tc>
      </w:tr>
      <w:tr>
        <w:trPr>
          <w:trHeight w:val="174"/>
        </w:trPr>
        <w:tc>
          <w:tcPr>
            <w:tcW w:w="2460" w:type="dxa"/>
            <w:vAlign w:val="bottom"/>
          </w:tcPr>
          <w:p>
            <w:pPr>
              <w:spacing w:after="0"/>
              <w:rPr>
                <w:sz w:val="20"/>
                <w:szCs w:val="20"/>
                <w:color w:val="auto"/>
              </w:rPr>
            </w:pPr>
            <w:r>
              <w:rPr>
                <w:rFonts w:ascii="Arial" w:cs="Arial" w:eastAsia="Arial" w:hAnsi="Arial"/>
                <w:sz w:val="15"/>
                <w:szCs w:val="15"/>
                <w:color w:val="auto"/>
              </w:rPr>
              <w:t>Executive Officer</w:t>
            </w:r>
          </w:p>
        </w:tc>
        <w:tc>
          <w:tcPr>
            <w:tcW w:w="3000" w:type="dxa"/>
            <w:vAlign w:val="bottom"/>
          </w:tcPr>
          <w:p>
            <w:pPr>
              <w:ind w:left="240"/>
              <w:spacing w:after="0"/>
              <w:rPr>
                <w:sz w:val="20"/>
                <w:szCs w:val="20"/>
                <w:color w:val="auto"/>
              </w:rPr>
            </w:pPr>
            <w:r>
              <w:rPr>
                <w:rFonts w:ascii="Arial" w:cs="Arial" w:eastAsia="Arial" w:hAnsi="Arial"/>
                <w:sz w:val="15"/>
                <w:szCs w:val="15"/>
                <w:color w:val="auto"/>
              </w:rPr>
              <w:t>Scientific Officer</w:t>
            </w:r>
          </w:p>
        </w:tc>
        <w:tc>
          <w:tcPr>
            <w:tcW w:w="16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-652780</wp:posOffset>
            </wp:positionV>
            <wp:extent cx="4364355" cy="288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64355" cy="288925"/>
                    </a:xfrm>
                    <a:prstGeom prst="rect">
                      <a:avLst/>
                    </a:prstGeom>
                    <a:noFill/>
                  </pic:spPr>
                </pic:pic>
              </a:graphicData>
            </a:graphic>
          </wp:anchor>
        </w:drawing>
      </w:r>
    </w:p>
    <w:p>
      <w:pPr>
        <w:spacing w:after="0" w:line="163"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  2018 research and development expenses as a percentage of 2018 total revenues.</w:t>
      </w:r>
    </w:p>
    <w:p>
      <w:pPr>
        <w:spacing w:after="0" w:line="86" w:lineRule="exact"/>
        <w:rPr>
          <w:sz w:val="20"/>
          <w:szCs w:val="20"/>
          <w:color w:val="auto"/>
        </w:rPr>
      </w:pPr>
    </w:p>
    <w:p>
      <w:pPr>
        <w:ind w:left="2280" w:right="140" w:hanging="208"/>
        <w:spacing w:after="0" w:line="237" w:lineRule="auto"/>
        <w:tabs>
          <w:tab w:leader="none" w:pos="2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Non-GAAP net income and non-GAAP net income per share are not measures calculated in accordance with U.S. Generally Accepted Accounting Principles (“GAAP”). See Appendix A for a definition of these measures and a reconciliation of each of these measures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90170</wp:posOffset>
            </wp:positionV>
            <wp:extent cx="717550" cy="99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 cy="9906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156210</wp:posOffset>
            </wp:positionV>
            <wp:extent cx="72517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380"/>
          </w:cols>
          <w:pgMar w:left="760" w:top="1440" w:right="7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9041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00190" cy="904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FFFFFF"/>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667385</wp:posOffset>
            </wp:positionV>
            <wp:extent cx="72517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1326515</wp:posOffset>
            </wp:positionV>
            <wp:extent cx="1847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4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34"/>
          <w:szCs w:val="34"/>
          <w:b w:val="1"/>
          <w:bCs w:val="1"/>
          <w:color w:val="D61C5A"/>
        </w:rPr>
        <w:t>NOTICE OF ANNUAL MEETING OF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-681990</wp:posOffset>
            </wp:positionV>
            <wp:extent cx="660019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-467360</wp:posOffset>
            </wp:positionV>
            <wp:extent cx="2310130" cy="272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0130" cy="27241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777 Old Saw Mill River Road</w:t>
      </w:r>
    </w:p>
    <w:p>
      <w:pPr>
        <w:spacing w:after="0"/>
        <w:rPr>
          <w:sz w:val="20"/>
          <w:szCs w:val="20"/>
          <w:color w:val="auto"/>
        </w:rPr>
      </w:pPr>
      <w:r>
        <w:rPr>
          <w:rFonts w:ascii="Arial" w:cs="Arial" w:eastAsia="Arial" w:hAnsi="Arial"/>
          <w:sz w:val="15"/>
          <w:szCs w:val="15"/>
          <w:color w:val="auto"/>
        </w:rPr>
        <w:t>Tarrytown, New York 10591-6707</w:t>
      </w:r>
    </w:p>
    <w:p>
      <w:pPr>
        <w:spacing w:after="0" w:line="178" w:lineRule="exact"/>
        <w:rPr>
          <w:sz w:val="20"/>
          <w:szCs w:val="20"/>
          <w:color w:val="auto"/>
        </w:rPr>
      </w:pPr>
    </w:p>
    <w:p>
      <w:pPr>
        <w:ind w:right="80"/>
        <w:spacing w:after="0" w:line="225" w:lineRule="auto"/>
        <w:rPr>
          <w:sz w:val="20"/>
          <w:szCs w:val="20"/>
          <w:color w:val="auto"/>
        </w:rPr>
      </w:pPr>
      <w:r>
        <w:rPr>
          <w:rFonts w:ascii="Arial" w:cs="Arial" w:eastAsia="Arial" w:hAnsi="Arial"/>
          <w:sz w:val="15"/>
          <w:szCs w:val="15"/>
          <w:color w:val="auto"/>
        </w:rPr>
        <w:t>The 2019 Annual Meeting of Shareholders of Regeneron Pharmaceuticals, Inc. (the “Company”) will be held on Friday, June 14, 2019, commencing at 10:30 a.m., Eastern Time, at the Westchester Marriott Hotel, 670 White Plains Road, Tarrytown, New York, for the following purposes:</w:t>
      </w:r>
    </w:p>
    <w:p>
      <w:pPr>
        <w:spacing w:after="0" w:line="124" w:lineRule="exact"/>
        <w:rPr>
          <w:sz w:val="20"/>
          <w:szCs w:val="20"/>
          <w:color w:val="auto"/>
        </w:rPr>
      </w:pPr>
    </w:p>
    <w:p>
      <w:pPr>
        <w:ind w:left="220" w:hanging="217"/>
        <w:spacing w:after="0"/>
        <w:tabs>
          <w:tab w:leader="none" w:pos="220" w:val="left"/>
        </w:tabs>
        <w:numPr>
          <w:ilvl w:val="0"/>
          <w:numId w:val="7"/>
        </w:numPr>
        <w:rPr>
          <w:rFonts w:ascii="Arial" w:cs="Arial" w:eastAsia="Arial" w:hAnsi="Arial"/>
          <w:sz w:val="15"/>
          <w:szCs w:val="15"/>
          <w:color w:val="205BA8"/>
        </w:rPr>
      </w:pPr>
      <w:r>
        <w:rPr>
          <w:rFonts w:ascii="Arial" w:cs="Arial" w:eastAsia="Arial" w:hAnsi="Arial"/>
          <w:sz w:val="15"/>
          <w:szCs w:val="15"/>
          <w:color w:val="auto"/>
        </w:rPr>
        <w:t>to elect four Class I directors for a term of three years;</w:t>
      </w:r>
    </w:p>
    <w:p>
      <w:pPr>
        <w:spacing w:after="0" w:line="139" w:lineRule="exact"/>
        <w:rPr>
          <w:sz w:val="20"/>
          <w:szCs w:val="20"/>
          <w:color w:val="auto"/>
        </w:rPr>
      </w:pPr>
    </w:p>
    <w:p>
      <w:pPr>
        <w:ind w:left="220" w:right="300" w:hanging="217"/>
        <w:spacing w:after="0" w:line="231" w:lineRule="auto"/>
        <w:tabs>
          <w:tab w:leader="none" w:pos="220" w:val="left"/>
        </w:tabs>
        <w:numPr>
          <w:ilvl w:val="0"/>
          <w:numId w:val="8"/>
        </w:numPr>
        <w:rPr>
          <w:rFonts w:ascii="Arial" w:cs="Arial" w:eastAsia="Arial" w:hAnsi="Arial"/>
          <w:sz w:val="15"/>
          <w:szCs w:val="15"/>
          <w:color w:val="205BA8"/>
        </w:rPr>
      </w:pPr>
      <w:r>
        <w:rPr>
          <w:rFonts w:ascii="Arial" w:cs="Arial" w:eastAsia="Arial" w:hAnsi="Arial"/>
          <w:sz w:val="15"/>
          <w:szCs w:val="15"/>
          <w:color w:val="auto"/>
        </w:rPr>
        <w:t>to ratify the appointment of PricewaterhouseCoopers LLP as the Company’s independent registered public accounting firm for the fiscal year ending December 31, 2019; and</w:t>
      </w:r>
    </w:p>
    <w:p>
      <w:pPr>
        <w:spacing w:after="0" w:line="136" w:lineRule="exact"/>
        <w:rPr>
          <w:sz w:val="20"/>
          <w:szCs w:val="20"/>
          <w:color w:val="auto"/>
        </w:rPr>
      </w:pPr>
    </w:p>
    <w:p>
      <w:pPr>
        <w:ind w:left="220" w:right="280" w:hanging="217"/>
        <w:spacing w:after="0" w:line="231" w:lineRule="auto"/>
        <w:tabs>
          <w:tab w:leader="none" w:pos="220" w:val="left"/>
        </w:tabs>
        <w:numPr>
          <w:ilvl w:val="0"/>
          <w:numId w:val="9"/>
        </w:numPr>
        <w:rPr>
          <w:rFonts w:ascii="Arial" w:cs="Arial" w:eastAsia="Arial" w:hAnsi="Arial"/>
          <w:sz w:val="15"/>
          <w:szCs w:val="15"/>
          <w:color w:val="205BA8"/>
        </w:rPr>
      </w:pPr>
      <w:r>
        <w:rPr>
          <w:rFonts w:ascii="Arial" w:cs="Arial" w:eastAsia="Arial" w:hAnsi="Arial"/>
          <w:sz w:val="15"/>
          <w:szCs w:val="15"/>
          <w:color w:val="auto"/>
        </w:rPr>
        <w:t>to act upon such other matters as may properly come before the meeting and any adjournment(s) or postponement(s) thereof.</w:t>
      </w:r>
    </w:p>
    <w:p>
      <w:pPr>
        <w:spacing w:after="0" w:line="137" w:lineRule="exact"/>
        <w:rPr>
          <w:sz w:val="20"/>
          <w:szCs w:val="20"/>
          <w:color w:val="auto"/>
        </w:rPr>
      </w:pPr>
    </w:p>
    <w:p>
      <w:pPr>
        <w:ind w:right="220"/>
        <w:spacing w:after="0" w:line="225" w:lineRule="auto"/>
        <w:rPr>
          <w:sz w:val="20"/>
          <w:szCs w:val="20"/>
          <w:color w:val="auto"/>
        </w:rPr>
      </w:pPr>
      <w:r>
        <w:rPr>
          <w:rFonts w:ascii="Arial" w:cs="Arial" w:eastAsia="Arial" w:hAnsi="Arial"/>
          <w:sz w:val="15"/>
          <w:szCs w:val="15"/>
          <w:color w:val="auto"/>
        </w:rPr>
        <w:t>The board of directors has fixed the close of business on April 17, 2019 as the record date for determining shareholders entitled to notice of, and to vote at, the Annual Meeting and at any adjournment(s) or postponement(s) thereof.</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Pursuant to the rules of the Securities and Exchange Commission, we have elected to use the “Notice and Access” method of providing our proxy materials over the Internet. Accordingly, we will mail, beginning on or about April 26, 2019,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w:t>
      </w:r>
    </w:p>
    <w:p>
      <w:pPr>
        <w:spacing w:after="0" w:line="1" w:lineRule="exact"/>
        <w:rPr>
          <w:sz w:val="20"/>
          <w:szCs w:val="20"/>
          <w:color w:val="auto"/>
        </w:rPr>
      </w:pPr>
    </w:p>
    <w:p>
      <w:pPr>
        <w:ind w:right="120" w:firstLine="3"/>
        <w:spacing w:after="0" w:line="223" w:lineRule="auto"/>
        <w:tabs>
          <w:tab w:leader="none" w:pos="234"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shareholders who participate and hold shares of common stock in the Regeneron Pharmaceuticals, Inc. 401(k) Savings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38"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The Notice of Internet Availability of Proxy Materials also contains a toll-free telephone number, an e-mail address, and a website where shareholders can request a paper or electronic copy of the proxy statement, our 2018 annual report, and/or a form of proxy relating to the Annual Meeting. These materials are available free of charge. The Notice also contains information on how to access and vote the form of proxy.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237615" cy="396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7615"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205BA8"/>
        </w:rPr>
        <w:t>Joseph J. LaRosa</w:t>
      </w:r>
    </w:p>
    <w:p>
      <w:pPr>
        <w:ind w:right="3300"/>
        <w:spacing w:after="0" w:line="229" w:lineRule="auto"/>
        <w:rPr>
          <w:sz w:val="20"/>
          <w:szCs w:val="20"/>
          <w:color w:val="auto"/>
        </w:rPr>
      </w:pPr>
      <w:r>
        <w:rPr>
          <w:rFonts w:ascii="Arial" w:cs="Arial" w:eastAsia="Arial" w:hAnsi="Arial"/>
          <w:sz w:val="15"/>
          <w:szCs w:val="15"/>
          <w:color w:val="auto"/>
        </w:rPr>
        <w:t>Executive Vice President, General Counsel and Secretary 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80645</wp:posOffset>
            </wp:positionV>
            <wp:extent cx="717550" cy="99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 cy="9906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2900" w:space="420"/>
            <w:col w:w="7020"/>
          </w:cols>
          <w:pgMar w:left="760" w:top="1315" w:right="799" w:bottom="1440" w:gutter="0" w:footer="0" w:header="0"/>
        </w:sectPr>
      </w:pPr>
    </w:p>
    <w:p>
      <w:pPr>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156210</wp:posOffset>
            </wp:positionV>
            <wp:extent cx="72517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340"/>
          </w:cols>
          <w:pgMar w:left="760" w:top="1315" w:right="7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902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00190" cy="902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FFFFFF"/>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667385</wp:posOffset>
            </wp:positionV>
            <wp:extent cx="72517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ind w:left="520" w:right="480"/>
        <w:spacing w:after="0" w:line="290" w:lineRule="auto"/>
        <w:rPr>
          <w:sz w:val="20"/>
          <w:szCs w:val="20"/>
          <w:color w:val="auto"/>
        </w:rPr>
      </w:pPr>
      <w:r>
        <w:rPr>
          <w:rFonts w:ascii="Arial" w:cs="Arial" w:eastAsia="Arial" w:hAnsi="Arial"/>
          <w:sz w:val="34"/>
          <w:szCs w:val="34"/>
          <w:b w:val="1"/>
          <w:bCs w:val="1"/>
          <w:color w:val="D61C5A"/>
        </w:rPr>
        <w:drawing>
          <wp:anchor simplePos="0" relativeHeight="251657728" behindDoc="1" locked="0" layoutInCell="0" allowOverlap="1">
            <wp:simplePos x="0" y="0"/>
            <wp:positionH relativeFrom="page">
              <wp:posOffset>485140</wp:posOffset>
            </wp:positionH>
            <wp:positionV relativeFrom="page">
              <wp:posOffset>534670</wp:posOffset>
            </wp:positionV>
            <wp:extent cx="1649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9730" cy="82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Borders>
              <w:bottom w:val="single" w:sz="8" w:color="0000EE"/>
            </w:tcBorders>
            <w:gridSpan w:val="2"/>
          </w:tcPr>
          <w:p>
            <w:pPr>
              <w:spacing w:after="0"/>
              <w:rPr>
                <w:rFonts w:ascii="Arial" w:cs="Arial" w:eastAsia="Arial" w:hAnsi="Arial"/>
                <w:sz w:val="13"/>
                <w:szCs w:val="13"/>
                <w:b w:val="1"/>
                <w:bCs w:val="1"/>
                <w:color w:val="0000EE"/>
                <w:w w:val="97"/>
              </w:rPr>
            </w:pPr>
            <w:hyperlink w:anchor="page14">
              <w:r>
                <w:rPr>
                  <w:rFonts w:ascii="Arial" w:cs="Arial" w:eastAsia="Arial" w:hAnsi="Arial"/>
                  <w:sz w:val="13"/>
                  <w:szCs w:val="13"/>
                  <w:b w:val="1"/>
                  <w:bCs w:val="1"/>
                  <w:color w:val="0000EE"/>
                  <w:w w:val="97"/>
                </w:rPr>
                <w:t>Users’ Guide</w:t>
              </w:r>
            </w:hyperlink>
          </w:p>
        </w:tc>
        <w:tc>
          <w:tcPr>
            <w:tcW w:w="4660" w:type="dxa"/>
            <w:vAlign w:val="bottom"/>
            <w:gridSpan w:val="14"/>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205BA8"/>
              </w:rPr>
              <w:t>1</w:t>
            </w:r>
          </w:p>
        </w:tc>
      </w:tr>
      <w:tr>
        <w:trPr>
          <w:trHeight w:val="149"/>
        </w:trPr>
        <w:tc>
          <w:tcPr>
            <w:tcW w:w="1080" w:type="dxa"/>
            <w:vAlign w:val="bottom"/>
            <w:tcBorders>
              <w:bottom w:val="single" w:sz="8" w:color="0000EE"/>
            </w:tcBorders>
            <w:gridSpan w:val="5"/>
          </w:tcPr>
          <w:p>
            <w:pPr>
              <w:spacing w:after="0"/>
              <w:rPr>
                <w:rFonts w:ascii="Arial" w:cs="Arial" w:eastAsia="Arial" w:hAnsi="Arial"/>
                <w:sz w:val="13"/>
                <w:szCs w:val="13"/>
                <w:b w:val="1"/>
                <w:bCs w:val="1"/>
                <w:color w:val="0000EE"/>
                <w:w w:val="98"/>
              </w:rPr>
            </w:pPr>
            <w:hyperlink w:anchor="page14">
              <w:r>
                <w:rPr>
                  <w:rFonts w:ascii="Arial" w:cs="Arial" w:eastAsia="Arial" w:hAnsi="Arial"/>
                  <w:sz w:val="13"/>
                  <w:szCs w:val="13"/>
                  <w:b w:val="1"/>
                  <w:bCs w:val="1"/>
                  <w:color w:val="0000EE"/>
                  <w:w w:val="98"/>
                </w:rPr>
                <w:t>Proxy Dashboard</w:t>
              </w:r>
            </w:hyperlink>
          </w:p>
        </w:tc>
        <w:tc>
          <w:tcPr>
            <w:tcW w:w="4380" w:type="dxa"/>
            <w:vAlign w:val="bottom"/>
            <w:gridSpan w:val="11"/>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149"/>
        </w:trPr>
        <w:tc>
          <w:tcPr>
            <w:tcW w:w="1040" w:type="dxa"/>
            <w:vAlign w:val="bottom"/>
            <w:tcBorders>
              <w:bottom w:val="single" w:sz="8" w:color="0000EE"/>
            </w:tcBorders>
            <w:gridSpan w:val="4"/>
          </w:tcPr>
          <w:p>
            <w:pPr>
              <w:spacing w:after="0"/>
              <w:rPr>
                <w:rFonts w:ascii="Arial" w:cs="Arial" w:eastAsia="Arial" w:hAnsi="Arial"/>
                <w:sz w:val="13"/>
                <w:szCs w:val="13"/>
                <w:b w:val="1"/>
                <w:bCs w:val="1"/>
                <w:color w:val="0000EE"/>
                <w:w w:val="98"/>
              </w:rPr>
            </w:pPr>
            <w:hyperlink w:anchor="page14">
              <w:r>
                <w:rPr>
                  <w:rFonts w:ascii="Arial" w:cs="Arial" w:eastAsia="Arial" w:hAnsi="Arial"/>
                  <w:sz w:val="13"/>
                  <w:szCs w:val="13"/>
                  <w:b w:val="1"/>
                  <w:bCs w:val="1"/>
                  <w:color w:val="0000EE"/>
                  <w:w w:val="98"/>
                </w:rPr>
                <w:t>Proxy Highlights</w:t>
              </w:r>
            </w:hyperlink>
          </w:p>
        </w:tc>
        <w:tc>
          <w:tcPr>
            <w:tcW w:w="4420" w:type="dxa"/>
            <w:vAlign w:val="bottom"/>
            <w:gridSpan w:val="12"/>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149"/>
        </w:trPr>
        <w:tc>
          <w:tcPr>
            <w:tcW w:w="2380" w:type="dxa"/>
            <w:vAlign w:val="bottom"/>
            <w:tcBorders>
              <w:bottom w:val="single" w:sz="8" w:color="0000EE"/>
            </w:tcBorders>
            <w:gridSpan w:val="10"/>
          </w:tcPr>
          <w:p>
            <w:pPr>
              <w:spacing w:after="0"/>
              <w:rPr>
                <w:rFonts w:ascii="Arial" w:cs="Arial" w:eastAsia="Arial" w:hAnsi="Arial"/>
                <w:sz w:val="13"/>
                <w:szCs w:val="13"/>
                <w:b w:val="1"/>
                <w:bCs w:val="1"/>
                <w:color w:val="0000EE"/>
                <w:w w:val="98"/>
              </w:rPr>
            </w:pPr>
            <w:hyperlink w:anchor="page15">
              <w:r>
                <w:rPr>
                  <w:rFonts w:ascii="Arial" w:cs="Arial" w:eastAsia="Arial" w:hAnsi="Arial"/>
                  <w:sz w:val="13"/>
                  <w:szCs w:val="13"/>
                  <w:b w:val="1"/>
                  <w:bCs w:val="1"/>
                  <w:color w:val="0000EE"/>
                  <w:w w:val="98"/>
                </w:rPr>
                <w:t>General Information about the Meeting</w:t>
              </w:r>
            </w:hyperlink>
          </w:p>
        </w:tc>
        <w:tc>
          <w:tcPr>
            <w:tcW w:w="3080" w:type="dxa"/>
            <w:vAlign w:val="bottom"/>
            <w:gridSpan w:val="6"/>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2</w:t>
            </w:r>
          </w:p>
        </w:tc>
      </w:tr>
      <w:tr>
        <w:trPr>
          <w:trHeight w:val="149"/>
        </w:trPr>
        <w:tc>
          <w:tcPr>
            <w:tcW w:w="1140" w:type="dxa"/>
            <w:vAlign w:val="bottom"/>
            <w:tcBorders>
              <w:bottom w:val="single" w:sz="8" w:color="0000EE"/>
            </w:tcBorders>
            <w:gridSpan w:val="6"/>
          </w:tcPr>
          <w:p>
            <w:pPr>
              <w:spacing w:after="0"/>
              <w:rPr>
                <w:rFonts w:ascii="Arial" w:cs="Arial" w:eastAsia="Arial" w:hAnsi="Arial"/>
                <w:sz w:val="13"/>
                <w:szCs w:val="13"/>
                <w:b w:val="1"/>
                <w:bCs w:val="1"/>
                <w:color w:val="0000EE"/>
                <w:w w:val="98"/>
              </w:rPr>
            </w:pPr>
            <w:hyperlink w:anchor="page20">
              <w:r>
                <w:rPr>
                  <w:rFonts w:ascii="Arial" w:cs="Arial" w:eastAsia="Arial" w:hAnsi="Arial"/>
                  <w:sz w:val="13"/>
                  <w:szCs w:val="13"/>
                  <w:b w:val="1"/>
                  <w:bCs w:val="1"/>
                  <w:color w:val="0000EE"/>
                  <w:w w:val="98"/>
                </w:rPr>
                <w:t>Board of Directors</w:t>
              </w:r>
            </w:hyperlink>
          </w:p>
        </w:tc>
        <w:tc>
          <w:tcPr>
            <w:tcW w:w="4320" w:type="dxa"/>
            <w:vAlign w:val="bottom"/>
            <w:gridSpan w:val="10"/>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205BA8"/>
              </w:rPr>
              <w:t>7</w:t>
            </w:r>
          </w:p>
        </w:tc>
      </w:tr>
      <w:tr>
        <w:trPr>
          <w:trHeight w:val="149"/>
        </w:trPr>
        <w:tc>
          <w:tcPr>
            <w:tcW w:w="940" w:type="dxa"/>
            <w:vAlign w:val="bottom"/>
            <w:tcBorders>
              <w:bottom w:val="single" w:sz="8" w:color="0000EE"/>
            </w:tcBorders>
            <w:gridSpan w:val="3"/>
          </w:tcPr>
          <w:p>
            <w:pPr>
              <w:spacing w:after="0"/>
              <w:rPr>
                <w:rFonts w:ascii="Arial" w:cs="Arial" w:eastAsia="Arial" w:hAnsi="Arial"/>
                <w:sz w:val="13"/>
                <w:szCs w:val="13"/>
                <w:b w:val="1"/>
                <w:bCs w:val="1"/>
                <w:color w:val="0000EE"/>
                <w:w w:val="97"/>
              </w:rPr>
            </w:pPr>
            <w:hyperlink w:anchor="page20">
              <w:r>
                <w:rPr>
                  <w:rFonts w:ascii="Arial" w:cs="Arial" w:eastAsia="Arial" w:hAnsi="Arial"/>
                  <w:sz w:val="13"/>
                  <w:szCs w:val="13"/>
                  <w:b w:val="1"/>
                  <w:bCs w:val="1"/>
                  <w:color w:val="0000EE"/>
                  <w:w w:val="97"/>
                </w:rPr>
                <w:t>Meet the Board</w:t>
              </w:r>
            </w:hyperlink>
          </w:p>
        </w:tc>
        <w:tc>
          <w:tcPr>
            <w:tcW w:w="4520" w:type="dxa"/>
            <w:vAlign w:val="bottom"/>
            <w:gridSpan w:val="13"/>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r>
        <w:trPr>
          <w:trHeight w:val="149"/>
        </w:trPr>
        <w:tc>
          <w:tcPr>
            <w:tcW w:w="1160" w:type="dxa"/>
            <w:vAlign w:val="bottom"/>
            <w:tcBorders>
              <w:bottom w:val="single" w:sz="8" w:color="0000EE"/>
            </w:tcBorders>
            <w:gridSpan w:val="7"/>
          </w:tcPr>
          <w:p>
            <w:pPr>
              <w:spacing w:after="0"/>
              <w:rPr>
                <w:rFonts w:ascii="Arial" w:cs="Arial" w:eastAsia="Arial" w:hAnsi="Arial"/>
                <w:sz w:val="13"/>
                <w:szCs w:val="13"/>
                <w:b w:val="1"/>
                <w:bCs w:val="1"/>
                <w:color w:val="0000EE"/>
                <w:w w:val="98"/>
              </w:rPr>
            </w:pPr>
            <w:hyperlink w:anchor="page33">
              <w:r>
                <w:rPr>
                  <w:rFonts w:ascii="Arial" w:cs="Arial" w:eastAsia="Arial" w:hAnsi="Arial"/>
                  <w:sz w:val="13"/>
                  <w:szCs w:val="13"/>
                  <w:b w:val="1"/>
                  <w:bCs w:val="1"/>
                  <w:color w:val="0000EE"/>
                  <w:w w:val="98"/>
                </w:rPr>
                <w:t>Board Committees</w:t>
              </w:r>
            </w:hyperlink>
          </w:p>
        </w:tc>
        <w:tc>
          <w:tcPr>
            <w:tcW w:w="4300" w:type="dxa"/>
            <w:vAlign w:val="bottom"/>
            <w:gridSpan w:val="9"/>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20</w:t>
            </w:r>
          </w:p>
        </w:tc>
      </w:tr>
      <w:tr>
        <w:trPr>
          <w:trHeight w:val="149"/>
        </w:trPr>
        <w:tc>
          <w:tcPr>
            <w:tcW w:w="5460" w:type="dxa"/>
            <w:vAlign w:val="bottom"/>
            <w:gridSpan w:val="16"/>
          </w:tcPr>
          <w:p>
            <w:pPr>
              <w:spacing w:after="0"/>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Board Governance</w:t>
              </w:r>
            </w:hyperlink>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22</w:t>
            </w:r>
          </w:p>
        </w:tc>
      </w:tr>
      <w:tr>
        <w:trPr>
          <w:trHeight w:val="149"/>
        </w:trPr>
        <w:tc>
          <w:tcPr>
            <w:tcW w:w="18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gridSpan w:val="6"/>
          </w:tcPr>
          <w:p>
            <w:pPr>
              <w:spacing w:after="0"/>
              <w:rPr>
                <w:rFonts w:ascii="Arial" w:cs="Arial" w:eastAsia="Arial" w:hAnsi="Arial"/>
                <w:sz w:val="13"/>
                <w:szCs w:val="13"/>
                <w:color w:val="0000EE"/>
              </w:rPr>
            </w:pPr>
            <w:hyperlink w:anchor="page35">
              <w:r>
                <w:rPr>
                  <w:rFonts w:ascii="Arial" w:cs="Arial" w:eastAsia="Arial" w:hAnsi="Arial"/>
                  <w:sz w:val="13"/>
                  <w:szCs w:val="13"/>
                  <w:color w:val="0000EE"/>
                </w:rPr>
                <w:t>Board Structure</w:t>
              </w:r>
            </w:hyperlink>
          </w:p>
        </w:tc>
        <w:tc>
          <w:tcPr>
            <w:tcW w:w="4300" w:type="dxa"/>
            <w:vAlign w:val="bottom"/>
            <w:gridSpan w:val="9"/>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0"/>
        </w:trPr>
        <w:tc>
          <w:tcPr>
            <w:tcW w:w="18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49"/>
        </w:trPr>
        <w:tc>
          <w:tcPr>
            <w:tcW w:w="180" w:type="dxa"/>
            <w:vAlign w:val="bottom"/>
          </w:tcPr>
          <w:p>
            <w:pPr>
              <w:spacing w:after="0"/>
              <w:rPr>
                <w:sz w:val="12"/>
                <w:szCs w:val="12"/>
                <w:color w:val="auto"/>
              </w:rPr>
            </w:pPr>
          </w:p>
        </w:tc>
        <w:tc>
          <w:tcPr>
            <w:tcW w:w="5280" w:type="dxa"/>
            <w:vAlign w:val="bottom"/>
            <w:gridSpan w:val="15"/>
          </w:tcPr>
          <w:p>
            <w:pPr>
              <w:spacing w:after="0"/>
              <w:rPr>
                <w:rFonts w:ascii="Arial" w:cs="Arial" w:eastAsia="Arial" w:hAnsi="Arial"/>
                <w:sz w:val="13"/>
                <w:szCs w:val="13"/>
                <w:color w:val="0000EE"/>
              </w:rPr>
            </w:pPr>
            <w:hyperlink w:anchor="page35">
              <w:r>
                <w:rPr>
                  <w:rFonts w:ascii="Arial" w:cs="Arial" w:eastAsia="Arial" w:hAnsi="Arial"/>
                  <w:sz w:val="13"/>
                  <w:szCs w:val="13"/>
                  <w:color w:val="0000EE"/>
                </w:rPr>
                <w:t>Board Meetings and Attendance of Directors</w:t>
              </w:r>
            </w:hyperlink>
          </w:p>
        </w:tc>
        <w:tc>
          <w:tcPr>
            <w:tcW w:w="184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0"/>
        </w:trPr>
        <w:tc>
          <w:tcPr>
            <w:tcW w:w="1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49"/>
        </w:trPr>
        <w:tc>
          <w:tcPr>
            <w:tcW w:w="180" w:type="dxa"/>
            <w:vAlign w:val="bottom"/>
          </w:tcPr>
          <w:p>
            <w:pPr>
              <w:spacing w:after="0"/>
              <w:rPr>
                <w:sz w:val="12"/>
                <w:szCs w:val="12"/>
                <w:color w:val="auto"/>
              </w:rPr>
            </w:pPr>
          </w:p>
        </w:tc>
        <w:tc>
          <w:tcPr>
            <w:tcW w:w="3600" w:type="dxa"/>
            <w:vAlign w:val="bottom"/>
            <w:tcBorders>
              <w:bottom w:val="single" w:sz="8" w:color="0000EE"/>
            </w:tcBorders>
            <w:gridSpan w:val="13"/>
          </w:tcPr>
          <w:p>
            <w:pPr>
              <w:spacing w:after="0"/>
              <w:rPr>
                <w:rFonts w:ascii="Arial" w:cs="Arial" w:eastAsia="Arial" w:hAnsi="Arial"/>
                <w:sz w:val="13"/>
                <w:szCs w:val="13"/>
                <w:color w:val="0000EE"/>
                <w:w w:val="99"/>
              </w:rPr>
            </w:pPr>
            <w:hyperlink w:anchor="page35">
              <w:r>
                <w:rPr>
                  <w:rFonts w:ascii="Arial" w:cs="Arial" w:eastAsia="Arial" w:hAnsi="Arial"/>
                  <w:sz w:val="13"/>
                  <w:szCs w:val="13"/>
                  <w:color w:val="0000EE"/>
                  <w:w w:val="99"/>
                </w:rPr>
                <w:t>Procedures Relating to Nominees; Board Succession Planning</w:t>
              </w:r>
            </w:hyperlink>
          </w:p>
        </w:tc>
        <w:tc>
          <w:tcPr>
            <w:tcW w:w="1680" w:type="dxa"/>
            <w:vAlign w:val="bottom"/>
            <w:gridSpan w:val="2"/>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49"/>
        </w:trPr>
        <w:tc>
          <w:tcPr>
            <w:tcW w:w="180" w:type="dxa"/>
            <w:vAlign w:val="bottom"/>
          </w:tcPr>
          <w:p>
            <w:pPr>
              <w:spacing w:after="0"/>
              <w:rPr>
                <w:sz w:val="12"/>
                <w:szCs w:val="12"/>
                <w:color w:val="auto"/>
              </w:rPr>
            </w:pPr>
          </w:p>
        </w:tc>
        <w:tc>
          <w:tcPr>
            <w:tcW w:w="2340" w:type="dxa"/>
            <w:vAlign w:val="bottom"/>
            <w:tcBorders>
              <w:bottom w:val="single" w:sz="8" w:color="0000EE"/>
            </w:tcBorders>
            <w:gridSpan w:val="10"/>
          </w:tcPr>
          <w:p>
            <w:pPr>
              <w:spacing w:after="0"/>
              <w:rPr>
                <w:rFonts w:ascii="Arial" w:cs="Arial" w:eastAsia="Arial" w:hAnsi="Arial"/>
                <w:sz w:val="13"/>
                <w:szCs w:val="13"/>
                <w:color w:val="0000EE"/>
                <w:w w:val="99"/>
              </w:rPr>
            </w:pPr>
            <w:hyperlink w:anchor="page37">
              <w:r>
                <w:rPr>
                  <w:rFonts w:ascii="Arial" w:cs="Arial" w:eastAsia="Arial" w:hAnsi="Arial"/>
                  <w:sz w:val="13"/>
                  <w:szCs w:val="13"/>
                  <w:color w:val="0000EE"/>
                  <w:w w:val="99"/>
                </w:rPr>
                <w:t>Board and Committee Self-Assessments</w:t>
              </w:r>
            </w:hyperlink>
          </w:p>
        </w:tc>
        <w:tc>
          <w:tcPr>
            <w:tcW w:w="2940" w:type="dxa"/>
            <w:vAlign w:val="bottom"/>
            <w:gridSpan w:val="5"/>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49"/>
        </w:trPr>
        <w:tc>
          <w:tcPr>
            <w:tcW w:w="180" w:type="dxa"/>
            <w:vAlign w:val="bottom"/>
          </w:tcPr>
          <w:p>
            <w:pPr>
              <w:spacing w:after="0"/>
              <w:rPr>
                <w:sz w:val="12"/>
                <w:szCs w:val="12"/>
                <w:color w:val="auto"/>
              </w:rPr>
            </w:pPr>
          </w:p>
        </w:tc>
        <w:tc>
          <w:tcPr>
            <w:tcW w:w="5280" w:type="dxa"/>
            <w:vAlign w:val="bottom"/>
            <w:tcBorders>
              <w:bottom w:val="single" w:sz="8" w:color="0000EE"/>
            </w:tcBorders>
            <w:gridSpan w:val="15"/>
          </w:tcPr>
          <w:p>
            <w:pPr>
              <w:spacing w:after="0"/>
              <w:rPr>
                <w:rFonts w:ascii="Arial" w:cs="Arial" w:eastAsia="Arial" w:hAnsi="Arial"/>
                <w:sz w:val="13"/>
                <w:szCs w:val="13"/>
                <w:color w:val="0000EE"/>
                <w:w w:val="99"/>
              </w:rPr>
            </w:pPr>
            <w:hyperlink w:anchor="page37">
              <w:r>
                <w:rPr>
                  <w:rFonts w:ascii="Arial" w:cs="Arial" w:eastAsia="Arial" w:hAnsi="Arial"/>
                  <w:sz w:val="13"/>
                  <w:szCs w:val="13"/>
                  <w:color w:val="0000EE"/>
                  <w:w w:val="99"/>
                </w:rPr>
                <w:t>Shareholder Rights to Remove Directors for Cause and to Call Special Shareholder Meeting</w:t>
              </w:r>
            </w:hyperlink>
          </w:p>
        </w:tc>
        <w:tc>
          <w:tcPr>
            <w:tcW w:w="18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49"/>
        </w:trPr>
        <w:tc>
          <w:tcPr>
            <w:tcW w:w="180" w:type="dxa"/>
            <w:vAlign w:val="bottom"/>
          </w:tcPr>
          <w:p>
            <w:pPr>
              <w:spacing w:after="0"/>
              <w:rPr>
                <w:sz w:val="12"/>
                <w:szCs w:val="12"/>
                <w:color w:val="auto"/>
              </w:rPr>
            </w:pPr>
          </w:p>
        </w:tc>
        <w:tc>
          <w:tcPr>
            <w:tcW w:w="5280" w:type="dxa"/>
            <w:vAlign w:val="bottom"/>
            <w:gridSpan w:val="15"/>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Director Independence</w:t>
              </w:r>
            </w:hyperlink>
          </w:p>
        </w:tc>
        <w:tc>
          <w:tcPr>
            <w:tcW w:w="18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0"/>
        </w:trPr>
        <w:tc>
          <w:tcPr>
            <w:tcW w:w="1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49"/>
        </w:trPr>
        <w:tc>
          <w:tcPr>
            <w:tcW w:w="180" w:type="dxa"/>
            <w:vAlign w:val="bottom"/>
          </w:tcPr>
          <w:p>
            <w:pPr>
              <w:spacing w:after="0"/>
              <w:rPr>
                <w:sz w:val="12"/>
                <w:szCs w:val="12"/>
                <w:color w:val="auto"/>
              </w:rPr>
            </w:pPr>
          </w:p>
        </w:tc>
        <w:tc>
          <w:tcPr>
            <w:tcW w:w="2600" w:type="dxa"/>
            <w:vAlign w:val="bottom"/>
            <w:tcBorders>
              <w:bottom w:val="single" w:sz="8" w:color="0000EE"/>
            </w:tcBorders>
            <w:gridSpan w:val="12"/>
          </w:tcPr>
          <w:p>
            <w:pPr>
              <w:spacing w:after="0"/>
              <w:rPr>
                <w:rFonts w:ascii="Arial" w:cs="Arial" w:eastAsia="Arial" w:hAnsi="Arial"/>
                <w:sz w:val="13"/>
                <w:szCs w:val="13"/>
                <w:color w:val="0000EE"/>
                <w:w w:val="99"/>
              </w:rPr>
            </w:pPr>
            <w:hyperlink w:anchor="page38">
              <w:r>
                <w:rPr>
                  <w:rFonts w:ascii="Arial" w:cs="Arial" w:eastAsia="Arial" w:hAnsi="Arial"/>
                  <w:sz w:val="13"/>
                  <w:szCs w:val="13"/>
                  <w:color w:val="0000EE"/>
                  <w:w w:val="99"/>
                </w:rPr>
                <w:t>Board Leadership and Role in Risk Oversight</w:t>
              </w:r>
            </w:hyperlink>
          </w:p>
        </w:tc>
        <w:tc>
          <w:tcPr>
            <w:tcW w:w="2680" w:type="dxa"/>
            <w:vAlign w:val="bottom"/>
            <w:gridSpan w:val="3"/>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49"/>
        </w:trPr>
        <w:tc>
          <w:tcPr>
            <w:tcW w:w="180" w:type="dxa"/>
            <w:vAlign w:val="bottom"/>
          </w:tcPr>
          <w:p>
            <w:pPr>
              <w:spacing w:after="0"/>
              <w:rPr>
                <w:sz w:val="12"/>
                <w:szCs w:val="12"/>
                <w:color w:val="auto"/>
              </w:rPr>
            </w:pPr>
          </w:p>
        </w:tc>
        <w:tc>
          <w:tcPr>
            <w:tcW w:w="5280" w:type="dxa"/>
            <w:vAlign w:val="bottom"/>
            <w:gridSpan w:val="15"/>
          </w:tcPr>
          <w:p>
            <w:pPr>
              <w:spacing w:after="0"/>
              <w:rPr>
                <w:rFonts w:ascii="Arial" w:cs="Arial" w:eastAsia="Arial" w:hAnsi="Arial"/>
                <w:sz w:val="13"/>
                <w:szCs w:val="13"/>
                <w:color w:val="0000EE"/>
              </w:rPr>
            </w:pPr>
            <w:hyperlink w:anchor="page38">
              <w:r>
                <w:rPr>
                  <w:rFonts w:ascii="Arial" w:cs="Arial" w:eastAsia="Arial" w:hAnsi="Arial"/>
                  <w:sz w:val="13"/>
                  <w:szCs w:val="13"/>
                  <w:color w:val="0000EE"/>
                </w:rPr>
                <w:t>Executive Compensation Processes and Procedures; Role of Compensation Consultants</w:t>
              </w:r>
            </w:hyperlink>
          </w:p>
        </w:tc>
        <w:tc>
          <w:tcPr>
            <w:tcW w:w="184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0"/>
        </w:trPr>
        <w:tc>
          <w:tcPr>
            <w:tcW w:w="180" w:type="dxa"/>
            <w:vAlign w:val="bottom"/>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36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49"/>
        </w:trPr>
        <w:tc>
          <w:tcPr>
            <w:tcW w:w="5460" w:type="dxa"/>
            <w:vAlign w:val="bottom"/>
            <w:gridSpan w:val="16"/>
          </w:tcPr>
          <w:p>
            <w:pPr>
              <w:spacing w:after="0"/>
              <w:rPr>
                <w:rFonts w:ascii="Arial" w:cs="Arial" w:eastAsia="Arial" w:hAnsi="Arial"/>
                <w:sz w:val="13"/>
                <w:szCs w:val="13"/>
                <w:b w:val="1"/>
                <w:bCs w:val="1"/>
                <w:color w:val="0000EE"/>
              </w:rPr>
            </w:pPr>
            <w:hyperlink w:anchor="page39">
              <w:r>
                <w:rPr>
                  <w:rFonts w:ascii="Arial" w:cs="Arial" w:eastAsia="Arial" w:hAnsi="Arial"/>
                  <w:sz w:val="13"/>
                  <w:szCs w:val="13"/>
                  <w:b w:val="1"/>
                  <w:bCs w:val="1"/>
                  <w:color w:val="0000EE"/>
                </w:rPr>
                <w:t>Compensation of Directors</w:t>
              </w:r>
            </w:hyperlink>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26</w:t>
            </w:r>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-1965325</wp:posOffset>
            </wp:positionH>
            <wp:positionV relativeFrom="paragraph">
              <wp:posOffset>-2193925</wp:posOffset>
            </wp:positionV>
            <wp:extent cx="660019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-1921510</wp:posOffset>
            </wp:positionV>
            <wp:extent cx="4686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2900" w:space="720"/>
            <w:col w:w="7800"/>
          </w:cols>
          <w:pgMar w:left="240" w:top="1003" w:right="239" w:bottom="1440" w:gutter="0" w:footer="0" w:header="0"/>
        </w:sect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1"/>
                <w:szCs w:val="21"/>
                <w:color w:val="auto"/>
              </w:rPr>
            </w:pPr>
          </w:p>
        </w:tc>
        <w:tc>
          <w:tcPr>
            <w:tcW w:w="6600" w:type="dxa"/>
            <w:vAlign w:val="bottom"/>
            <w:gridSpan w:val="27"/>
          </w:tcPr>
          <w:p>
            <w:pPr>
              <w:spacing w:after="0"/>
              <w:rPr>
                <w:rFonts w:ascii="Arial" w:cs="Arial" w:eastAsia="Arial" w:hAnsi="Arial"/>
                <w:sz w:val="21"/>
                <w:szCs w:val="21"/>
                <w:b w:val="1"/>
                <w:bCs w:val="1"/>
                <w:color w:val="0000EE"/>
              </w:rPr>
            </w:pPr>
            <w:hyperlink w:anchor="page45">
              <w:r>
                <w:rPr>
                  <w:rFonts w:ascii="Arial" w:cs="Arial" w:eastAsia="Arial" w:hAnsi="Arial"/>
                  <w:sz w:val="21"/>
                  <w:szCs w:val="21"/>
                  <w:b w:val="1"/>
                  <w:bCs w:val="1"/>
                  <w:color w:val="0000EE"/>
                </w:rPr>
                <w:t>PROPOSAL NO. 1</w:t>
              </w:r>
            </w:hyperlink>
          </w:p>
        </w:tc>
        <w:tc>
          <w:tcPr>
            <w:tcW w:w="780" w:type="dxa"/>
            <w:vAlign w:val="bottom"/>
            <w:vMerge w:val="restart"/>
          </w:tcPr>
          <w:p>
            <w:pPr>
              <w:jc w:val="right"/>
              <w:spacing w:after="0"/>
              <w:rPr>
                <w:sz w:val="20"/>
                <w:szCs w:val="20"/>
                <w:color w:val="auto"/>
              </w:rPr>
            </w:pPr>
            <w:r>
              <w:rPr>
                <w:rFonts w:ascii="Arial" w:cs="Arial" w:eastAsia="Arial" w:hAnsi="Arial"/>
                <w:sz w:val="24"/>
                <w:szCs w:val="24"/>
                <w:b w:val="1"/>
                <w:bCs w:val="1"/>
                <w:color w:val="205BA8"/>
              </w:rPr>
              <w:t>32</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40" w:type="dxa"/>
            <w:vAlign w:val="bottom"/>
          </w:tcPr>
          <w:p>
            <w:pPr>
              <w:spacing w:after="0"/>
              <w:rPr>
                <w:sz w:val="21"/>
                <w:szCs w:val="21"/>
                <w:color w:val="auto"/>
              </w:rPr>
            </w:pPr>
          </w:p>
        </w:tc>
        <w:tc>
          <w:tcPr>
            <w:tcW w:w="1760" w:type="dxa"/>
            <w:vAlign w:val="bottom"/>
            <w:tcBorders>
              <w:top w:val="single" w:sz="8" w:color="0000EE"/>
            </w:tcBorders>
            <w:gridSpan w:val="11"/>
          </w:tcPr>
          <w:p>
            <w:pPr>
              <w:spacing w:after="0" w:line="252" w:lineRule="exact"/>
              <w:rPr>
                <w:rFonts w:ascii="Arial" w:cs="Arial" w:eastAsia="Arial" w:hAnsi="Arial"/>
                <w:sz w:val="24"/>
                <w:szCs w:val="24"/>
                <w:b w:val="1"/>
                <w:bCs w:val="1"/>
                <w:color w:val="0000EE"/>
              </w:rPr>
            </w:pPr>
            <w:hyperlink w:anchor="page45">
              <w:r>
                <w:rPr>
                  <w:rFonts w:ascii="Arial" w:cs="Arial" w:eastAsia="Arial" w:hAnsi="Arial"/>
                  <w:sz w:val="24"/>
                  <w:szCs w:val="24"/>
                  <w:b w:val="1"/>
                  <w:bCs w:val="1"/>
                  <w:color w:val="0000EE"/>
                </w:rPr>
                <w:t>ELECTION OF</w:t>
              </w:r>
            </w:hyperlink>
          </w:p>
        </w:tc>
        <w:tc>
          <w:tcPr>
            <w:tcW w:w="4840" w:type="dxa"/>
            <w:vAlign w:val="bottom"/>
            <w:gridSpan w:val="16"/>
          </w:tcPr>
          <w:p>
            <w:pPr>
              <w:spacing w:after="0" w:line="252" w:lineRule="exact"/>
              <w:rPr>
                <w:rFonts w:ascii="Arial" w:cs="Arial" w:eastAsia="Arial" w:hAnsi="Arial"/>
                <w:sz w:val="24"/>
                <w:szCs w:val="24"/>
                <w:b w:val="1"/>
                <w:bCs w:val="1"/>
                <w:color w:val="0000EE"/>
              </w:rPr>
            </w:pPr>
            <w:hyperlink w:anchor="page45">
              <w:r>
                <w:rPr>
                  <w:rFonts w:ascii="Arial" w:cs="Arial" w:eastAsia="Arial" w:hAnsi="Arial"/>
                  <w:sz w:val="24"/>
                  <w:szCs w:val="24"/>
                  <w:b w:val="1"/>
                  <w:bCs w:val="1"/>
                  <w:color w:val="0000EE"/>
                </w:rPr>
                <w:t>DIRECTORS</w:t>
              </w:r>
            </w:hyperlink>
          </w:p>
        </w:tc>
        <w:tc>
          <w:tcPr>
            <w:tcW w:w="78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3540" w:type="dxa"/>
            <w:vAlign w:val="bottom"/>
          </w:tcPr>
          <w:p>
            <w:pPr>
              <w:spacing w:after="0"/>
              <w:rPr>
                <w:sz w:val="2"/>
                <w:szCs w:val="2"/>
                <w:color w:val="auto"/>
              </w:rPr>
            </w:pPr>
          </w:p>
        </w:tc>
        <w:tc>
          <w:tcPr>
            <w:tcW w:w="8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320" w:type="dxa"/>
            <w:vAlign w:val="bottom"/>
            <w:tcBorders>
              <w:top w:val="single" w:sz="8" w:color="0000EE"/>
              <w:bottom w:val="single" w:sz="8" w:color="205BA8"/>
            </w:tcBorders>
          </w:tcPr>
          <w:p>
            <w:pPr>
              <w:spacing w:after="0"/>
              <w:rPr>
                <w:sz w:val="2"/>
                <w:szCs w:val="2"/>
                <w:color w:val="auto"/>
              </w:rPr>
            </w:pPr>
          </w:p>
        </w:tc>
        <w:tc>
          <w:tcPr>
            <w:tcW w:w="220" w:type="dxa"/>
            <w:vAlign w:val="bottom"/>
            <w:tcBorders>
              <w:top w:val="single" w:sz="8" w:color="0000EE"/>
              <w:bottom w:val="single" w:sz="8" w:color="205BA8"/>
            </w:tcBorders>
          </w:tcPr>
          <w:p>
            <w:pPr>
              <w:spacing w:after="0"/>
              <w:rPr>
                <w:sz w:val="2"/>
                <w:szCs w:val="2"/>
                <w:color w:val="auto"/>
              </w:rPr>
            </w:pPr>
          </w:p>
        </w:tc>
        <w:tc>
          <w:tcPr>
            <w:tcW w:w="100" w:type="dxa"/>
            <w:vAlign w:val="bottom"/>
            <w:tcBorders>
              <w:top w:val="single" w:sz="8" w:color="0000EE"/>
              <w:bottom w:val="single" w:sz="8" w:color="205BA8"/>
            </w:tcBorders>
          </w:tcPr>
          <w:p>
            <w:pPr>
              <w:spacing w:after="0"/>
              <w:rPr>
                <w:sz w:val="2"/>
                <w:szCs w:val="2"/>
                <w:color w:val="auto"/>
              </w:rPr>
            </w:pPr>
          </w:p>
        </w:tc>
        <w:tc>
          <w:tcPr>
            <w:tcW w:w="40" w:type="dxa"/>
            <w:vAlign w:val="bottom"/>
            <w:tcBorders>
              <w:top w:val="single" w:sz="8" w:color="0000EE"/>
              <w:bottom w:val="single" w:sz="8" w:color="205BA8"/>
            </w:tcBorders>
          </w:tcPr>
          <w:p>
            <w:pPr>
              <w:spacing w:after="0"/>
              <w:rPr>
                <w:sz w:val="2"/>
                <w:szCs w:val="2"/>
                <w:color w:val="auto"/>
              </w:rPr>
            </w:pPr>
          </w:p>
        </w:tc>
        <w:tc>
          <w:tcPr>
            <w:tcW w:w="160" w:type="dxa"/>
            <w:vAlign w:val="bottom"/>
            <w:tcBorders>
              <w:top w:val="single" w:sz="8" w:color="0000EE"/>
              <w:bottom w:val="single" w:sz="8" w:color="205BA8"/>
            </w:tcBorders>
          </w:tcPr>
          <w:p>
            <w:pPr>
              <w:spacing w:after="0"/>
              <w:rPr>
                <w:sz w:val="2"/>
                <w:szCs w:val="2"/>
                <w:color w:val="auto"/>
              </w:rPr>
            </w:pPr>
          </w:p>
        </w:tc>
        <w:tc>
          <w:tcPr>
            <w:tcW w:w="60" w:type="dxa"/>
            <w:vAlign w:val="bottom"/>
            <w:tcBorders>
              <w:top w:val="single" w:sz="8" w:color="0000EE"/>
              <w:bottom w:val="single" w:sz="8" w:color="205BA8"/>
            </w:tcBorders>
          </w:tcPr>
          <w:p>
            <w:pPr>
              <w:spacing w:after="0"/>
              <w:rPr>
                <w:sz w:val="2"/>
                <w:szCs w:val="2"/>
                <w:color w:val="auto"/>
              </w:rPr>
            </w:pPr>
          </w:p>
        </w:tc>
        <w:tc>
          <w:tcPr>
            <w:tcW w:w="32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100" w:type="dxa"/>
            <w:vAlign w:val="bottom"/>
            <w:tcBorders>
              <w:top w:val="single" w:sz="8" w:color="0000EE"/>
              <w:bottom w:val="single" w:sz="8" w:color="205BA8"/>
            </w:tcBorders>
          </w:tcPr>
          <w:p>
            <w:pPr>
              <w:spacing w:after="0"/>
              <w:rPr>
                <w:sz w:val="2"/>
                <w:szCs w:val="2"/>
                <w:color w:val="auto"/>
              </w:rPr>
            </w:pPr>
          </w:p>
        </w:tc>
        <w:tc>
          <w:tcPr>
            <w:tcW w:w="2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40" w:type="dxa"/>
            <w:vAlign w:val="bottom"/>
            <w:tcBorders>
              <w:top w:val="single" w:sz="8" w:color="0000EE"/>
              <w:bottom w:val="single" w:sz="8" w:color="205BA8"/>
            </w:tcBorders>
          </w:tcPr>
          <w:p>
            <w:pPr>
              <w:spacing w:after="0"/>
              <w:rPr>
                <w:sz w:val="2"/>
                <w:szCs w:val="2"/>
                <w:color w:val="auto"/>
              </w:rPr>
            </w:pPr>
          </w:p>
        </w:tc>
        <w:tc>
          <w:tcPr>
            <w:tcW w:w="220" w:type="dxa"/>
            <w:vAlign w:val="bottom"/>
            <w:tcBorders>
              <w:top w:val="single" w:sz="8" w:color="0000EE"/>
              <w:bottom w:val="single" w:sz="8" w:color="205BA8"/>
            </w:tcBorders>
          </w:tcPr>
          <w:p>
            <w:pPr>
              <w:spacing w:after="0"/>
              <w:rPr>
                <w:sz w:val="2"/>
                <w:szCs w:val="2"/>
                <w:color w:val="auto"/>
              </w:rPr>
            </w:pPr>
          </w:p>
        </w:tc>
        <w:tc>
          <w:tcPr>
            <w:tcW w:w="40" w:type="dxa"/>
            <w:vAlign w:val="bottom"/>
            <w:tcBorders>
              <w:top w:val="single" w:sz="8" w:color="0000EE"/>
              <w:bottom w:val="single" w:sz="8" w:color="205BA8"/>
            </w:tcBorders>
          </w:tcPr>
          <w:p>
            <w:pPr>
              <w:spacing w:after="0"/>
              <w:rPr>
                <w:sz w:val="2"/>
                <w:szCs w:val="2"/>
                <w:color w:val="auto"/>
              </w:rPr>
            </w:pPr>
          </w:p>
        </w:tc>
        <w:tc>
          <w:tcPr>
            <w:tcW w:w="760" w:type="dxa"/>
            <w:vAlign w:val="bottom"/>
            <w:tcBorders>
              <w:top w:val="single" w:sz="8" w:color="0000EE"/>
              <w:bottom w:val="single" w:sz="8" w:color="205BA8"/>
            </w:tcBorders>
          </w:tcPr>
          <w:p>
            <w:pPr>
              <w:spacing w:after="0"/>
              <w:rPr>
                <w:sz w:val="2"/>
                <w:szCs w:val="2"/>
                <w:color w:val="auto"/>
              </w:rPr>
            </w:pPr>
          </w:p>
        </w:tc>
        <w:tc>
          <w:tcPr>
            <w:tcW w:w="20" w:type="dxa"/>
            <w:vAlign w:val="bottom"/>
            <w:tcBorders>
              <w:top w:val="single" w:sz="8" w:color="0000EE"/>
              <w:bottom w:val="single" w:sz="8" w:color="205BA8"/>
            </w:tcBorders>
          </w:tcPr>
          <w:p>
            <w:pPr>
              <w:spacing w:after="0"/>
              <w:rPr>
                <w:sz w:val="2"/>
                <w:szCs w:val="2"/>
                <w:color w:val="auto"/>
              </w:rPr>
            </w:pPr>
          </w:p>
        </w:tc>
        <w:tc>
          <w:tcPr>
            <w:tcW w:w="80" w:type="dxa"/>
            <w:vAlign w:val="bottom"/>
            <w:tcBorders>
              <w:top w:val="single" w:sz="8" w:color="0000EE"/>
              <w:bottom w:val="single" w:sz="8" w:color="205BA8"/>
            </w:tcBorders>
          </w:tcPr>
          <w:p>
            <w:pPr>
              <w:spacing w:after="0"/>
              <w:rPr>
                <w:sz w:val="2"/>
                <w:szCs w:val="2"/>
                <w:color w:val="auto"/>
              </w:rPr>
            </w:pPr>
          </w:p>
        </w:tc>
        <w:tc>
          <w:tcPr>
            <w:tcW w:w="280" w:type="dxa"/>
            <w:vAlign w:val="bottom"/>
            <w:tcBorders>
              <w:bottom w:val="single" w:sz="8" w:color="205BA8"/>
            </w:tcBorders>
          </w:tcPr>
          <w:p>
            <w:pPr>
              <w:spacing w:after="0"/>
              <w:rPr>
                <w:sz w:val="2"/>
                <w:szCs w:val="2"/>
                <w:color w:val="auto"/>
              </w:rPr>
            </w:pPr>
          </w:p>
        </w:tc>
        <w:tc>
          <w:tcPr>
            <w:tcW w:w="260" w:type="dxa"/>
            <w:vAlign w:val="bottom"/>
            <w:tcBorders>
              <w:bottom w:val="single" w:sz="8" w:color="205BA8"/>
            </w:tcBorders>
          </w:tcPr>
          <w:p>
            <w:pPr>
              <w:spacing w:after="0"/>
              <w:rPr>
                <w:sz w:val="2"/>
                <w:szCs w:val="2"/>
                <w:color w:val="auto"/>
              </w:rPr>
            </w:pPr>
          </w:p>
        </w:tc>
        <w:tc>
          <w:tcPr>
            <w:tcW w:w="440" w:type="dxa"/>
            <w:vAlign w:val="bottom"/>
            <w:tcBorders>
              <w:bottom w:val="single" w:sz="8" w:color="205BA8"/>
            </w:tcBorders>
          </w:tcPr>
          <w:p>
            <w:pPr>
              <w:spacing w:after="0"/>
              <w:rPr>
                <w:sz w:val="2"/>
                <w:szCs w:val="2"/>
                <w:color w:val="auto"/>
              </w:rPr>
            </w:pPr>
          </w:p>
        </w:tc>
        <w:tc>
          <w:tcPr>
            <w:tcW w:w="200" w:type="dxa"/>
            <w:vAlign w:val="bottom"/>
            <w:tcBorders>
              <w:bottom w:val="single" w:sz="8" w:color="205BA8"/>
            </w:tcBorders>
          </w:tcPr>
          <w:p>
            <w:pPr>
              <w:spacing w:after="0"/>
              <w:rPr>
                <w:sz w:val="2"/>
                <w:szCs w:val="2"/>
                <w:color w:val="auto"/>
              </w:rPr>
            </w:pPr>
          </w:p>
        </w:tc>
        <w:tc>
          <w:tcPr>
            <w:tcW w:w="520" w:type="dxa"/>
            <w:vAlign w:val="bottom"/>
            <w:tcBorders>
              <w:bottom w:val="single" w:sz="8" w:color="205BA8"/>
            </w:tcBorders>
          </w:tcPr>
          <w:p>
            <w:pPr>
              <w:spacing w:after="0"/>
              <w:rPr>
                <w:sz w:val="2"/>
                <w:szCs w:val="2"/>
                <w:color w:val="auto"/>
              </w:rPr>
            </w:pPr>
          </w:p>
        </w:tc>
        <w:tc>
          <w:tcPr>
            <w:tcW w:w="80" w:type="dxa"/>
            <w:vAlign w:val="bottom"/>
            <w:tcBorders>
              <w:bottom w:val="single" w:sz="8" w:color="205BA8"/>
            </w:tcBorders>
          </w:tcPr>
          <w:p>
            <w:pPr>
              <w:spacing w:after="0"/>
              <w:rPr>
                <w:sz w:val="2"/>
                <w:szCs w:val="2"/>
                <w:color w:val="auto"/>
              </w:rPr>
            </w:pPr>
          </w:p>
        </w:tc>
        <w:tc>
          <w:tcPr>
            <w:tcW w:w="1200" w:type="dxa"/>
            <w:vAlign w:val="bottom"/>
            <w:tcBorders>
              <w:bottom w:val="single" w:sz="8" w:color="205BA8"/>
            </w:tcBorders>
          </w:tcPr>
          <w:p>
            <w:pPr>
              <w:spacing w:after="0"/>
              <w:rPr>
                <w:sz w:val="2"/>
                <w:szCs w:val="2"/>
                <w:color w:val="auto"/>
              </w:rPr>
            </w:pPr>
          </w:p>
        </w:tc>
        <w:tc>
          <w:tcPr>
            <w:tcW w:w="500" w:type="dxa"/>
            <w:vAlign w:val="bottom"/>
            <w:tcBorders>
              <w:bottom w:val="single" w:sz="8" w:color="205BA8"/>
            </w:tcBorders>
          </w:tcPr>
          <w:p>
            <w:pPr>
              <w:spacing w:after="0"/>
              <w:rPr>
                <w:sz w:val="2"/>
                <w:szCs w:val="2"/>
                <w:color w:val="auto"/>
              </w:rPr>
            </w:pPr>
          </w:p>
        </w:tc>
        <w:tc>
          <w:tcPr>
            <w:tcW w:w="780" w:type="dxa"/>
            <w:vAlign w:val="bottom"/>
            <w:tcBorders>
              <w:bottom w:val="single" w:sz="8" w:color="205BA8"/>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3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Borders>
              <w:bottom w:val="single" w:sz="8" w:color="0000EE"/>
            </w:tcBorders>
            <w:gridSpan w:val="5"/>
          </w:tcPr>
          <w:p>
            <w:pPr>
              <w:spacing w:after="0"/>
              <w:rPr>
                <w:rFonts w:ascii="Arial" w:cs="Arial" w:eastAsia="Arial" w:hAnsi="Arial"/>
                <w:sz w:val="13"/>
                <w:szCs w:val="13"/>
                <w:b w:val="1"/>
                <w:bCs w:val="1"/>
                <w:color w:val="0000EE"/>
                <w:w w:val="97"/>
              </w:rPr>
            </w:pPr>
            <w:hyperlink w:anchor="page46">
              <w:r>
                <w:rPr>
                  <w:rFonts w:ascii="Arial" w:cs="Arial" w:eastAsia="Arial" w:hAnsi="Arial"/>
                  <w:sz w:val="13"/>
                  <w:szCs w:val="13"/>
                  <w:b w:val="1"/>
                  <w:bCs w:val="1"/>
                  <w:color w:val="0000EE"/>
                  <w:w w:val="97"/>
                </w:rPr>
                <w:t>The Company</w:t>
              </w:r>
            </w:hyperlink>
          </w:p>
        </w:tc>
        <w:tc>
          <w:tcPr>
            <w:tcW w:w="5660" w:type="dxa"/>
            <w:vAlign w:val="bottom"/>
            <w:gridSpan w:val="21"/>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05BA8"/>
              </w:rPr>
              <w:t>33</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520" w:type="dxa"/>
            <w:vAlign w:val="bottom"/>
            <w:gridSpan w:val="26"/>
          </w:tcPr>
          <w:p>
            <w:pPr>
              <w:spacing w:after="0"/>
              <w:rPr>
                <w:rFonts w:ascii="Arial" w:cs="Arial" w:eastAsia="Arial" w:hAnsi="Arial"/>
                <w:sz w:val="13"/>
                <w:szCs w:val="13"/>
                <w:b w:val="1"/>
                <w:bCs w:val="1"/>
                <w:color w:val="0000EE"/>
              </w:rPr>
            </w:pPr>
            <w:hyperlink w:anchor="page46">
              <w:r>
                <w:rPr>
                  <w:rFonts w:ascii="Arial" w:cs="Arial" w:eastAsia="Arial" w:hAnsi="Arial"/>
                  <w:sz w:val="13"/>
                  <w:szCs w:val="13"/>
                  <w:b w:val="1"/>
                  <w:bCs w:val="1"/>
                  <w:color w:val="0000EE"/>
                </w:rPr>
                <w:t>Executive Officers of the Company</w:t>
              </w:r>
            </w:hyperlink>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33</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Borders>
              <w:top w:val="single" w:sz="8" w:color="0000EE"/>
            </w:tcBorders>
            <w:gridSpan w:val="14"/>
          </w:tcPr>
          <w:p>
            <w:pPr>
              <w:spacing w:after="0"/>
              <w:rPr>
                <w:rFonts w:ascii="Arial" w:cs="Arial" w:eastAsia="Arial" w:hAnsi="Arial"/>
                <w:sz w:val="13"/>
                <w:szCs w:val="13"/>
                <w:b w:val="1"/>
                <w:bCs w:val="1"/>
                <w:color w:val="0000EE"/>
              </w:rPr>
            </w:pPr>
            <w:hyperlink w:anchor="page48">
              <w:r>
                <w:rPr>
                  <w:rFonts w:ascii="Arial" w:cs="Arial" w:eastAsia="Arial" w:hAnsi="Arial"/>
                  <w:sz w:val="13"/>
                  <w:szCs w:val="13"/>
                  <w:b w:val="1"/>
                  <w:bCs w:val="1"/>
                  <w:color w:val="0000EE"/>
                </w:rPr>
                <w:t>Corporate Governance</w:t>
              </w:r>
            </w:hyperlink>
          </w:p>
        </w:tc>
        <w:tc>
          <w:tcPr>
            <w:tcW w:w="4380" w:type="dxa"/>
            <w:vAlign w:val="bottom"/>
            <w:gridSpan w:val="12"/>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35</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95"/>
              </w:rPr>
            </w:pPr>
            <w:hyperlink w:anchor="page48">
              <w:r>
                <w:rPr>
                  <w:rFonts w:ascii="Arial" w:cs="Arial" w:eastAsia="Arial" w:hAnsi="Arial"/>
                  <w:sz w:val="13"/>
                  <w:szCs w:val="13"/>
                  <w:color w:val="0000EE"/>
                  <w:w w:val="95"/>
                </w:rPr>
                <w:t>Overview</w:t>
              </w:r>
            </w:hyperlink>
          </w:p>
        </w:tc>
        <w:tc>
          <w:tcPr>
            <w:tcW w:w="680" w:type="dxa"/>
            <w:vAlign w:val="bottom"/>
            <w:tcBorders>
              <w:top w:val="single" w:sz="8" w:color="0000EE"/>
            </w:tcBorders>
            <w:gridSpan w:val="5"/>
          </w:tcPr>
          <w:p>
            <w:pPr>
              <w:spacing w:after="0"/>
              <w:rPr>
                <w:sz w:val="12"/>
                <w:szCs w:val="12"/>
                <w:color w:val="auto"/>
              </w:rPr>
            </w:pPr>
          </w:p>
        </w:tc>
        <w:tc>
          <w:tcPr>
            <w:tcW w:w="5120" w:type="dxa"/>
            <w:vAlign w:val="bottom"/>
            <w:gridSpan w:val="18"/>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0000EE"/>
            </w:tcBorders>
            <w:gridSpan w:val="5"/>
          </w:tcPr>
          <w:p>
            <w:pPr>
              <w:spacing w:after="0"/>
              <w:rPr>
                <w:rFonts w:ascii="Arial" w:cs="Arial" w:eastAsia="Arial" w:hAnsi="Arial"/>
                <w:sz w:val="13"/>
                <w:szCs w:val="13"/>
                <w:color w:val="0000EE"/>
                <w:w w:val="96"/>
              </w:rPr>
            </w:pPr>
            <w:hyperlink w:anchor="page48">
              <w:r>
                <w:rPr>
                  <w:rFonts w:ascii="Arial" w:cs="Arial" w:eastAsia="Arial" w:hAnsi="Arial"/>
                  <w:sz w:val="13"/>
                  <w:szCs w:val="13"/>
                  <w:color w:val="0000EE"/>
                  <w:w w:val="96"/>
                </w:rPr>
                <w:t>Code of Ethics</w:t>
              </w:r>
            </w:hyperlink>
          </w:p>
        </w:tc>
        <w:tc>
          <w:tcPr>
            <w:tcW w:w="5500" w:type="dxa"/>
            <w:vAlign w:val="bottom"/>
            <w:gridSpan w:val="20"/>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40" w:type="dxa"/>
            <w:vAlign w:val="bottom"/>
            <w:tcBorders>
              <w:bottom w:val="single" w:sz="8" w:color="0000EE"/>
            </w:tcBorders>
            <w:gridSpan w:val="18"/>
          </w:tcPr>
          <w:p>
            <w:pPr>
              <w:spacing w:after="0"/>
              <w:rPr>
                <w:rFonts w:ascii="Arial" w:cs="Arial" w:eastAsia="Arial" w:hAnsi="Arial"/>
                <w:sz w:val="13"/>
                <w:szCs w:val="13"/>
                <w:color w:val="0000EE"/>
                <w:w w:val="98"/>
              </w:rPr>
            </w:pPr>
            <w:hyperlink w:anchor="page48">
              <w:r>
                <w:rPr>
                  <w:rFonts w:ascii="Arial" w:cs="Arial" w:eastAsia="Arial" w:hAnsi="Arial"/>
                  <w:sz w:val="13"/>
                  <w:szCs w:val="13"/>
                  <w:color w:val="0000EE"/>
                  <w:w w:val="98"/>
                </w:rPr>
                <w:t>Succession Planning and Talent Development Process</w:t>
              </w:r>
            </w:hyperlink>
          </w:p>
        </w:tc>
        <w:tc>
          <w:tcPr>
            <w:tcW w:w="3200" w:type="dxa"/>
            <w:vAlign w:val="bottom"/>
            <w:gridSpan w:val="7"/>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40" w:type="dxa"/>
            <w:vAlign w:val="bottom"/>
            <w:gridSpan w:val="25"/>
          </w:tcPr>
          <w:p>
            <w:pPr>
              <w:spacing w:after="0"/>
              <w:rPr>
                <w:rFonts w:ascii="Arial" w:cs="Arial" w:eastAsia="Arial" w:hAnsi="Arial"/>
                <w:sz w:val="13"/>
                <w:szCs w:val="13"/>
                <w:color w:val="0000EE"/>
              </w:rPr>
            </w:pPr>
            <w:hyperlink w:anchor="page49">
              <w:r>
                <w:rPr>
                  <w:rFonts w:ascii="Arial" w:cs="Arial" w:eastAsia="Arial" w:hAnsi="Arial"/>
                  <w:sz w:val="13"/>
                  <w:szCs w:val="13"/>
                  <w:color w:val="0000EE"/>
                </w:rPr>
                <w:t>Corporate Responsibility</w:t>
              </w:r>
            </w:hyperlink>
          </w:p>
        </w:tc>
        <w:tc>
          <w:tcPr>
            <w:tcW w:w="780" w:type="dxa"/>
            <w:vAlign w:val="bottom"/>
          </w:tcPr>
          <w:p>
            <w:pPr>
              <w:jc w:val="right"/>
              <w:spacing w:after="0"/>
              <w:rPr>
                <w:sz w:val="20"/>
                <w:szCs w:val="20"/>
                <w:color w:val="auto"/>
              </w:rPr>
            </w:pPr>
            <w:r>
              <w:rPr>
                <w:rFonts w:ascii="Arial" w:cs="Arial" w:eastAsia="Arial" w:hAnsi="Arial"/>
                <w:sz w:val="13"/>
                <w:szCs w:val="13"/>
                <w:color w:val="auto"/>
              </w:rPr>
              <w:t>36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Borders>
              <w:bottom w:val="single" w:sz="8" w:color="0000EE"/>
            </w:tcBorders>
            <w:gridSpan w:val="10"/>
          </w:tcPr>
          <w:p>
            <w:pPr>
              <w:spacing w:after="0"/>
              <w:rPr>
                <w:rFonts w:ascii="Arial" w:cs="Arial" w:eastAsia="Arial" w:hAnsi="Arial"/>
                <w:sz w:val="13"/>
                <w:szCs w:val="13"/>
                <w:color w:val="0000EE"/>
                <w:w w:val="99"/>
              </w:rPr>
            </w:pPr>
            <w:hyperlink w:anchor="page50">
              <w:r>
                <w:rPr>
                  <w:rFonts w:ascii="Arial" w:cs="Arial" w:eastAsia="Arial" w:hAnsi="Arial"/>
                  <w:sz w:val="13"/>
                  <w:szCs w:val="13"/>
                  <w:color w:val="0000EE"/>
                  <w:w w:val="99"/>
                </w:rPr>
                <w:t>Public Policy Engagement</w:t>
              </w:r>
            </w:hyperlink>
          </w:p>
        </w:tc>
        <w:tc>
          <w:tcPr>
            <w:tcW w:w="4820" w:type="dxa"/>
            <w:vAlign w:val="bottom"/>
            <w:gridSpan w:val="15"/>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520" w:type="dxa"/>
            <w:vAlign w:val="bottom"/>
            <w:gridSpan w:val="26"/>
          </w:tcPr>
          <w:p>
            <w:pPr>
              <w:spacing w:after="0"/>
              <w:rPr>
                <w:rFonts w:ascii="Arial" w:cs="Arial" w:eastAsia="Arial" w:hAnsi="Arial"/>
                <w:sz w:val="13"/>
                <w:szCs w:val="13"/>
                <w:b w:val="1"/>
                <w:bCs w:val="1"/>
                <w:color w:val="0000EE"/>
              </w:rPr>
            </w:pPr>
            <w:hyperlink w:anchor="page51">
              <w:r>
                <w:rPr>
                  <w:rFonts w:ascii="Arial" w:cs="Arial" w:eastAsia="Arial" w:hAnsi="Arial"/>
                  <w:sz w:val="13"/>
                  <w:szCs w:val="13"/>
                  <w:b w:val="1"/>
                  <w:bCs w:val="1"/>
                  <w:color w:val="0000EE"/>
                </w:rPr>
                <w:t>Section 16(a) Beneficial Ownership Reporting Compliance</w:t>
              </w:r>
            </w:hyperlink>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tcBorders>
              <w:top w:val="single" w:sz="8" w:color="0000EE"/>
            </w:tcBorders>
            <w:gridSpan w:val="20"/>
          </w:tcPr>
          <w:p>
            <w:pPr>
              <w:spacing w:after="0"/>
              <w:rPr>
                <w:rFonts w:ascii="Arial" w:cs="Arial" w:eastAsia="Arial" w:hAnsi="Arial"/>
                <w:sz w:val="13"/>
                <w:szCs w:val="13"/>
                <w:b w:val="1"/>
                <w:bCs w:val="1"/>
                <w:color w:val="0000EE"/>
              </w:rPr>
            </w:pPr>
            <w:hyperlink w:anchor="page52">
              <w:r>
                <w:rPr>
                  <w:rFonts w:ascii="Arial" w:cs="Arial" w:eastAsia="Arial" w:hAnsi="Arial"/>
                  <w:sz w:val="13"/>
                  <w:szCs w:val="13"/>
                  <w:b w:val="1"/>
                  <w:bCs w:val="1"/>
                  <w:color w:val="0000EE"/>
                </w:rPr>
                <w:t>Certain Relationships and Related Transactions</w:t>
              </w:r>
            </w:hyperlink>
          </w:p>
        </w:tc>
        <w:tc>
          <w:tcPr>
            <w:tcW w:w="2940" w:type="dxa"/>
            <w:vAlign w:val="bottom"/>
            <w:gridSpan w:val="6"/>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40" w:type="dxa"/>
            <w:vAlign w:val="bottom"/>
            <w:gridSpan w:val="25"/>
          </w:tcPr>
          <w:p>
            <w:pPr>
              <w:spacing w:after="0"/>
              <w:rPr>
                <w:rFonts w:ascii="Arial" w:cs="Arial" w:eastAsia="Arial" w:hAnsi="Arial"/>
                <w:sz w:val="13"/>
                <w:szCs w:val="13"/>
                <w:color w:val="0000EE"/>
              </w:rPr>
            </w:pPr>
            <w:hyperlink w:anchor="page52">
              <w:r>
                <w:rPr>
                  <w:rFonts w:ascii="Arial" w:cs="Arial" w:eastAsia="Arial" w:hAnsi="Arial"/>
                  <w:sz w:val="13"/>
                  <w:szCs w:val="13"/>
                  <w:color w:val="0000EE"/>
                </w:rPr>
                <w:t>Review, Approval, or Ratification of Transactions with Related Persons</w:t>
              </w:r>
            </w:hyperlink>
          </w:p>
        </w:tc>
        <w:tc>
          <w:tcPr>
            <w:tcW w:w="780" w:type="dxa"/>
            <w:vAlign w:val="bottom"/>
          </w:tcPr>
          <w:p>
            <w:pPr>
              <w:jc w:val="right"/>
              <w:spacing w:after="0"/>
              <w:rPr>
                <w:sz w:val="20"/>
                <w:szCs w:val="20"/>
                <w:color w:val="auto"/>
              </w:rPr>
            </w:pPr>
            <w:r>
              <w:rPr>
                <w:rFonts w:ascii="Arial" w:cs="Arial" w:eastAsia="Arial" w:hAnsi="Arial"/>
                <w:sz w:val="13"/>
                <w:szCs w:val="13"/>
                <w:color w:val="auto"/>
              </w:rPr>
              <w:t>39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14"/>
          </w:tcPr>
          <w:p>
            <w:pPr>
              <w:spacing w:after="0"/>
              <w:rPr>
                <w:rFonts w:ascii="Arial" w:cs="Arial" w:eastAsia="Arial" w:hAnsi="Arial"/>
                <w:sz w:val="13"/>
                <w:szCs w:val="13"/>
                <w:color w:val="0000EE"/>
                <w:w w:val="98"/>
              </w:rPr>
            </w:pPr>
            <w:hyperlink w:anchor="page53">
              <w:r>
                <w:rPr>
                  <w:rFonts w:ascii="Arial" w:cs="Arial" w:eastAsia="Arial" w:hAnsi="Arial"/>
                  <w:sz w:val="13"/>
                  <w:szCs w:val="13"/>
                  <w:color w:val="0000EE"/>
                  <w:w w:val="98"/>
                </w:rPr>
                <w:t>Transactions with Related Persons</w:t>
              </w:r>
            </w:hyperlink>
          </w:p>
        </w:tc>
        <w:tc>
          <w:tcPr>
            <w:tcW w:w="2040" w:type="dxa"/>
            <w:vAlign w:val="bottom"/>
            <w:tcBorders>
              <w:top w:val="single" w:sz="8" w:color="0000EE"/>
            </w:tcBorders>
            <w:gridSpan w:val="7"/>
          </w:tcPr>
          <w:p>
            <w:pPr>
              <w:spacing w:after="0"/>
              <w:rPr>
                <w:sz w:val="12"/>
                <w:szCs w:val="12"/>
                <w:color w:val="auto"/>
              </w:rPr>
            </w:pPr>
          </w:p>
        </w:tc>
        <w:tc>
          <w:tcPr>
            <w:tcW w:w="2300" w:type="dxa"/>
            <w:vAlign w:val="bottom"/>
            <w:gridSpan w:val="4"/>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0000EE"/>
            </w:tcBorders>
          </w:tcPr>
          <w:p>
            <w:pPr>
              <w:spacing w:after="0"/>
              <w:rPr>
                <w:rFonts w:ascii="Arial" w:cs="Arial" w:eastAsia="Arial" w:hAnsi="Arial"/>
                <w:sz w:val="13"/>
                <w:szCs w:val="13"/>
                <w:color w:val="0000EE"/>
                <w:w w:val="92"/>
              </w:rPr>
            </w:pPr>
            <w:hyperlink w:anchor="page56">
              <w:r>
                <w:rPr>
                  <w:rFonts w:ascii="Arial" w:cs="Arial" w:eastAsia="Arial" w:hAnsi="Arial"/>
                  <w:sz w:val="13"/>
                  <w:szCs w:val="13"/>
                  <w:color w:val="0000EE"/>
                  <w:w w:val="92"/>
                </w:rPr>
                <w:t>Other</w:t>
              </w:r>
            </w:hyperlink>
          </w:p>
        </w:tc>
        <w:tc>
          <w:tcPr>
            <w:tcW w:w="6020" w:type="dxa"/>
            <w:vAlign w:val="bottom"/>
            <w:gridSpan w:val="24"/>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520" w:type="dxa"/>
            <w:vAlign w:val="bottom"/>
            <w:gridSpan w:val="26"/>
          </w:tcPr>
          <w:p>
            <w:pPr>
              <w:spacing w:after="0"/>
              <w:rPr>
                <w:rFonts w:ascii="Arial" w:cs="Arial" w:eastAsia="Arial" w:hAnsi="Arial"/>
                <w:sz w:val="13"/>
                <w:szCs w:val="13"/>
                <w:b w:val="1"/>
                <w:bCs w:val="1"/>
                <w:color w:val="0000EE"/>
              </w:rPr>
            </w:pPr>
            <w:hyperlink w:anchor="page57">
              <w:r>
                <w:rPr>
                  <w:rFonts w:ascii="Arial" w:cs="Arial" w:eastAsia="Arial" w:hAnsi="Arial"/>
                  <w:sz w:val="13"/>
                  <w:szCs w:val="13"/>
                  <w:b w:val="1"/>
                  <w:bCs w:val="1"/>
                  <w:color w:val="0000EE"/>
                </w:rPr>
                <w:t>Audit Matters</w:t>
              </w:r>
            </w:hyperlink>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40" w:type="dxa"/>
            <w:vAlign w:val="bottom"/>
            <w:gridSpan w:val="25"/>
          </w:tcPr>
          <w:p>
            <w:pPr>
              <w:spacing w:after="0"/>
              <w:rPr>
                <w:rFonts w:ascii="Arial" w:cs="Arial" w:eastAsia="Arial" w:hAnsi="Arial"/>
                <w:sz w:val="13"/>
                <w:szCs w:val="13"/>
                <w:color w:val="0000EE"/>
              </w:rPr>
            </w:pPr>
            <w:hyperlink w:anchor="page57">
              <w:r>
                <w:rPr>
                  <w:rFonts w:ascii="Arial" w:cs="Arial" w:eastAsia="Arial" w:hAnsi="Arial"/>
                  <w:sz w:val="13"/>
                  <w:szCs w:val="13"/>
                  <w:color w:val="0000EE"/>
                </w:rPr>
                <w:t>Introduction</w:t>
              </w:r>
            </w:hyperlink>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60" w:type="dxa"/>
            <w:vAlign w:val="bottom"/>
            <w:tcBorders>
              <w:bottom w:val="single" w:sz="8" w:color="0000EE"/>
            </w:tcBorders>
            <w:gridSpan w:val="22"/>
          </w:tcPr>
          <w:p>
            <w:pPr>
              <w:spacing w:after="0"/>
              <w:rPr>
                <w:rFonts w:ascii="Arial" w:cs="Arial" w:eastAsia="Arial" w:hAnsi="Arial"/>
                <w:sz w:val="13"/>
                <w:szCs w:val="13"/>
                <w:color w:val="0000EE"/>
                <w:w w:val="99"/>
              </w:rPr>
            </w:pPr>
            <w:hyperlink w:anchor="page57">
              <w:r>
                <w:rPr>
                  <w:rFonts w:ascii="Arial" w:cs="Arial" w:eastAsia="Arial" w:hAnsi="Arial"/>
                  <w:sz w:val="13"/>
                  <w:szCs w:val="13"/>
                  <w:color w:val="0000EE"/>
                  <w:w w:val="99"/>
                </w:rPr>
                <w:t>Information about Fees Paid to Independent Registered Public Accounting Firm</w:t>
              </w:r>
            </w:hyperlink>
          </w:p>
        </w:tc>
        <w:tc>
          <w:tcPr>
            <w:tcW w:w="1780" w:type="dxa"/>
            <w:vAlign w:val="bottom"/>
            <w:gridSpan w:val="3"/>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Borders>
              <w:bottom w:val="single" w:sz="8" w:color="0000EE"/>
            </w:tcBorders>
            <w:gridSpan w:val="8"/>
          </w:tcPr>
          <w:p>
            <w:pPr>
              <w:spacing w:after="0"/>
              <w:rPr>
                <w:rFonts w:ascii="Arial" w:cs="Arial" w:eastAsia="Arial" w:hAnsi="Arial"/>
                <w:sz w:val="13"/>
                <w:szCs w:val="13"/>
                <w:color w:val="0000EE"/>
                <w:w w:val="98"/>
              </w:rPr>
            </w:pPr>
            <w:hyperlink w:anchor="page58">
              <w:r>
                <w:rPr>
                  <w:rFonts w:ascii="Arial" w:cs="Arial" w:eastAsia="Arial" w:hAnsi="Arial"/>
                  <w:sz w:val="13"/>
                  <w:szCs w:val="13"/>
                  <w:color w:val="0000EE"/>
                  <w:w w:val="98"/>
                </w:rPr>
                <w:t>Audit Committee Report</w:t>
              </w:r>
            </w:hyperlink>
          </w:p>
        </w:tc>
        <w:tc>
          <w:tcPr>
            <w:tcW w:w="4940" w:type="dxa"/>
            <w:vAlign w:val="bottom"/>
            <w:gridSpan w:val="17"/>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3540" w:type="dxa"/>
            <w:vAlign w:val="bottom"/>
          </w:tcPr>
          <w:p>
            <w:pPr>
              <w:spacing w:after="0"/>
              <w:rPr>
                <w:sz w:val="24"/>
                <w:szCs w:val="24"/>
                <w:color w:val="auto"/>
              </w:rPr>
            </w:pPr>
          </w:p>
        </w:tc>
        <w:tc>
          <w:tcPr>
            <w:tcW w:w="6600" w:type="dxa"/>
            <w:vAlign w:val="bottom"/>
            <w:gridSpan w:val="27"/>
          </w:tcPr>
          <w:p>
            <w:pPr>
              <w:spacing w:after="0"/>
              <w:rPr>
                <w:rFonts w:ascii="Arial" w:cs="Arial" w:eastAsia="Arial" w:hAnsi="Arial"/>
                <w:sz w:val="21"/>
                <w:szCs w:val="21"/>
                <w:b w:val="1"/>
                <w:bCs w:val="1"/>
                <w:color w:val="0000EE"/>
              </w:rPr>
            </w:pPr>
            <w:hyperlink w:anchor="page59">
              <w:r>
                <w:rPr>
                  <w:rFonts w:ascii="Arial" w:cs="Arial" w:eastAsia="Arial" w:hAnsi="Arial"/>
                  <w:sz w:val="21"/>
                  <w:szCs w:val="21"/>
                  <w:b w:val="1"/>
                  <w:bCs w:val="1"/>
                  <w:color w:val="0000EE"/>
                </w:rPr>
                <w:t>PROPOSAL NO. 2</w:t>
              </w:r>
            </w:hyperlink>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540" w:type="dxa"/>
            <w:vAlign w:val="bottom"/>
          </w:tcPr>
          <w:p>
            <w:pPr>
              <w:spacing w:after="0"/>
              <w:rPr>
                <w:sz w:val="21"/>
                <w:szCs w:val="21"/>
                <w:color w:val="auto"/>
              </w:rPr>
            </w:pPr>
          </w:p>
        </w:tc>
        <w:tc>
          <w:tcPr>
            <w:tcW w:w="1760" w:type="dxa"/>
            <w:vAlign w:val="bottom"/>
            <w:tcBorders>
              <w:top w:val="single" w:sz="8" w:color="0000EE"/>
            </w:tcBorders>
            <w:gridSpan w:val="11"/>
          </w:tcPr>
          <w:p>
            <w:pPr>
              <w:spacing w:after="0" w:line="252" w:lineRule="exact"/>
              <w:rPr>
                <w:rFonts w:ascii="Arial" w:cs="Arial" w:eastAsia="Arial" w:hAnsi="Arial"/>
                <w:sz w:val="24"/>
                <w:szCs w:val="24"/>
                <w:b w:val="1"/>
                <w:bCs w:val="1"/>
                <w:color w:val="0000EE"/>
              </w:rPr>
            </w:pPr>
            <w:hyperlink w:anchor="page59">
              <w:r>
                <w:rPr>
                  <w:rFonts w:ascii="Arial" w:cs="Arial" w:eastAsia="Arial" w:hAnsi="Arial"/>
                  <w:sz w:val="24"/>
                  <w:szCs w:val="24"/>
                  <w:b w:val="1"/>
                  <w:bCs w:val="1"/>
                  <w:color w:val="0000EE"/>
                </w:rPr>
                <w:t>RATIFICATION</w:t>
              </w:r>
            </w:hyperlink>
          </w:p>
        </w:tc>
        <w:tc>
          <w:tcPr>
            <w:tcW w:w="4840" w:type="dxa"/>
            <w:vAlign w:val="bottom"/>
            <w:gridSpan w:val="16"/>
          </w:tcPr>
          <w:p>
            <w:pPr>
              <w:spacing w:after="0" w:line="252" w:lineRule="exact"/>
              <w:rPr>
                <w:rFonts w:ascii="Arial" w:cs="Arial" w:eastAsia="Arial" w:hAnsi="Arial"/>
                <w:sz w:val="24"/>
                <w:szCs w:val="24"/>
                <w:b w:val="1"/>
                <w:bCs w:val="1"/>
                <w:color w:val="0000EE"/>
              </w:rPr>
            </w:pPr>
            <w:hyperlink w:anchor="page59">
              <w:r>
                <w:rPr>
                  <w:rFonts w:ascii="Arial" w:cs="Arial" w:eastAsia="Arial" w:hAnsi="Arial"/>
                  <w:sz w:val="24"/>
                  <w:szCs w:val="24"/>
                  <w:b w:val="1"/>
                  <w:bCs w:val="1"/>
                  <w:color w:val="0000EE"/>
                </w:rPr>
                <w:t>OF APPOINTMENT OF INDEPENDENT</w:t>
              </w:r>
            </w:hyperlink>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540" w:type="dxa"/>
            <w:vAlign w:val="bottom"/>
          </w:tcPr>
          <w:p>
            <w:pPr>
              <w:spacing w:after="0"/>
              <w:rPr>
                <w:sz w:val="23"/>
                <w:szCs w:val="23"/>
                <w:color w:val="auto"/>
              </w:rPr>
            </w:pPr>
          </w:p>
        </w:tc>
        <w:tc>
          <w:tcPr>
            <w:tcW w:w="6100" w:type="dxa"/>
            <w:vAlign w:val="bottom"/>
            <w:tcBorders>
              <w:top w:val="single" w:sz="8" w:color="0000EE"/>
            </w:tcBorders>
            <w:gridSpan w:val="26"/>
          </w:tcPr>
          <w:p>
            <w:pPr>
              <w:spacing w:after="0" w:line="266" w:lineRule="exact"/>
              <w:rPr>
                <w:rFonts w:ascii="Arial" w:cs="Arial" w:eastAsia="Arial" w:hAnsi="Arial"/>
                <w:sz w:val="24"/>
                <w:szCs w:val="24"/>
                <w:b w:val="1"/>
                <w:bCs w:val="1"/>
                <w:color w:val="0000EE"/>
              </w:rPr>
            </w:pPr>
            <w:hyperlink w:anchor="page59">
              <w:r>
                <w:rPr>
                  <w:rFonts w:ascii="Arial" w:cs="Arial" w:eastAsia="Arial" w:hAnsi="Arial"/>
                  <w:sz w:val="24"/>
                  <w:szCs w:val="24"/>
                  <w:b w:val="1"/>
                  <w:bCs w:val="1"/>
                  <w:color w:val="0000EE"/>
                </w:rPr>
                <w:t>REGISTERED PUBLIC ACCOUNTING FIRM</w:t>
              </w:r>
            </w:hyperlink>
          </w:p>
        </w:tc>
        <w:tc>
          <w:tcPr>
            <w:tcW w:w="500" w:type="dxa"/>
            <w:vAlign w:val="bottom"/>
          </w:tcPr>
          <w:p>
            <w:pPr>
              <w:spacing w:after="0"/>
              <w:rPr>
                <w:sz w:val="23"/>
                <w:szCs w:val="23"/>
                <w:color w:val="auto"/>
              </w:rPr>
            </w:pPr>
          </w:p>
        </w:tc>
        <w:tc>
          <w:tcPr>
            <w:tcW w:w="780" w:type="dxa"/>
            <w:vAlign w:val="bottom"/>
          </w:tcPr>
          <w:p>
            <w:pPr>
              <w:jc w:val="right"/>
              <w:spacing w:after="0" w:line="266" w:lineRule="exact"/>
              <w:rPr>
                <w:sz w:val="20"/>
                <w:szCs w:val="20"/>
                <w:color w:val="auto"/>
              </w:rPr>
            </w:pPr>
            <w:r>
              <w:rPr>
                <w:rFonts w:ascii="Arial" w:cs="Arial" w:eastAsia="Arial" w:hAnsi="Arial"/>
                <w:sz w:val="24"/>
                <w:szCs w:val="24"/>
                <w:b w:val="1"/>
                <w:bCs w:val="1"/>
                <w:color w:val="205BA8"/>
              </w:rPr>
              <w:t>46</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3540" w:type="dxa"/>
            <w:vAlign w:val="bottom"/>
          </w:tcPr>
          <w:p>
            <w:pPr>
              <w:spacing w:after="0"/>
              <w:rPr>
                <w:sz w:val="2"/>
                <w:szCs w:val="2"/>
                <w:color w:val="auto"/>
              </w:rPr>
            </w:pPr>
          </w:p>
        </w:tc>
        <w:tc>
          <w:tcPr>
            <w:tcW w:w="8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320" w:type="dxa"/>
            <w:vAlign w:val="bottom"/>
            <w:tcBorders>
              <w:top w:val="single" w:sz="8" w:color="0000EE"/>
              <w:bottom w:val="single" w:sz="8" w:color="205BA8"/>
            </w:tcBorders>
          </w:tcPr>
          <w:p>
            <w:pPr>
              <w:spacing w:after="0"/>
              <w:rPr>
                <w:sz w:val="2"/>
                <w:szCs w:val="2"/>
                <w:color w:val="auto"/>
              </w:rPr>
            </w:pPr>
          </w:p>
        </w:tc>
        <w:tc>
          <w:tcPr>
            <w:tcW w:w="220" w:type="dxa"/>
            <w:vAlign w:val="bottom"/>
            <w:tcBorders>
              <w:top w:val="single" w:sz="8" w:color="0000EE"/>
              <w:bottom w:val="single" w:sz="8" w:color="205BA8"/>
            </w:tcBorders>
          </w:tcPr>
          <w:p>
            <w:pPr>
              <w:spacing w:after="0"/>
              <w:rPr>
                <w:sz w:val="2"/>
                <w:szCs w:val="2"/>
                <w:color w:val="auto"/>
              </w:rPr>
            </w:pPr>
          </w:p>
        </w:tc>
        <w:tc>
          <w:tcPr>
            <w:tcW w:w="100" w:type="dxa"/>
            <w:vAlign w:val="bottom"/>
            <w:tcBorders>
              <w:top w:val="single" w:sz="8" w:color="0000EE"/>
              <w:bottom w:val="single" w:sz="8" w:color="205BA8"/>
            </w:tcBorders>
          </w:tcPr>
          <w:p>
            <w:pPr>
              <w:spacing w:after="0"/>
              <w:rPr>
                <w:sz w:val="2"/>
                <w:szCs w:val="2"/>
                <w:color w:val="auto"/>
              </w:rPr>
            </w:pPr>
          </w:p>
        </w:tc>
        <w:tc>
          <w:tcPr>
            <w:tcW w:w="40" w:type="dxa"/>
            <w:vAlign w:val="bottom"/>
            <w:tcBorders>
              <w:top w:val="single" w:sz="8" w:color="0000EE"/>
              <w:bottom w:val="single" w:sz="8" w:color="205BA8"/>
            </w:tcBorders>
          </w:tcPr>
          <w:p>
            <w:pPr>
              <w:spacing w:after="0"/>
              <w:rPr>
                <w:sz w:val="2"/>
                <w:szCs w:val="2"/>
                <w:color w:val="auto"/>
              </w:rPr>
            </w:pPr>
          </w:p>
        </w:tc>
        <w:tc>
          <w:tcPr>
            <w:tcW w:w="160" w:type="dxa"/>
            <w:vAlign w:val="bottom"/>
            <w:tcBorders>
              <w:top w:val="single" w:sz="8" w:color="0000EE"/>
              <w:bottom w:val="single" w:sz="8" w:color="205BA8"/>
            </w:tcBorders>
          </w:tcPr>
          <w:p>
            <w:pPr>
              <w:spacing w:after="0"/>
              <w:rPr>
                <w:sz w:val="2"/>
                <w:szCs w:val="2"/>
                <w:color w:val="auto"/>
              </w:rPr>
            </w:pPr>
          </w:p>
        </w:tc>
        <w:tc>
          <w:tcPr>
            <w:tcW w:w="60" w:type="dxa"/>
            <w:vAlign w:val="bottom"/>
            <w:tcBorders>
              <w:top w:val="single" w:sz="8" w:color="0000EE"/>
              <w:bottom w:val="single" w:sz="8" w:color="205BA8"/>
            </w:tcBorders>
          </w:tcPr>
          <w:p>
            <w:pPr>
              <w:spacing w:after="0"/>
              <w:rPr>
                <w:sz w:val="2"/>
                <w:szCs w:val="2"/>
                <w:color w:val="auto"/>
              </w:rPr>
            </w:pPr>
          </w:p>
        </w:tc>
        <w:tc>
          <w:tcPr>
            <w:tcW w:w="32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100" w:type="dxa"/>
            <w:vAlign w:val="bottom"/>
            <w:tcBorders>
              <w:top w:val="single" w:sz="8" w:color="0000EE"/>
              <w:bottom w:val="single" w:sz="8" w:color="205BA8"/>
            </w:tcBorders>
          </w:tcPr>
          <w:p>
            <w:pPr>
              <w:spacing w:after="0"/>
              <w:rPr>
                <w:sz w:val="2"/>
                <w:szCs w:val="2"/>
                <w:color w:val="auto"/>
              </w:rPr>
            </w:pPr>
          </w:p>
        </w:tc>
        <w:tc>
          <w:tcPr>
            <w:tcW w:w="2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40" w:type="dxa"/>
            <w:vAlign w:val="bottom"/>
            <w:tcBorders>
              <w:top w:val="single" w:sz="8" w:color="0000EE"/>
              <w:bottom w:val="single" w:sz="8" w:color="205BA8"/>
            </w:tcBorders>
          </w:tcPr>
          <w:p>
            <w:pPr>
              <w:spacing w:after="0"/>
              <w:rPr>
                <w:sz w:val="2"/>
                <w:szCs w:val="2"/>
                <w:color w:val="auto"/>
              </w:rPr>
            </w:pPr>
          </w:p>
        </w:tc>
        <w:tc>
          <w:tcPr>
            <w:tcW w:w="220" w:type="dxa"/>
            <w:vAlign w:val="bottom"/>
            <w:tcBorders>
              <w:top w:val="single" w:sz="8" w:color="0000EE"/>
              <w:bottom w:val="single" w:sz="8" w:color="205BA8"/>
            </w:tcBorders>
          </w:tcPr>
          <w:p>
            <w:pPr>
              <w:spacing w:after="0"/>
              <w:rPr>
                <w:sz w:val="2"/>
                <w:szCs w:val="2"/>
                <w:color w:val="auto"/>
              </w:rPr>
            </w:pPr>
          </w:p>
        </w:tc>
        <w:tc>
          <w:tcPr>
            <w:tcW w:w="40" w:type="dxa"/>
            <w:vAlign w:val="bottom"/>
            <w:tcBorders>
              <w:top w:val="single" w:sz="8" w:color="0000EE"/>
              <w:bottom w:val="single" w:sz="8" w:color="205BA8"/>
            </w:tcBorders>
          </w:tcPr>
          <w:p>
            <w:pPr>
              <w:spacing w:after="0"/>
              <w:rPr>
                <w:sz w:val="2"/>
                <w:szCs w:val="2"/>
                <w:color w:val="auto"/>
              </w:rPr>
            </w:pPr>
          </w:p>
        </w:tc>
        <w:tc>
          <w:tcPr>
            <w:tcW w:w="760" w:type="dxa"/>
            <w:vAlign w:val="bottom"/>
            <w:tcBorders>
              <w:top w:val="single" w:sz="8" w:color="0000EE"/>
              <w:bottom w:val="single" w:sz="8" w:color="205BA8"/>
            </w:tcBorders>
          </w:tcPr>
          <w:p>
            <w:pPr>
              <w:spacing w:after="0"/>
              <w:rPr>
                <w:sz w:val="2"/>
                <w:szCs w:val="2"/>
                <w:color w:val="auto"/>
              </w:rPr>
            </w:pPr>
          </w:p>
        </w:tc>
        <w:tc>
          <w:tcPr>
            <w:tcW w:w="20" w:type="dxa"/>
            <w:vAlign w:val="bottom"/>
            <w:tcBorders>
              <w:top w:val="single" w:sz="8" w:color="0000EE"/>
              <w:bottom w:val="single" w:sz="8" w:color="205BA8"/>
            </w:tcBorders>
          </w:tcPr>
          <w:p>
            <w:pPr>
              <w:spacing w:after="0"/>
              <w:rPr>
                <w:sz w:val="2"/>
                <w:szCs w:val="2"/>
                <w:color w:val="auto"/>
              </w:rPr>
            </w:pPr>
          </w:p>
        </w:tc>
        <w:tc>
          <w:tcPr>
            <w:tcW w:w="80" w:type="dxa"/>
            <w:vAlign w:val="bottom"/>
            <w:tcBorders>
              <w:top w:val="single" w:sz="8" w:color="0000EE"/>
              <w:bottom w:val="single" w:sz="8" w:color="205BA8"/>
            </w:tcBorders>
          </w:tcPr>
          <w:p>
            <w:pPr>
              <w:spacing w:after="0"/>
              <w:rPr>
                <w:sz w:val="2"/>
                <w:szCs w:val="2"/>
                <w:color w:val="auto"/>
              </w:rPr>
            </w:pPr>
          </w:p>
        </w:tc>
        <w:tc>
          <w:tcPr>
            <w:tcW w:w="280" w:type="dxa"/>
            <w:vAlign w:val="bottom"/>
            <w:tcBorders>
              <w:top w:val="single" w:sz="8" w:color="0000EE"/>
              <w:bottom w:val="single" w:sz="8" w:color="205BA8"/>
            </w:tcBorders>
          </w:tcPr>
          <w:p>
            <w:pPr>
              <w:spacing w:after="0"/>
              <w:rPr>
                <w:sz w:val="2"/>
                <w:szCs w:val="2"/>
                <w:color w:val="auto"/>
              </w:rPr>
            </w:pPr>
          </w:p>
        </w:tc>
        <w:tc>
          <w:tcPr>
            <w:tcW w:w="260" w:type="dxa"/>
            <w:vAlign w:val="bottom"/>
            <w:tcBorders>
              <w:top w:val="single" w:sz="8" w:color="0000EE"/>
              <w:bottom w:val="single" w:sz="8" w:color="205BA8"/>
            </w:tcBorders>
          </w:tcPr>
          <w:p>
            <w:pPr>
              <w:spacing w:after="0"/>
              <w:rPr>
                <w:sz w:val="2"/>
                <w:szCs w:val="2"/>
                <w:color w:val="auto"/>
              </w:rPr>
            </w:pPr>
          </w:p>
        </w:tc>
        <w:tc>
          <w:tcPr>
            <w:tcW w:w="440" w:type="dxa"/>
            <w:vAlign w:val="bottom"/>
            <w:tcBorders>
              <w:top w:val="single" w:sz="8" w:color="0000EE"/>
              <w:bottom w:val="single" w:sz="8" w:color="205BA8"/>
            </w:tcBorders>
          </w:tcPr>
          <w:p>
            <w:pPr>
              <w:spacing w:after="0"/>
              <w:rPr>
                <w:sz w:val="2"/>
                <w:szCs w:val="2"/>
                <w:color w:val="auto"/>
              </w:rPr>
            </w:pPr>
          </w:p>
        </w:tc>
        <w:tc>
          <w:tcPr>
            <w:tcW w:w="200" w:type="dxa"/>
            <w:vAlign w:val="bottom"/>
            <w:tcBorders>
              <w:top w:val="single" w:sz="8" w:color="0000EE"/>
              <w:bottom w:val="single" w:sz="8" w:color="205BA8"/>
            </w:tcBorders>
          </w:tcPr>
          <w:p>
            <w:pPr>
              <w:spacing w:after="0"/>
              <w:rPr>
                <w:sz w:val="2"/>
                <w:szCs w:val="2"/>
                <w:color w:val="auto"/>
              </w:rPr>
            </w:pPr>
          </w:p>
        </w:tc>
        <w:tc>
          <w:tcPr>
            <w:tcW w:w="520" w:type="dxa"/>
            <w:vAlign w:val="bottom"/>
            <w:tcBorders>
              <w:top w:val="single" w:sz="8" w:color="0000EE"/>
              <w:bottom w:val="single" w:sz="8" w:color="205BA8"/>
            </w:tcBorders>
          </w:tcPr>
          <w:p>
            <w:pPr>
              <w:spacing w:after="0"/>
              <w:rPr>
                <w:sz w:val="2"/>
                <w:szCs w:val="2"/>
                <w:color w:val="auto"/>
              </w:rPr>
            </w:pPr>
          </w:p>
        </w:tc>
        <w:tc>
          <w:tcPr>
            <w:tcW w:w="80" w:type="dxa"/>
            <w:vAlign w:val="bottom"/>
            <w:tcBorders>
              <w:top w:val="single" w:sz="8" w:color="0000EE"/>
              <w:bottom w:val="single" w:sz="8" w:color="205BA8"/>
            </w:tcBorders>
          </w:tcPr>
          <w:p>
            <w:pPr>
              <w:spacing w:after="0"/>
              <w:rPr>
                <w:sz w:val="2"/>
                <w:szCs w:val="2"/>
                <w:color w:val="auto"/>
              </w:rPr>
            </w:pPr>
          </w:p>
        </w:tc>
        <w:tc>
          <w:tcPr>
            <w:tcW w:w="1200" w:type="dxa"/>
            <w:vAlign w:val="bottom"/>
            <w:tcBorders>
              <w:bottom w:val="single" w:sz="8" w:color="205BA8"/>
            </w:tcBorders>
          </w:tcPr>
          <w:p>
            <w:pPr>
              <w:spacing w:after="0"/>
              <w:rPr>
                <w:sz w:val="2"/>
                <w:szCs w:val="2"/>
                <w:color w:val="auto"/>
              </w:rPr>
            </w:pPr>
          </w:p>
        </w:tc>
        <w:tc>
          <w:tcPr>
            <w:tcW w:w="500" w:type="dxa"/>
            <w:vAlign w:val="bottom"/>
            <w:tcBorders>
              <w:bottom w:val="single" w:sz="8" w:color="205BA8"/>
            </w:tcBorders>
          </w:tcPr>
          <w:p>
            <w:pPr>
              <w:spacing w:after="0"/>
              <w:rPr>
                <w:sz w:val="2"/>
                <w:szCs w:val="2"/>
                <w:color w:val="auto"/>
              </w:rPr>
            </w:pPr>
          </w:p>
        </w:tc>
        <w:tc>
          <w:tcPr>
            <w:tcW w:w="780" w:type="dxa"/>
            <w:vAlign w:val="bottom"/>
            <w:tcBorders>
              <w:bottom w:val="single" w:sz="8" w:color="205BA8"/>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3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520" w:type="dxa"/>
            <w:vAlign w:val="bottom"/>
            <w:gridSpan w:val="26"/>
          </w:tcPr>
          <w:p>
            <w:pPr>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Shareholders</w:t>
              </w:r>
            </w:hyperlink>
          </w:p>
        </w:tc>
        <w:tc>
          <w:tcPr>
            <w:tcW w:w="780" w:type="dxa"/>
            <w:vAlign w:val="bottom"/>
          </w:tcPr>
          <w:p>
            <w:pPr>
              <w:jc w:val="right"/>
              <w:spacing w:after="0"/>
              <w:rPr>
                <w:sz w:val="20"/>
                <w:szCs w:val="20"/>
                <w:color w:val="auto"/>
              </w:rPr>
            </w:pPr>
            <w:r>
              <w:rPr>
                <w:rFonts w:ascii="Arial" w:cs="Arial" w:eastAsia="Arial" w:hAnsi="Arial"/>
                <w:sz w:val="13"/>
                <w:szCs w:val="13"/>
                <w:b w:val="1"/>
                <w:bCs w:val="1"/>
                <w:color w:val="205BA8"/>
              </w:rPr>
              <w:t>47</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40" w:type="dxa"/>
            <w:vAlign w:val="bottom"/>
            <w:gridSpan w:val="25"/>
          </w:tcPr>
          <w:p>
            <w:pPr>
              <w:spacing w:after="0"/>
              <w:rPr>
                <w:rFonts w:ascii="Arial" w:cs="Arial" w:eastAsia="Arial" w:hAnsi="Arial"/>
                <w:sz w:val="13"/>
                <w:szCs w:val="13"/>
                <w:color w:val="0000EE"/>
              </w:rPr>
            </w:pPr>
            <w:hyperlink w:anchor="page60">
              <w:r>
                <w:rPr>
                  <w:rFonts w:ascii="Arial" w:cs="Arial" w:eastAsia="Arial" w:hAnsi="Arial"/>
                  <w:sz w:val="13"/>
                  <w:szCs w:val="13"/>
                  <w:color w:val="0000EE"/>
                </w:rPr>
                <w:t>Security Ownership of Certain Beneficial Owners and Management</w:t>
              </w:r>
            </w:hyperlink>
          </w:p>
        </w:tc>
        <w:tc>
          <w:tcPr>
            <w:tcW w:w="780" w:type="dxa"/>
            <w:vAlign w:val="bottom"/>
          </w:tcPr>
          <w:p>
            <w:pPr>
              <w:jc w:val="right"/>
              <w:spacing w:after="0"/>
              <w:rPr>
                <w:sz w:val="20"/>
                <w:szCs w:val="20"/>
                <w:color w:val="auto"/>
              </w:rPr>
            </w:pPr>
            <w:r>
              <w:rPr>
                <w:rFonts w:ascii="Arial" w:cs="Arial" w:eastAsia="Arial" w:hAnsi="Arial"/>
                <w:sz w:val="13"/>
                <w:szCs w:val="13"/>
                <w:color w:val="auto"/>
              </w:rPr>
              <w:t>47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40" w:type="dxa"/>
            <w:vAlign w:val="bottom"/>
            <w:tcBorders>
              <w:top w:val="single" w:sz="8" w:color="0000EE"/>
            </w:tcBorders>
            <w:gridSpan w:val="20"/>
          </w:tcPr>
          <w:p>
            <w:pPr>
              <w:spacing w:after="0"/>
              <w:rPr>
                <w:rFonts w:ascii="Arial" w:cs="Arial" w:eastAsia="Arial" w:hAnsi="Arial"/>
                <w:sz w:val="13"/>
                <w:szCs w:val="13"/>
                <w:color w:val="0000EE"/>
              </w:rPr>
            </w:pPr>
            <w:hyperlink w:anchor="page63">
              <w:r>
                <w:rPr>
                  <w:rFonts w:ascii="Arial" w:cs="Arial" w:eastAsia="Arial" w:hAnsi="Arial"/>
                  <w:sz w:val="13"/>
                  <w:szCs w:val="13"/>
                  <w:color w:val="0000EE"/>
                </w:rPr>
                <w:t>Shareholder Communications</w:t>
              </w:r>
            </w:hyperlink>
          </w:p>
        </w:tc>
        <w:tc>
          <w:tcPr>
            <w:tcW w:w="2500" w:type="dxa"/>
            <w:vAlign w:val="bottom"/>
            <w:gridSpan w:val="5"/>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Borders>
              <w:bottom w:val="single" w:sz="8" w:color="0000EE"/>
            </w:tcBorders>
            <w:gridSpan w:val="13"/>
          </w:tcPr>
          <w:p>
            <w:pPr>
              <w:spacing w:after="0"/>
              <w:rPr>
                <w:rFonts w:ascii="Arial" w:cs="Arial" w:eastAsia="Arial" w:hAnsi="Arial"/>
                <w:sz w:val="13"/>
                <w:szCs w:val="13"/>
                <w:b w:val="1"/>
                <w:bCs w:val="1"/>
                <w:color w:val="0000EE"/>
                <w:w w:val="99"/>
              </w:rPr>
            </w:pPr>
            <w:hyperlink w:anchor="page64">
              <w:r>
                <w:rPr>
                  <w:rFonts w:ascii="Arial" w:cs="Arial" w:eastAsia="Arial" w:hAnsi="Arial"/>
                  <w:sz w:val="13"/>
                  <w:szCs w:val="13"/>
                  <w:b w:val="1"/>
                  <w:bCs w:val="1"/>
                  <w:color w:val="0000EE"/>
                  <w:w w:val="99"/>
                </w:rPr>
                <w:t>Compensation-Related Matters</w:t>
              </w:r>
            </w:hyperlink>
          </w:p>
        </w:tc>
        <w:tc>
          <w:tcPr>
            <w:tcW w:w="4600" w:type="dxa"/>
            <w:vAlign w:val="bottom"/>
            <w:gridSpan w:val="13"/>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05BA8"/>
              </w:rPr>
              <w:t>51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520" w:type="dxa"/>
            <w:vAlign w:val="bottom"/>
            <w:gridSpan w:val="26"/>
          </w:tcPr>
          <w:p>
            <w:pPr>
              <w:spacing w:after="0"/>
              <w:rPr>
                <w:rFonts w:ascii="Arial" w:cs="Arial" w:eastAsia="Arial" w:hAnsi="Arial"/>
                <w:sz w:val="13"/>
                <w:szCs w:val="13"/>
                <w:b w:val="1"/>
                <w:bCs w:val="1"/>
                <w:color w:val="0000EE"/>
              </w:rPr>
            </w:pPr>
            <w:hyperlink w:anchor="page64">
              <w:r>
                <w:rPr>
                  <w:rFonts w:ascii="Arial" w:cs="Arial" w:eastAsia="Arial" w:hAnsi="Arial"/>
                  <w:sz w:val="13"/>
                  <w:szCs w:val="13"/>
                  <w:b w:val="1"/>
                  <w:bCs w:val="1"/>
                  <w:color w:val="0000EE"/>
                </w:rPr>
                <w:t>Table of Contents</w:t>
              </w:r>
            </w:hyperlink>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0000EE"/>
              <w:bottom w:val="single" w:sz="8" w:color="0000EE"/>
            </w:tcBorders>
            <w:gridSpan w:val="4"/>
          </w:tcPr>
          <w:p>
            <w:pPr>
              <w:spacing w:after="0"/>
              <w:rPr>
                <w:rFonts w:ascii="Arial" w:cs="Arial" w:eastAsia="Arial" w:hAnsi="Arial"/>
                <w:sz w:val="13"/>
                <w:szCs w:val="13"/>
                <w:b w:val="1"/>
                <w:bCs w:val="1"/>
                <w:color w:val="0000EE"/>
              </w:rPr>
            </w:pPr>
            <w:hyperlink w:anchor="page65">
              <w:r>
                <w:rPr>
                  <w:rFonts w:ascii="Arial" w:cs="Arial" w:eastAsia="Arial" w:hAnsi="Arial"/>
                  <w:sz w:val="13"/>
                  <w:szCs w:val="13"/>
                  <w:b w:val="1"/>
                  <w:bCs w:val="1"/>
                  <w:color w:val="0000EE"/>
                </w:rPr>
                <w:t>Introduction</w:t>
              </w:r>
            </w:hyperlink>
          </w:p>
        </w:tc>
        <w:tc>
          <w:tcPr>
            <w:tcW w:w="260" w:type="dxa"/>
            <w:vAlign w:val="bottom"/>
            <w:tcBorders>
              <w:top w:val="single" w:sz="8" w:color="0000EE"/>
            </w:tcBorders>
            <w:gridSpan w:val="3"/>
          </w:tcPr>
          <w:p>
            <w:pPr>
              <w:spacing w:after="0"/>
              <w:rPr>
                <w:sz w:val="12"/>
                <w:szCs w:val="12"/>
                <w:color w:val="auto"/>
              </w:rPr>
            </w:pPr>
          </w:p>
        </w:tc>
        <w:tc>
          <w:tcPr>
            <w:tcW w:w="5440" w:type="dxa"/>
            <w:vAlign w:val="bottom"/>
            <w:gridSpan w:val="19"/>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40" w:type="dxa"/>
            <w:vAlign w:val="bottom"/>
            <w:gridSpan w:val="25"/>
          </w:tcPr>
          <w:p>
            <w:pPr>
              <w:spacing w:after="0"/>
              <w:rPr>
                <w:rFonts w:ascii="Arial" w:cs="Arial" w:eastAsia="Arial" w:hAnsi="Arial"/>
                <w:sz w:val="13"/>
                <w:szCs w:val="13"/>
                <w:color w:val="0000EE"/>
              </w:rPr>
            </w:pPr>
            <w:hyperlink w:anchor="page65">
              <w:r>
                <w:rPr>
                  <w:rFonts w:ascii="Arial" w:cs="Arial" w:eastAsia="Arial" w:hAnsi="Arial"/>
                  <w:sz w:val="13"/>
                  <w:szCs w:val="13"/>
                  <w:color w:val="0000EE"/>
                </w:rPr>
                <w:t>Regeneron’s Overall Approach to Compensation</w:t>
              </w:r>
            </w:hyperlink>
          </w:p>
        </w:tc>
        <w:tc>
          <w:tcPr>
            <w:tcW w:w="780" w:type="dxa"/>
            <w:vAlign w:val="bottom"/>
          </w:tcPr>
          <w:p>
            <w:pPr>
              <w:jc w:val="right"/>
              <w:spacing w:after="0"/>
              <w:rPr>
                <w:sz w:val="20"/>
                <w:szCs w:val="20"/>
                <w:color w:val="auto"/>
              </w:rPr>
            </w:pPr>
            <w:r>
              <w:rPr>
                <w:rFonts w:ascii="Arial" w:cs="Arial" w:eastAsia="Arial" w:hAnsi="Arial"/>
                <w:sz w:val="13"/>
                <w:szCs w:val="13"/>
                <w:color w:val="auto"/>
              </w:rPr>
              <w:t>52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gridSpan w:val="3"/>
          </w:tcPr>
          <w:p>
            <w:pPr>
              <w:spacing w:after="0" w:line="20" w:lineRule="exact"/>
              <w:rPr>
                <w:sz w:val="1"/>
                <w:szCs w:val="1"/>
                <w:color w:val="auto"/>
              </w:rPr>
            </w:pPr>
          </w:p>
        </w:tc>
        <w:tc>
          <w:tcPr>
            <w:tcW w:w="2780" w:type="dxa"/>
            <w:vAlign w:val="bottom"/>
            <w:gridSpan w:val="16"/>
            <w:shd w:val="clear" w:color="auto" w:fill="0000EE"/>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c>
          <w:tcPr>
            <w:tcW w:w="12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205BA8"/>
              </w:rPr>
              <w:t>/  i</w:t>
            </w:r>
          </w:p>
        </w:tc>
        <w:tc>
          <w:tcPr>
            <w:tcW w:w="0" w:type="dxa"/>
            <w:vAlign w:val="bottom"/>
          </w:tcPr>
          <w:p>
            <w:pPr>
              <w:spacing w:after="0" w:line="20" w:lineRule="exact"/>
              <w:rPr>
                <w:sz w:val="1"/>
                <w:szCs w:val="1"/>
                <w:color w:val="auto"/>
              </w:rPr>
            </w:pPr>
          </w:p>
        </w:tc>
      </w:tr>
      <w:tr>
        <w:trPr>
          <w:trHeight w:val="306"/>
        </w:trPr>
        <w:tc>
          <w:tcPr>
            <w:tcW w:w="10140" w:type="dxa"/>
            <w:vAlign w:val="bottom"/>
            <w:gridSpan w:val="28"/>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1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5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5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2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-280035</wp:posOffset>
            </wp:positionV>
            <wp:extent cx="717550" cy="82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12" w:name="page13"/>
    <w:bookmarkEnd w:id="12"/>
    <w:p>
      <w:pPr>
        <w:ind w:right="400"/>
        <w:spacing w:after="0" w:line="290" w:lineRule="auto"/>
        <w:rPr>
          <w:sz w:val="20"/>
          <w:szCs w:val="20"/>
          <w:color w:val="auto"/>
        </w:rPr>
      </w:pPr>
      <w:r>
        <w:rPr>
          <w:rFonts w:ascii="Arial" w:cs="Arial" w:eastAsia="Arial" w:hAnsi="Arial"/>
          <w:sz w:val="34"/>
          <w:szCs w:val="34"/>
          <w:b w:val="1"/>
          <w:bCs w:val="1"/>
          <w:color w:val="D61C5A"/>
        </w:rPr>
        <w:drawing>
          <wp:anchor simplePos="0" relativeHeight="251657728" behindDoc="1" locked="0" layoutInCell="0" allowOverlap="1">
            <wp:simplePos x="0" y="0"/>
            <wp:positionH relativeFrom="page">
              <wp:posOffset>485140</wp:posOffset>
            </wp:positionH>
            <wp:positionV relativeFrom="page">
              <wp:posOffset>534670</wp:posOffset>
            </wp:positionV>
            <wp:extent cx="1649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49730" cy="825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-94615</wp:posOffset>
            </wp:positionV>
            <wp:extent cx="717550" cy="82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6420" w:type="dxa"/>
            <w:vAlign w:val="bottom"/>
            <w:gridSpan w:val="33"/>
          </w:tcPr>
          <w:p>
            <w:pPr>
              <w:spacing w:after="0"/>
              <w:rPr>
                <w:rFonts w:ascii="Arial" w:cs="Arial" w:eastAsia="Arial" w:hAnsi="Arial"/>
                <w:sz w:val="15"/>
                <w:szCs w:val="15"/>
                <w:b w:val="1"/>
                <w:bCs w:val="1"/>
                <w:color w:val="0000EE"/>
              </w:rPr>
            </w:pPr>
            <w:hyperlink w:anchor="page72">
              <w:r>
                <w:rPr>
                  <w:rFonts w:ascii="Arial" w:cs="Arial" w:eastAsia="Arial" w:hAnsi="Arial"/>
                  <w:sz w:val="15"/>
                  <w:szCs w:val="15"/>
                  <w:b w:val="1"/>
                  <w:bCs w:val="1"/>
                  <w:color w:val="0000EE"/>
                </w:rPr>
                <w:t>Compensation Discussion and Analysis</w:t>
              </w:r>
            </w:hyperlink>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59</w:t>
            </w: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6420" w:type="dxa"/>
            <w:vAlign w:val="bottom"/>
            <w:gridSpan w:val="33"/>
          </w:tcPr>
          <w:p>
            <w:pPr>
              <w:spacing w:after="0" w:line="162" w:lineRule="exact"/>
              <w:rPr>
                <w:rFonts w:ascii="Arial" w:cs="Arial" w:eastAsia="Arial" w:hAnsi="Arial"/>
                <w:sz w:val="15"/>
                <w:szCs w:val="15"/>
                <w:b w:val="1"/>
                <w:bCs w:val="1"/>
                <w:color w:val="0000EE"/>
              </w:rPr>
            </w:pPr>
            <w:hyperlink w:anchor="page72">
              <w:r>
                <w:rPr>
                  <w:rFonts w:ascii="Arial" w:cs="Arial" w:eastAsia="Arial" w:hAnsi="Arial"/>
                  <w:sz w:val="15"/>
                  <w:szCs w:val="15"/>
                  <w:b w:val="1"/>
                  <w:bCs w:val="1"/>
                  <w:color w:val="0000EE"/>
                </w:rPr>
                <w:t>Our Compensation Philosophy and Objectives</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205BA8"/>
              </w:rPr>
              <w:t>59</w:t>
            </w:r>
          </w:p>
        </w:tc>
      </w:tr>
      <w:tr>
        <w:trPr>
          <w:trHeight w:val="162"/>
        </w:trPr>
        <w:tc>
          <w:tcPr>
            <w:tcW w:w="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020" w:type="dxa"/>
            <w:vAlign w:val="bottom"/>
            <w:tcBorders>
              <w:top w:val="single" w:sz="8" w:color="0000EE"/>
            </w:tcBorders>
            <w:gridSpan w:val="26"/>
          </w:tcPr>
          <w:p>
            <w:pPr>
              <w:spacing w:after="0" w:line="162" w:lineRule="exact"/>
              <w:rPr>
                <w:rFonts w:ascii="Arial" w:cs="Arial" w:eastAsia="Arial" w:hAnsi="Arial"/>
                <w:sz w:val="15"/>
                <w:szCs w:val="15"/>
                <w:color w:val="0000EE"/>
              </w:rPr>
            </w:pPr>
            <w:hyperlink w:anchor="page72">
              <w:r>
                <w:rPr>
                  <w:rFonts w:ascii="Arial" w:cs="Arial" w:eastAsia="Arial" w:hAnsi="Arial"/>
                  <w:sz w:val="15"/>
                  <w:szCs w:val="15"/>
                  <w:color w:val="0000EE"/>
                </w:rPr>
                <w:t>Driving Innovation and Balancing Dilution</w:t>
              </w:r>
            </w:hyperlink>
          </w:p>
        </w:tc>
        <w:tc>
          <w:tcPr>
            <w:tcW w:w="3220" w:type="dxa"/>
            <w:vAlign w:val="bottom"/>
            <w:gridSpan w:val="6"/>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59</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Borders>
              <w:top w:val="single" w:sz="8" w:color="0000EE"/>
              <w:bottom w:val="single" w:sz="8" w:color="0000EE"/>
            </w:tcBorders>
            <w:gridSpan w:val="18"/>
          </w:tcPr>
          <w:p>
            <w:pPr>
              <w:spacing w:after="0" w:line="162" w:lineRule="exact"/>
              <w:rPr>
                <w:rFonts w:ascii="Arial" w:cs="Arial" w:eastAsia="Arial" w:hAnsi="Arial"/>
                <w:sz w:val="15"/>
                <w:szCs w:val="15"/>
                <w:color w:val="0000EE"/>
                <w:w w:val="96"/>
              </w:rPr>
            </w:pPr>
            <w:hyperlink w:anchor="page73">
              <w:r>
                <w:rPr>
                  <w:rFonts w:ascii="Arial" w:cs="Arial" w:eastAsia="Arial" w:hAnsi="Arial"/>
                  <w:sz w:val="15"/>
                  <w:szCs w:val="15"/>
                  <w:color w:val="0000EE"/>
                  <w:w w:val="96"/>
                </w:rPr>
                <w:t>Compensation Program Simplicity</w:t>
              </w:r>
            </w:hyperlink>
          </w:p>
        </w:tc>
        <w:tc>
          <w:tcPr>
            <w:tcW w:w="440" w:type="dxa"/>
            <w:vAlign w:val="bottom"/>
            <w:tcBorders>
              <w:top w:val="single" w:sz="8" w:color="0000EE"/>
            </w:tcBorders>
            <w:gridSpan w:val="7"/>
          </w:tcPr>
          <w:p>
            <w:pPr>
              <w:spacing w:after="0"/>
              <w:rPr>
                <w:sz w:val="14"/>
                <w:szCs w:val="14"/>
                <w:color w:val="auto"/>
              </w:rPr>
            </w:pPr>
          </w:p>
        </w:tc>
        <w:tc>
          <w:tcPr>
            <w:tcW w:w="3600" w:type="dxa"/>
            <w:vAlign w:val="bottom"/>
            <w:gridSpan w:val="7"/>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60</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Borders>
              <w:bottom w:val="single" w:sz="8" w:color="0000EE"/>
            </w:tcBorders>
            <w:gridSpan w:val="16"/>
          </w:tcPr>
          <w:p>
            <w:pPr>
              <w:spacing w:after="0" w:line="162" w:lineRule="exact"/>
              <w:rPr>
                <w:rFonts w:ascii="Arial" w:cs="Arial" w:eastAsia="Arial" w:hAnsi="Arial"/>
                <w:sz w:val="15"/>
                <w:szCs w:val="15"/>
                <w:color w:val="0000EE"/>
                <w:w w:val="96"/>
              </w:rPr>
            </w:pPr>
            <w:hyperlink w:anchor="page74">
              <w:r>
                <w:rPr>
                  <w:rFonts w:ascii="Arial" w:cs="Arial" w:eastAsia="Arial" w:hAnsi="Arial"/>
                  <w:sz w:val="15"/>
                  <w:szCs w:val="15"/>
                  <w:color w:val="0000EE"/>
                  <w:w w:val="96"/>
                </w:rPr>
                <w:t>At-Risk, Performance-Based Pay</w:t>
              </w:r>
            </w:hyperlink>
          </w:p>
        </w:tc>
        <w:tc>
          <w:tcPr>
            <w:tcW w:w="4100" w:type="dxa"/>
            <w:vAlign w:val="bottom"/>
            <w:gridSpan w:val="16"/>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61</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bottom w:val="single" w:sz="8" w:color="0000EE"/>
            </w:tcBorders>
            <w:gridSpan w:val="10"/>
          </w:tcPr>
          <w:p>
            <w:pPr>
              <w:spacing w:after="0" w:line="162" w:lineRule="exact"/>
              <w:rPr>
                <w:rFonts w:ascii="Arial" w:cs="Arial" w:eastAsia="Arial" w:hAnsi="Arial"/>
                <w:sz w:val="15"/>
                <w:szCs w:val="15"/>
                <w:color w:val="0000EE"/>
                <w:w w:val="94"/>
              </w:rPr>
            </w:pPr>
            <w:hyperlink w:anchor="page74">
              <w:r>
                <w:rPr>
                  <w:rFonts w:ascii="Arial" w:cs="Arial" w:eastAsia="Arial" w:hAnsi="Arial"/>
                  <w:sz w:val="15"/>
                  <w:szCs w:val="15"/>
                  <w:color w:val="0000EE"/>
                  <w:w w:val="94"/>
                </w:rPr>
                <w:t>Year-over-Year Consistency</w:t>
              </w:r>
            </w:hyperlink>
          </w:p>
        </w:tc>
        <w:tc>
          <w:tcPr>
            <w:tcW w:w="4440" w:type="dxa"/>
            <w:vAlign w:val="bottom"/>
            <w:gridSpan w:val="22"/>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61</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Borders>
              <w:bottom w:val="single" w:sz="8" w:color="0000EE"/>
            </w:tcBorders>
            <w:gridSpan w:val="27"/>
          </w:tcPr>
          <w:p>
            <w:pPr>
              <w:spacing w:after="0" w:line="162" w:lineRule="exact"/>
              <w:rPr>
                <w:rFonts w:ascii="Arial" w:cs="Arial" w:eastAsia="Arial" w:hAnsi="Arial"/>
                <w:sz w:val="15"/>
                <w:szCs w:val="15"/>
                <w:color w:val="0000EE"/>
                <w:w w:val="95"/>
              </w:rPr>
            </w:pPr>
            <w:hyperlink w:anchor="page74">
              <w:r>
                <w:rPr>
                  <w:rFonts w:ascii="Arial" w:cs="Arial" w:eastAsia="Arial" w:hAnsi="Arial"/>
                  <w:sz w:val="15"/>
                  <w:szCs w:val="15"/>
                  <w:color w:val="0000EE"/>
                  <w:w w:val="95"/>
                </w:rPr>
                <w:t>Linking Compensation to Long-Term Performance</w:t>
              </w:r>
            </w:hyperlink>
          </w:p>
        </w:tc>
        <w:tc>
          <w:tcPr>
            <w:tcW w:w="3040" w:type="dxa"/>
            <w:vAlign w:val="bottom"/>
            <w:gridSpan w:val="5"/>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61</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75">
              <w:r>
                <w:rPr>
                  <w:rFonts w:ascii="Arial" w:cs="Arial" w:eastAsia="Arial" w:hAnsi="Arial"/>
                  <w:sz w:val="15"/>
                  <w:szCs w:val="15"/>
                  <w:color w:val="0000EE"/>
                </w:rPr>
                <w:t>Use of Independent Expertise and Comparative Data</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62</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top w:val="single" w:sz="8" w:color="0000EE"/>
              <w:bottom w:val="single" w:sz="8" w:color="0000EE"/>
            </w:tcBorders>
            <w:gridSpan w:val="6"/>
          </w:tcPr>
          <w:p>
            <w:pPr>
              <w:spacing w:after="0" w:line="162" w:lineRule="exact"/>
              <w:rPr>
                <w:rFonts w:ascii="Arial" w:cs="Arial" w:eastAsia="Arial" w:hAnsi="Arial"/>
                <w:sz w:val="15"/>
                <w:szCs w:val="15"/>
                <w:color w:val="0000EE"/>
                <w:w w:val="95"/>
              </w:rPr>
            </w:pPr>
            <w:hyperlink w:anchor="page75">
              <w:r>
                <w:rPr>
                  <w:rFonts w:ascii="Arial" w:cs="Arial" w:eastAsia="Arial" w:hAnsi="Arial"/>
                  <w:sz w:val="15"/>
                  <w:szCs w:val="15"/>
                  <w:color w:val="0000EE"/>
                  <w:w w:val="95"/>
                </w:rPr>
                <w:t>Measurable Results</w:t>
              </w:r>
            </w:hyperlink>
          </w:p>
        </w:tc>
        <w:tc>
          <w:tcPr>
            <w:tcW w:w="2120" w:type="dxa"/>
            <w:vAlign w:val="bottom"/>
            <w:tcBorders>
              <w:top w:val="single" w:sz="8" w:color="0000EE"/>
            </w:tcBorders>
            <w:gridSpan w:val="23"/>
          </w:tcPr>
          <w:p>
            <w:pPr>
              <w:spacing w:after="0"/>
              <w:rPr>
                <w:sz w:val="14"/>
                <w:szCs w:val="14"/>
                <w:color w:val="auto"/>
              </w:rPr>
            </w:pPr>
          </w:p>
        </w:tc>
        <w:tc>
          <w:tcPr>
            <w:tcW w:w="2840" w:type="dxa"/>
            <w:vAlign w:val="bottom"/>
            <w:gridSpan w:val="3"/>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62</w:t>
            </w:r>
          </w:p>
        </w:tc>
      </w:tr>
      <w:tr>
        <w:trPr>
          <w:trHeight w:val="162"/>
        </w:trPr>
        <w:tc>
          <w:tcPr>
            <w:tcW w:w="80" w:type="dxa"/>
            <w:vAlign w:val="bottom"/>
          </w:tcPr>
          <w:p>
            <w:pPr>
              <w:spacing w:after="0"/>
              <w:rPr>
                <w:sz w:val="14"/>
                <w:szCs w:val="14"/>
                <w:color w:val="auto"/>
              </w:rPr>
            </w:pPr>
          </w:p>
        </w:tc>
        <w:tc>
          <w:tcPr>
            <w:tcW w:w="4420" w:type="dxa"/>
            <w:vAlign w:val="bottom"/>
            <w:tcBorders>
              <w:bottom w:val="single" w:sz="8" w:color="0000EE"/>
            </w:tcBorders>
            <w:gridSpan w:val="32"/>
          </w:tcPr>
          <w:p>
            <w:pPr>
              <w:spacing w:after="0" w:line="162" w:lineRule="exact"/>
              <w:rPr>
                <w:rFonts w:ascii="Arial" w:cs="Arial" w:eastAsia="Arial" w:hAnsi="Arial"/>
                <w:sz w:val="15"/>
                <w:szCs w:val="15"/>
                <w:b w:val="1"/>
                <w:bCs w:val="1"/>
                <w:color w:val="0000EE"/>
                <w:w w:val="96"/>
              </w:rPr>
            </w:pPr>
            <w:hyperlink w:anchor="page76">
              <w:r>
                <w:rPr>
                  <w:rFonts w:ascii="Arial" w:cs="Arial" w:eastAsia="Arial" w:hAnsi="Arial"/>
                  <w:sz w:val="15"/>
                  <w:szCs w:val="15"/>
                  <w:b w:val="1"/>
                  <w:bCs w:val="1"/>
                  <w:color w:val="0000EE"/>
                  <w:w w:val="96"/>
                </w:rPr>
                <w:t>Components of Executive Pay: What We Pay and Why We Pay It</w:t>
              </w:r>
            </w:hyperlink>
          </w:p>
        </w:tc>
        <w:tc>
          <w:tcPr>
            <w:tcW w:w="200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205BA8"/>
              </w:rPr>
              <w:t>63</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0000EE"/>
            </w:tcBorders>
            <w:gridSpan w:val="2"/>
          </w:tcPr>
          <w:p>
            <w:pPr>
              <w:spacing w:after="0" w:line="162" w:lineRule="exact"/>
              <w:rPr>
                <w:rFonts w:ascii="Arial" w:cs="Arial" w:eastAsia="Arial" w:hAnsi="Arial"/>
                <w:sz w:val="15"/>
                <w:szCs w:val="15"/>
                <w:color w:val="0000EE"/>
                <w:w w:val="93"/>
              </w:rPr>
            </w:pPr>
            <w:hyperlink w:anchor="page77">
              <w:r>
                <w:rPr>
                  <w:rFonts w:ascii="Arial" w:cs="Arial" w:eastAsia="Arial" w:hAnsi="Arial"/>
                  <w:sz w:val="15"/>
                  <w:szCs w:val="15"/>
                  <w:color w:val="0000EE"/>
                  <w:w w:val="93"/>
                </w:rPr>
                <w:t>Base Salary</w:t>
              </w:r>
            </w:hyperlink>
          </w:p>
        </w:tc>
        <w:tc>
          <w:tcPr>
            <w:tcW w:w="5460" w:type="dxa"/>
            <w:vAlign w:val="bottom"/>
            <w:gridSpan w:val="30"/>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77">
              <w:r>
                <w:rPr>
                  <w:rFonts w:ascii="Arial" w:cs="Arial" w:eastAsia="Arial" w:hAnsi="Arial"/>
                  <w:sz w:val="15"/>
                  <w:szCs w:val="15"/>
                  <w:color w:val="0000EE"/>
                </w:rPr>
                <w:t>Annual Cash Incentive</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top w:val="single" w:sz="8" w:color="0000EE"/>
              <w:bottom w:val="single" w:sz="8" w:color="0000EE"/>
            </w:tcBorders>
            <w:gridSpan w:val="7"/>
          </w:tcPr>
          <w:p>
            <w:pPr>
              <w:spacing w:after="0" w:line="162" w:lineRule="exact"/>
              <w:rPr>
                <w:rFonts w:ascii="Arial" w:cs="Arial" w:eastAsia="Arial" w:hAnsi="Arial"/>
                <w:sz w:val="15"/>
                <w:szCs w:val="15"/>
                <w:color w:val="0000EE"/>
                <w:w w:val="95"/>
              </w:rPr>
            </w:pPr>
            <w:hyperlink w:anchor="page80">
              <w:r>
                <w:rPr>
                  <w:rFonts w:ascii="Arial" w:cs="Arial" w:eastAsia="Arial" w:hAnsi="Arial"/>
                  <w:sz w:val="15"/>
                  <w:szCs w:val="15"/>
                  <w:color w:val="0000EE"/>
                  <w:w w:val="95"/>
                </w:rPr>
                <w:t>Annual Equity Awards</w:t>
              </w:r>
            </w:hyperlink>
          </w:p>
        </w:tc>
        <w:tc>
          <w:tcPr>
            <w:tcW w:w="20" w:type="dxa"/>
            <w:vAlign w:val="bottom"/>
            <w:tcBorders>
              <w:top w:val="single" w:sz="8" w:color="0000EE"/>
            </w:tcBorders>
          </w:tcPr>
          <w:p>
            <w:pPr>
              <w:spacing w:after="0"/>
              <w:rPr>
                <w:sz w:val="14"/>
                <w:szCs w:val="14"/>
                <w:color w:val="auto"/>
              </w:rPr>
            </w:pPr>
          </w:p>
        </w:tc>
        <w:tc>
          <w:tcPr>
            <w:tcW w:w="4800" w:type="dxa"/>
            <w:vAlign w:val="bottom"/>
            <w:gridSpan w:val="24"/>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67</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bottom w:val="single" w:sz="8" w:color="0000EE"/>
            </w:tcBorders>
            <w:gridSpan w:val="17"/>
          </w:tcPr>
          <w:p>
            <w:pPr>
              <w:spacing w:after="0" w:line="162" w:lineRule="exact"/>
              <w:rPr>
                <w:rFonts w:ascii="Arial" w:cs="Arial" w:eastAsia="Arial" w:hAnsi="Arial"/>
                <w:sz w:val="15"/>
                <w:szCs w:val="15"/>
                <w:color w:val="0000EE"/>
                <w:w w:val="95"/>
              </w:rPr>
            </w:pPr>
            <w:hyperlink w:anchor="page82">
              <w:r>
                <w:rPr>
                  <w:rFonts w:ascii="Arial" w:cs="Arial" w:eastAsia="Arial" w:hAnsi="Arial"/>
                  <w:sz w:val="15"/>
                  <w:szCs w:val="15"/>
                  <w:color w:val="0000EE"/>
                  <w:w w:val="95"/>
                </w:rPr>
                <w:t>Perquisites and Personal Benefits</w:t>
              </w:r>
            </w:hyperlink>
          </w:p>
        </w:tc>
        <w:tc>
          <w:tcPr>
            <w:tcW w:w="4060" w:type="dxa"/>
            <w:vAlign w:val="bottom"/>
            <w:gridSpan w:val="15"/>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69</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Borders>
              <w:bottom w:val="single" w:sz="8" w:color="0000EE"/>
            </w:tcBorders>
            <w:gridSpan w:val="13"/>
          </w:tcPr>
          <w:p>
            <w:pPr>
              <w:spacing w:after="0" w:line="162" w:lineRule="exact"/>
              <w:rPr>
                <w:rFonts w:ascii="Arial" w:cs="Arial" w:eastAsia="Arial" w:hAnsi="Arial"/>
                <w:sz w:val="15"/>
                <w:szCs w:val="15"/>
                <w:color w:val="0000EE"/>
                <w:w w:val="95"/>
              </w:rPr>
            </w:pPr>
            <w:hyperlink w:anchor="page82">
              <w:r>
                <w:rPr>
                  <w:rFonts w:ascii="Arial" w:cs="Arial" w:eastAsia="Arial" w:hAnsi="Arial"/>
                  <w:sz w:val="15"/>
                  <w:szCs w:val="15"/>
                  <w:color w:val="0000EE"/>
                  <w:w w:val="95"/>
                </w:rPr>
                <w:t>Potential Severance Payments</w:t>
              </w:r>
            </w:hyperlink>
          </w:p>
        </w:tc>
        <w:tc>
          <w:tcPr>
            <w:tcW w:w="4260" w:type="dxa"/>
            <w:vAlign w:val="bottom"/>
            <w:gridSpan w:val="19"/>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69</w:t>
            </w:r>
          </w:p>
        </w:tc>
      </w:tr>
      <w:tr>
        <w:trPr>
          <w:trHeight w:val="162"/>
        </w:trPr>
        <w:tc>
          <w:tcPr>
            <w:tcW w:w="80" w:type="dxa"/>
            <w:vAlign w:val="bottom"/>
          </w:tcPr>
          <w:p>
            <w:pPr>
              <w:spacing w:after="0"/>
              <w:rPr>
                <w:sz w:val="14"/>
                <w:szCs w:val="14"/>
                <w:color w:val="auto"/>
              </w:rPr>
            </w:pPr>
          </w:p>
        </w:tc>
        <w:tc>
          <w:tcPr>
            <w:tcW w:w="2080" w:type="dxa"/>
            <w:vAlign w:val="bottom"/>
            <w:tcBorders>
              <w:bottom w:val="single" w:sz="8" w:color="0000EE"/>
            </w:tcBorders>
            <w:gridSpan w:val="12"/>
          </w:tcPr>
          <w:p>
            <w:pPr>
              <w:spacing w:after="0" w:line="162" w:lineRule="exact"/>
              <w:rPr>
                <w:rFonts w:ascii="Arial" w:cs="Arial" w:eastAsia="Arial" w:hAnsi="Arial"/>
                <w:sz w:val="15"/>
                <w:szCs w:val="15"/>
                <w:b w:val="1"/>
                <w:bCs w:val="1"/>
                <w:color w:val="0000EE"/>
                <w:w w:val="96"/>
              </w:rPr>
            </w:pPr>
            <w:hyperlink w:anchor="page83">
              <w:r>
                <w:rPr>
                  <w:rFonts w:ascii="Arial" w:cs="Arial" w:eastAsia="Arial" w:hAnsi="Arial"/>
                  <w:sz w:val="15"/>
                  <w:szCs w:val="15"/>
                  <w:b w:val="1"/>
                  <w:bCs w:val="1"/>
                  <w:color w:val="0000EE"/>
                  <w:w w:val="96"/>
                </w:rPr>
                <w:t>Our Compensation Processes</w:t>
              </w:r>
            </w:hyperlink>
          </w:p>
        </w:tc>
        <w:tc>
          <w:tcPr>
            <w:tcW w:w="4340" w:type="dxa"/>
            <w:vAlign w:val="bottom"/>
            <w:gridSpan w:val="21"/>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205BA8"/>
              </w:rPr>
              <w:t>70</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Borders>
              <w:bottom w:val="single" w:sz="8" w:color="0000EE"/>
            </w:tcBorders>
            <w:gridSpan w:val="12"/>
          </w:tcPr>
          <w:p>
            <w:pPr>
              <w:spacing w:after="0" w:line="162" w:lineRule="exact"/>
              <w:rPr>
                <w:rFonts w:ascii="Arial" w:cs="Arial" w:eastAsia="Arial" w:hAnsi="Arial"/>
                <w:sz w:val="15"/>
                <w:szCs w:val="15"/>
                <w:color w:val="0000EE"/>
                <w:w w:val="95"/>
              </w:rPr>
            </w:pPr>
            <w:hyperlink w:anchor="page83">
              <w:r>
                <w:rPr>
                  <w:rFonts w:ascii="Arial" w:cs="Arial" w:eastAsia="Arial" w:hAnsi="Arial"/>
                  <w:sz w:val="15"/>
                  <w:szCs w:val="15"/>
                  <w:color w:val="0000EE"/>
                  <w:w w:val="95"/>
                </w:rPr>
                <w:t>Our Compensation Committee</w:t>
              </w:r>
            </w:hyperlink>
          </w:p>
        </w:tc>
        <w:tc>
          <w:tcPr>
            <w:tcW w:w="4280" w:type="dxa"/>
            <w:vAlign w:val="bottom"/>
            <w:gridSpan w:val="20"/>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0000EE"/>
            </w:tcBorders>
            <w:gridSpan w:val="3"/>
          </w:tcPr>
          <w:p>
            <w:pPr>
              <w:spacing w:after="0" w:line="162" w:lineRule="exact"/>
              <w:rPr>
                <w:rFonts w:ascii="Arial" w:cs="Arial" w:eastAsia="Arial" w:hAnsi="Arial"/>
                <w:sz w:val="15"/>
                <w:szCs w:val="15"/>
                <w:color w:val="0000EE"/>
                <w:w w:val="93"/>
              </w:rPr>
            </w:pPr>
            <w:hyperlink w:anchor="page83">
              <w:r>
                <w:rPr>
                  <w:rFonts w:ascii="Arial" w:cs="Arial" w:eastAsia="Arial" w:hAnsi="Arial"/>
                  <w:sz w:val="15"/>
                  <w:szCs w:val="15"/>
                  <w:color w:val="0000EE"/>
                  <w:w w:val="93"/>
                </w:rPr>
                <w:t>Management</w:t>
              </w:r>
            </w:hyperlink>
          </w:p>
        </w:tc>
        <w:tc>
          <w:tcPr>
            <w:tcW w:w="5400" w:type="dxa"/>
            <w:vAlign w:val="bottom"/>
            <w:gridSpan w:val="29"/>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84">
              <w:r>
                <w:rPr>
                  <w:rFonts w:ascii="Arial" w:cs="Arial" w:eastAsia="Arial" w:hAnsi="Arial"/>
                  <w:sz w:val="15"/>
                  <w:szCs w:val="15"/>
                  <w:color w:val="0000EE"/>
                </w:rPr>
                <w:t>Shareholder Input and Outreach</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71</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bottom w:val="single" w:sz="8" w:color="0000EE"/>
            </w:tcBorders>
            <w:gridSpan w:val="23"/>
          </w:tcPr>
          <w:p>
            <w:pPr>
              <w:spacing w:after="0" w:line="162" w:lineRule="exact"/>
              <w:rPr>
                <w:rFonts w:ascii="Arial" w:cs="Arial" w:eastAsia="Arial" w:hAnsi="Arial"/>
                <w:sz w:val="15"/>
                <w:szCs w:val="15"/>
                <w:color w:val="0000EE"/>
                <w:w w:val="97"/>
              </w:rPr>
            </w:pPr>
            <w:hyperlink w:anchor="page86">
              <w:r>
                <w:rPr>
                  <w:rFonts w:ascii="Arial" w:cs="Arial" w:eastAsia="Arial" w:hAnsi="Arial"/>
                  <w:sz w:val="15"/>
                  <w:szCs w:val="15"/>
                  <w:color w:val="0000EE"/>
                  <w:w w:val="97"/>
                </w:rPr>
                <w:t>Independent Compensation Consultant</w:t>
              </w:r>
            </w:hyperlink>
          </w:p>
        </w:tc>
        <w:tc>
          <w:tcPr>
            <w:tcW w:w="3660" w:type="dxa"/>
            <w:vAlign w:val="bottom"/>
            <w:gridSpan w:val="9"/>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73</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86">
              <w:r>
                <w:rPr>
                  <w:rFonts w:ascii="Arial" w:cs="Arial" w:eastAsia="Arial" w:hAnsi="Arial"/>
                  <w:sz w:val="15"/>
                  <w:szCs w:val="15"/>
                  <w:color w:val="0000EE"/>
                </w:rPr>
                <w:t>Peer Data</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73</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88">
              <w:r>
                <w:rPr>
                  <w:rFonts w:ascii="Arial" w:cs="Arial" w:eastAsia="Arial" w:hAnsi="Arial"/>
                  <w:sz w:val="15"/>
                  <w:szCs w:val="15"/>
                  <w:color w:val="0000EE"/>
                </w:rPr>
                <w:t>Risk Assessment</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75</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0000EE"/>
            </w:tcBorders>
            <w:gridSpan w:val="5"/>
          </w:tcPr>
          <w:p>
            <w:pPr>
              <w:spacing w:after="0" w:line="162" w:lineRule="exact"/>
              <w:rPr>
                <w:rFonts w:ascii="Arial" w:cs="Arial" w:eastAsia="Arial" w:hAnsi="Arial"/>
                <w:sz w:val="15"/>
                <w:szCs w:val="15"/>
                <w:color w:val="0000EE"/>
                <w:w w:val="99"/>
              </w:rPr>
            </w:pPr>
            <w:hyperlink w:anchor="page88">
              <w:r>
                <w:rPr>
                  <w:rFonts w:ascii="Arial" w:cs="Arial" w:eastAsia="Arial" w:hAnsi="Arial"/>
                  <w:sz w:val="15"/>
                  <w:szCs w:val="15"/>
                  <w:color w:val="0000EE"/>
                  <w:w w:val="99"/>
                </w:rPr>
                <w:t>Tax Implications</w:t>
              </w:r>
            </w:hyperlink>
          </w:p>
        </w:tc>
        <w:tc>
          <w:tcPr>
            <w:tcW w:w="5140" w:type="dxa"/>
            <w:vAlign w:val="bottom"/>
            <w:gridSpan w:val="27"/>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75</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2320" w:type="dxa"/>
            <w:vAlign w:val="bottom"/>
            <w:tcBorders>
              <w:bottom w:val="single" w:sz="8" w:color="0000EE"/>
            </w:tcBorders>
            <w:gridSpan w:val="17"/>
          </w:tcPr>
          <w:p>
            <w:pPr>
              <w:spacing w:after="0" w:line="162" w:lineRule="exact"/>
              <w:rPr>
                <w:rFonts w:ascii="Arial" w:cs="Arial" w:eastAsia="Arial" w:hAnsi="Arial"/>
                <w:sz w:val="15"/>
                <w:szCs w:val="15"/>
                <w:b w:val="1"/>
                <w:bCs w:val="1"/>
                <w:color w:val="0000EE"/>
                <w:w w:val="96"/>
              </w:rPr>
            </w:pPr>
            <w:hyperlink w:anchor="page90">
              <w:r>
                <w:rPr>
                  <w:rFonts w:ascii="Arial" w:cs="Arial" w:eastAsia="Arial" w:hAnsi="Arial"/>
                  <w:sz w:val="15"/>
                  <w:szCs w:val="15"/>
                  <w:b w:val="1"/>
                  <w:bCs w:val="1"/>
                  <w:color w:val="0000EE"/>
                  <w:w w:val="96"/>
                </w:rPr>
                <w:t>Compensation Committee Report</w:t>
              </w:r>
            </w:hyperlink>
          </w:p>
        </w:tc>
        <w:tc>
          <w:tcPr>
            <w:tcW w:w="4100" w:type="dxa"/>
            <w:vAlign w:val="bottom"/>
            <w:gridSpan w:val="16"/>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77</w:t>
            </w:r>
          </w:p>
        </w:tc>
      </w:tr>
      <w:tr>
        <w:trPr>
          <w:trHeight w:val="162"/>
        </w:trPr>
        <w:tc>
          <w:tcPr>
            <w:tcW w:w="80" w:type="dxa"/>
            <w:vAlign w:val="bottom"/>
          </w:tcPr>
          <w:p>
            <w:pPr>
              <w:spacing w:after="0"/>
              <w:rPr>
                <w:sz w:val="14"/>
                <w:szCs w:val="14"/>
                <w:color w:val="auto"/>
              </w:rPr>
            </w:pPr>
          </w:p>
        </w:tc>
        <w:tc>
          <w:tcPr>
            <w:tcW w:w="6420" w:type="dxa"/>
            <w:vAlign w:val="bottom"/>
            <w:gridSpan w:val="33"/>
          </w:tcPr>
          <w:p>
            <w:pPr>
              <w:spacing w:after="0" w:line="162" w:lineRule="exact"/>
              <w:rPr>
                <w:rFonts w:ascii="Arial" w:cs="Arial" w:eastAsia="Arial" w:hAnsi="Arial"/>
                <w:sz w:val="15"/>
                <w:szCs w:val="15"/>
                <w:b w:val="1"/>
                <w:bCs w:val="1"/>
                <w:color w:val="0000EE"/>
              </w:rPr>
            </w:pPr>
            <w:hyperlink w:anchor="page90">
              <w:r>
                <w:rPr>
                  <w:rFonts w:ascii="Arial" w:cs="Arial" w:eastAsia="Arial" w:hAnsi="Arial"/>
                  <w:sz w:val="15"/>
                  <w:szCs w:val="15"/>
                  <w:b w:val="1"/>
                  <w:bCs w:val="1"/>
                  <w:color w:val="0000EE"/>
                </w:rPr>
                <w:t>Compensation Committee Interlocks and Insider Participation</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77</w:t>
            </w:r>
          </w:p>
        </w:tc>
      </w:tr>
      <w:tr>
        <w:trPr>
          <w:trHeight w:val="162"/>
        </w:trPr>
        <w:tc>
          <w:tcPr>
            <w:tcW w:w="80" w:type="dxa"/>
            <w:vAlign w:val="bottom"/>
          </w:tcPr>
          <w:p>
            <w:pPr>
              <w:spacing w:after="0"/>
              <w:rPr>
                <w:sz w:val="14"/>
                <w:szCs w:val="14"/>
                <w:color w:val="auto"/>
              </w:rPr>
            </w:pPr>
          </w:p>
        </w:tc>
        <w:tc>
          <w:tcPr>
            <w:tcW w:w="4260" w:type="dxa"/>
            <w:vAlign w:val="bottom"/>
            <w:tcBorders>
              <w:top w:val="single" w:sz="8" w:color="0000EE"/>
            </w:tcBorders>
            <w:gridSpan w:val="31"/>
          </w:tcPr>
          <w:p>
            <w:pPr>
              <w:spacing w:after="0" w:line="162" w:lineRule="exact"/>
              <w:rPr>
                <w:rFonts w:ascii="Arial" w:cs="Arial" w:eastAsia="Arial" w:hAnsi="Arial"/>
                <w:sz w:val="15"/>
                <w:szCs w:val="15"/>
                <w:b w:val="1"/>
                <w:bCs w:val="1"/>
                <w:color w:val="0000EE"/>
              </w:rPr>
            </w:pPr>
            <w:hyperlink w:anchor="page91">
              <w:r>
                <w:rPr>
                  <w:rFonts w:ascii="Arial" w:cs="Arial" w:eastAsia="Arial" w:hAnsi="Arial"/>
                  <w:sz w:val="15"/>
                  <w:szCs w:val="15"/>
                  <w:b w:val="1"/>
                  <w:bCs w:val="1"/>
                  <w:color w:val="0000EE"/>
                </w:rPr>
                <w:t>Compensation Dashboard</w:t>
              </w:r>
            </w:hyperlink>
          </w:p>
        </w:tc>
        <w:tc>
          <w:tcPr>
            <w:tcW w:w="2160" w:type="dxa"/>
            <w:vAlign w:val="bottom"/>
            <w:gridSpan w:val="2"/>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78</w:t>
            </w:r>
          </w:p>
        </w:tc>
      </w:tr>
      <w:tr>
        <w:trPr>
          <w:trHeight w:val="20"/>
        </w:trPr>
        <w:tc>
          <w:tcPr>
            <w:tcW w:w="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6420" w:type="dxa"/>
            <w:vAlign w:val="bottom"/>
            <w:gridSpan w:val="33"/>
          </w:tcPr>
          <w:p>
            <w:pPr>
              <w:spacing w:after="0" w:line="162" w:lineRule="exact"/>
              <w:rPr>
                <w:rFonts w:ascii="Arial" w:cs="Arial" w:eastAsia="Arial" w:hAnsi="Arial"/>
                <w:sz w:val="15"/>
                <w:szCs w:val="15"/>
                <w:b w:val="1"/>
                <w:bCs w:val="1"/>
                <w:color w:val="0000EE"/>
              </w:rPr>
            </w:pPr>
            <w:hyperlink w:anchor="page91">
              <w:r>
                <w:rPr>
                  <w:rFonts w:ascii="Arial" w:cs="Arial" w:eastAsia="Arial" w:hAnsi="Arial"/>
                  <w:sz w:val="15"/>
                  <w:szCs w:val="15"/>
                  <w:b w:val="1"/>
                  <w:bCs w:val="1"/>
                  <w:color w:val="0000EE"/>
                </w:rPr>
                <w:t>2018 Executive Compensation Tables</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205BA8"/>
              </w:rPr>
              <w:t>78</w:t>
            </w:r>
          </w:p>
        </w:tc>
      </w:tr>
      <w:tr>
        <w:trPr>
          <w:trHeight w:val="162"/>
        </w:trPr>
        <w:tc>
          <w:tcPr>
            <w:tcW w:w="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400" w:type="dxa"/>
            <w:vAlign w:val="bottom"/>
            <w:tcBorders>
              <w:top w:val="single" w:sz="8" w:color="0000EE"/>
            </w:tcBorders>
            <w:gridSpan w:val="21"/>
          </w:tcPr>
          <w:p>
            <w:pPr>
              <w:spacing w:after="0" w:line="162" w:lineRule="exact"/>
              <w:rPr>
                <w:rFonts w:ascii="Arial" w:cs="Arial" w:eastAsia="Arial" w:hAnsi="Arial"/>
                <w:sz w:val="15"/>
                <w:szCs w:val="15"/>
                <w:color w:val="0000EE"/>
                <w:w w:val="97"/>
              </w:rPr>
            </w:pPr>
            <w:hyperlink w:anchor="page91">
              <w:r>
                <w:rPr>
                  <w:rFonts w:ascii="Arial" w:cs="Arial" w:eastAsia="Arial" w:hAnsi="Arial"/>
                  <w:sz w:val="15"/>
                  <w:szCs w:val="15"/>
                  <w:color w:val="0000EE"/>
                  <w:w w:val="97"/>
                </w:rPr>
                <w:t>2018 Summary Compensation Table</w:t>
              </w:r>
            </w:hyperlink>
          </w:p>
        </w:tc>
        <w:tc>
          <w:tcPr>
            <w:tcW w:w="3840" w:type="dxa"/>
            <w:vAlign w:val="bottom"/>
            <w:gridSpan w:val="11"/>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78</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top w:val="single" w:sz="8" w:color="0000EE"/>
            </w:tcBorders>
            <w:gridSpan w:val="20"/>
          </w:tcPr>
          <w:p>
            <w:pPr>
              <w:spacing w:after="0" w:line="162" w:lineRule="exact"/>
              <w:rPr>
                <w:rFonts w:ascii="Arial" w:cs="Arial" w:eastAsia="Arial" w:hAnsi="Arial"/>
                <w:sz w:val="15"/>
                <w:szCs w:val="15"/>
                <w:color w:val="0000EE"/>
                <w:w w:val="98"/>
              </w:rPr>
            </w:pPr>
            <w:hyperlink w:anchor="page92">
              <w:r>
                <w:rPr>
                  <w:rFonts w:ascii="Arial" w:cs="Arial" w:eastAsia="Arial" w:hAnsi="Arial"/>
                  <w:sz w:val="15"/>
                  <w:szCs w:val="15"/>
                  <w:color w:val="0000EE"/>
                  <w:w w:val="98"/>
                </w:rPr>
                <w:t>2018 Grants of Plan-Based Awards</w:t>
              </w:r>
            </w:hyperlink>
          </w:p>
        </w:tc>
        <w:tc>
          <w:tcPr>
            <w:tcW w:w="3900" w:type="dxa"/>
            <w:vAlign w:val="bottom"/>
            <w:gridSpan w:val="12"/>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79</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7"/>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93">
              <w:r>
                <w:rPr>
                  <w:rFonts w:ascii="Arial" w:cs="Arial" w:eastAsia="Arial" w:hAnsi="Arial"/>
                  <w:sz w:val="15"/>
                  <w:szCs w:val="15"/>
                  <w:color w:val="0000EE"/>
                </w:rPr>
                <w:t>Outstanding Equity Awards at 2018 Fiscal Year-End</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80</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tcBorders>
              <w:top w:val="single" w:sz="8" w:color="0000EE"/>
            </w:tcBorders>
            <w:gridSpan w:val="28"/>
          </w:tcPr>
          <w:p>
            <w:pPr>
              <w:spacing w:after="0" w:line="162" w:lineRule="exact"/>
              <w:rPr>
                <w:rFonts w:ascii="Arial" w:cs="Arial" w:eastAsia="Arial" w:hAnsi="Arial"/>
                <w:sz w:val="15"/>
                <w:szCs w:val="15"/>
                <w:color w:val="0000EE"/>
              </w:rPr>
            </w:pPr>
            <w:hyperlink w:anchor="page95">
              <w:r>
                <w:rPr>
                  <w:rFonts w:ascii="Arial" w:cs="Arial" w:eastAsia="Arial" w:hAnsi="Arial"/>
                  <w:sz w:val="15"/>
                  <w:szCs w:val="15"/>
                  <w:color w:val="0000EE"/>
                </w:rPr>
                <w:t>2018 Option Exercises and Stock Vested</w:t>
              </w:r>
            </w:hyperlink>
          </w:p>
        </w:tc>
        <w:tc>
          <w:tcPr>
            <w:tcW w:w="2920" w:type="dxa"/>
            <w:vAlign w:val="bottom"/>
            <w:gridSpan w:val="4"/>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15"/>
          </w:tcPr>
          <w:p>
            <w:pPr>
              <w:spacing w:after="0" w:line="162" w:lineRule="exact"/>
              <w:rPr>
                <w:rFonts w:ascii="Arial" w:cs="Arial" w:eastAsia="Arial" w:hAnsi="Arial"/>
                <w:sz w:val="15"/>
                <w:szCs w:val="15"/>
                <w:color w:val="0000EE"/>
                <w:w w:val="95"/>
              </w:rPr>
            </w:pPr>
            <w:hyperlink w:anchor="page95">
              <w:r>
                <w:rPr>
                  <w:rFonts w:ascii="Arial" w:cs="Arial" w:eastAsia="Arial" w:hAnsi="Arial"/>
                  <w:sz w:val="15"/>
                  <w:szCs w:val="15"/>
                  <w:color w:val="0000EE"/>
                  <w:w w:val="95"/>
                </w:rPr>
                <w:t>Post-Employment Compensation</w:t>
              </w:r>
            </w:hyperlink>
          </w:p>
        </w:tc>
        <w:tc>
          <w:tcPr>
            <w:tcW w:w="500" w:type="dxa"/>
            <w:vAlign w:val="bottom"/>
            <w:tcBorders>
              <w:top w:val="single" w:sz="8" w:color="0000EE"/>
            </w:tcBorders>
            <w:gridSpan w:val="9"/>
          </w:tcPr>
          <w:p>
            <w:pPr>
              <w:spacing w:after="0"/>
              <w:rPr>
                <w:sz w:val="14"/>
                <w:szCs w:val="14"/>
                <w:color w:val="auto"/>
              </w:rPr>
            </w:pPr>
          </w:p>
        </w:tc>
        <w:tc>
          <w:tcPr>
            <w:tcW w:w="3620" w:type="dxa"/>
            <w:vAlign w:val="bottom"/>
            <w:gridSpan w:val="8"/>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r>
      <w:tr>
        <w:trPr>
          <w:trHeight w:val="162"/>
        </w:trPr>
        <w:tc>
          <w:tcPr>
            <w:tcW w:w="80" w:type="dxa"/>
            <w:vAlign w:val="bottom"/>
          </w:tcPr>
          <w:p>
            <w:pPr>
              <w:spacing w:after="0"/>
              <w:rPr>
                <w:sz w:val="14"/>
                <w:szCs w:val="14"/>
                <w:color w:val="auto"/>
              </w:rPr>
            </w:pPr>
          </w:p>
        </w:tc>
        <w:tc>
          <w:tcPr>
            <w:tcW w:w="2600" w:type="dxa"/>
            <w:vAlign w:val="bottom"/>
            <w:tcBorders>
              <w:bottom w:val="single" w:sz="8" w:color="0000EE"/>
            </w:tcBorders>
            <w:gridSpan w:val="23"/>
          </w:tcPr>
          <w:p>
            <w:pPr>
              <w:spacing w:after="0" w:line="162" w:lineRule="exact"/>
              <w:rPr>
                <w:rFonts w:ascii="Arial" w:cs="Arial" w:eastAsia="Arial" w:hAnsi="Arial"/>
                <w:sz w:val="15"/>
                <w:szCs w:val="15"/>
                <w:b w:val="1"/>
                <w:bCs w:val="1"/>
                <w:color w:val="0000EE"/>
                <w:w w:val="96"/>
              </w:rPr>
            </w:pPr>
            <w:hyperlink w:anchor="page99">
              <w:r>
                <w:rPr>
                  <w:rFonts w:ascii="Arial" w:cs="Arial" w:eastAsia="Arial" w:hAnsi="Arial"/>
                  <w:sz w:val="15"/>
                  <w:szCs w:val="15"/>
                  <w:b w:val="1"/>
                  <w:bCs w:val="1"/>
                  <w:color w:val="0000EE"/>
                  <w:w w:val="96"/>
                </w:rPr>
                <w:t>Additional Compensation Information</w:t>
              </w:r>
            </w:hyperlink>
          </w:p>
        </w:tc>
        <w:tc>
          <w:tcPr>
            <w:tcW w:w="3820" w:type="dxa"/>
            <w:vAlign w:val="bottom"/>
            <w:gridSpan w:val="10"/>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86</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99">
              <w:r>
                <w:rPr>
                  <w:rFonts w:ascii="Arial" w:cs="Arial" w:eastAsia="Arial" w:hAnsi="Arial"/>
                  <w:sz w:val="15"/>
                  <w:szCs w:val="15"/>
                  <w:color w:val="0000EE"/>
                </w:rPr>
                <w:t>Annual Cash Incentive</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86</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7"/>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10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bottom w:val="single" w:sz="8" w:color="0000EE"/>
            </w:tcBorders>
            <w:gridSpan w:val="17"/>
          </w:tcPr>
          <w:p>
            <w:pPr>
              <w:spacing w:after="0" w:line="162" w:lineRule="exact"/>
              <w:rPr>
                <w:rFonts w:ascii="Arial" w:cs="Arial" w:eastAsia="Arial" w:hAnsi="Arial"/>
                <w:sz w:val="15"/>
                <w:szCs w:val="15"/>
                <w:color w:val="0000EE"/>
                <w:w w:val="95"/>
              </w:rPr>
            </w:pPr>
            <w:hyperlink w:anchor="page100">
              <w:r>
                <w:rPr>
                  <w:rFonts w:ascii="Arial" w:cs="Arial" w:eastAsia="Arial" w:hAnsi="Arial"/>
                  <w:sz w:val="15"/>
                  <w:szCs w:val="15"/>
                  <w:color w:val="0000EE"/>
                  <w:w w:val="95"/>
                </w:rPr>
                <w:t>Perquisites and Personal Benefits</w:t>
              </w:r>
            </w:hyperlink>
          </w:p>
        </w:tc>
        <w:tc>
          <w:tcPr>
            <w:tcW w:w="4060" w:type="dxa"/>
            <w:vAlign w:val="bottom"/>
            <w:gridSpan w:val="15"/>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87</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Borders>
              <w:bottom w:val="single" w:sz="8" w:color="0000EE"/>
            </w:tcBorders>
            <w:gridSpan w:val="13"/>
          </w:tcPr>
          <w:p>
            <w:pPr>
              <w:spacing w:after="0" w:line="162" w:lineRule="exact"/>
              <w:rPr>
                <w:rFonts w:ascii="Arial" w:cs="Arial" w:eastAsia="Arial" w:hAnsi="Arial"/>
                <w:sz w:val="15"/>
                <w:szCs w:val="15"/>
                <w:color w:val="0000EE"/>
                <w:w w:val="95"/>
              </w:rPr>
            </w:pPr>
            <w:hyperlink w:anchor="page101">
              <w:r>
                <w:rPr>
                  <w:rFonts w:ascii="Arial" w:cs="Arial" w:eastAsia="Arial" w:hAnsi="Arial"/>
                  <w:sz w:val="15"/>
                  <w:szCs w:val="15"/>
                  <w:color w:val="0000EE"/>
                  <w:w w:val="95"/>
                </w:rPr>
                <w:t>Potential Severance Payments</w:t>
              </w:r>
            </w:hyperlink>
          </w:p>
        </w:tc>
        <w:tc>
          <w:tcPr>
            <w:tcW w:w="4260" w:type="dxa"/>
            <w:vAlign w:val="bottom"/>
            <w:gridSpan w:val="19"/>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102">
              <w:r>
                <w:rPr>
                  <w:rFonts w:ascii="Arial" w:cs="Arial" w:eastAsia="Arial" w:hAnsi="Arial"/>
                  <w:sz w:val="15"/>
                  <w:szCs w:val="15"/>
                  <w:color w:val="0000EE"/>
                </w:rPr>
                <w:t>Pay Ratio</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89</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10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32"/>
          </w:tcPr>
          <w:p>
            <w:pPr>
              <w:spacing w:after="0" w:line="162" w:lineRule="exact"/>
              <w:rPr>
                <w:rFonts w:ascii="Arial" w:cs="Arial" w:eastAsia="Arial" w:hAnsi="Arial"/>
                <w:sz w:val="15"/>
                <w:szCs w:val="15"/>
                <w:color w:val="0000EE"/>
              </w:rPr>
            </w:pPr>
            <w:hyperlink w:anchor="page103">
              <w:r>
                <w:rPr>
                  <w:rFonts w:ascii="Arial" w:cs="Arial" w:eastAsia="Arial" w:hAnsi="Arial"/>
                  <w:sz w:val="15"/>
                  <w:szCs w:val="15"/>
                  <w:color w:val="0000EE"/>
                </w:rPr>
                <w:t>Equity Compensation Information</w:t>
              </w:r>
            </w:hyperlink>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90</w:t>
            </w:r>
          </w:p>
        </w:tc>
      </w:tr>
      <w:tr>
        <w:trPr>
          <w:trHeight w:val="20"/>
        </w:trPr>
        <w:tc>
          <w:tcPr>
            <w:tcW w:w="260" w:type="dxa"/>
            <w:vAlign w:val="bottom"/>
            <w:gridSpan w:val="2"/>
          </w:tcPr>
          <w:p>
            <w:pPr>
              <w:spacing w:after="0" w:line="20" w:lineRule="exact"/>
              <w:rPr>
                <w:sz w:val="1"/>
                <w:szCs w:val="1"/>
                <w:color w:val="auto"/>
              </w:rPr>
            </w:pPr>
          </w:p>
        </w:tc>
        <w:tc>
          <w:tcPr>
            <w:tcW w:w="1800" w:type="dxa"/>
            <w:vAlign w:val="bottom"/>
            <w:gridSpan w:val="10"/>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410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3"/>
        </w:trPr>
        <w:tc>
          <w:tcPr>
            <w:tcW w:w="6500" w:type="dxa"/>
            <w:vAlign w:val="bottom"/>
            <w:gridSpan w:val="34"/>
          </w:tcPr>
          <w:p>
            <w:pPr>
              <w:spacing w:after="0"/>
              <w:rPr>
                <w:rFonts w:ascii="Arial" w:cs="Arial" w:eastAsia="Arial" w:hAnsi="Arial"/>
                <w:sz w:val="24"/>
                <w:szCs w:val="24"/>
                <w:b w:val="1"/>
                <w:bCs w:val="1"/>
                <w:color w:val="0000EE"/>
              </w:rPr>
            </w:pPr>
            <w:hyperlink w:anchor="page105">
              <w:r>
                <w:rPr>
                  <w:rFonts w:ascii="Arial" w:cs="Arial" w:eastAsia="Arial" w:hAnsi="Arial"/>
                  <w:sz w:val="24"/>
                  <w:szCs w:val="24"/>
                  <w:b w:val="1"/>
                  <w:bCs w:val="1"/>
                  <w:color w:val="0000EE"/>
                </w:rPr>
                <w:t>OTHER MATTERS</w:t>
              </w:r>
            </w:hyperlink>
          </w:p>
        </w:tc>
        <w:tc>
          <w:tcPr>
            <w:tcW w:w="880" w:type="dxa"/>
            <w:vAlign w:val="bottom"/>
          </w:tcPr>
          <w:p>
            <w:pPr>
              <w:jc w:val="right"/>
              <w:spacing w:after="0"/>
              <w:rPr>
                <w:sz w:val="20"/>
                <w:szCs w:val="20"/>
                <w:color w:val="auto"/>
              </w:rPr>
            </w:pPr>
            <w:r>
              <w:rPr>
                <w:rFonts w:ascii="Arial" w:cs="Arial" w:eastAsia="Arial" w:hAnsi="Arial"/>
                <w:sz w:val="24"/>
                <w:szCs w:val="24"/>
                <w:b w:val="1"/>
                <w:bCs w:val="1"/>
                <w:color w:val="205BA8"/>
              </w:rPr>
              <w:t>92</w:t>
            </w:r>
          </w:p>
        </w:tc>
      </w:tr>
      <w:tr>
        <w:trPr>
          <w:trHeight w:val="32"/>
        </w:trPr>
        <w:tc>
          <w:tcPr>
            <w:tcW w:w="8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620" w:type="dxa"/>
            <w:vAlign w:val="bottom"/>
            <w:tcBorders>
              <w:top w:val="single" w:sz="8" w:color="0000EE"/>
              <w:bottom w:val="single" w:sz="8" w:color="205BA8"/>
            </w:tcBorders>
          </w:tcPr>
          <w:p>
            <w:pPr>
              <w:spacing w:after="0"/>
              <w:rPr>
                <w:sz w:val="2"/>
                <w:szCs w:val="2"/>
                <w:color w:val="auto"/>
              </w:rPr>
            </w:pPr>
          </w:p>
        </w:tc>
        <w:tc>
          <w:tcPr>
            <w:tcW w:w="160" w:type="dxa"/>
            <w:vAlign w:val="bottom"/>
            <w:tcBorders>
              <w:top w:val="single" w:sz="8" w:color="0000EE"/>
              <w:bottom w:val="single" w:sz="8" w:color="205BA8"/>
            </w:tcBorders>
          </w:tcPr>
          <w:p>
            <w:pPr>
              <w:spacing w:after="0"/>
              <w:rPr>
                <w:sz w:val="2"/>
                <w:szCs w:val="2"/>
                <w:color w:val="auto"/>
              </w:rPr>
            </w:pPr>
          </w:p>
        </w:tc>
        <w:tc>
          <w:tcPr>
            <w:tcW w:w="6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8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140" w:type="dxa"/>
            <w:vAlign w:val="bottom"/>
            <w:tcBorders>
              <w:top w:val="single" w:sz="8" w:color="0000EE"/>
              <w:bottom w:val="single" w:sz="8" w:color="205BA8"/>
            </w:tcBorders>
          </w:tcPr>
          <w:p>
            <w:pPr>
              <w:spacing w:after="0"/>
              <w:rPr>
                <w:sz w:val="2"/>
                <w:szCs w:val="2"/>
                <w:color w:val="auto"/>
              </w:rPr>
            </w:pPr>
          </w:p>
        </w:tc>
        <w:tc>
          <w:tcPr>
            <w:tcW w:w="2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180" w:type="dxa"/>
            <w:vAlign w:val="bottom"/>
            <w:tcBorders>
              <w:top w:val="single" w:sz="8" w:color="0000EE"/>
              <w:bottom w:val="single" w:sz="8" w:color="205BA8"/>
            </w:tcBorders>
          </w:tcPr>
          <w:p>
            <w:pPr>
              <w:spacing w:after="0"/>
              <w:rPr>
                <w:sz w:val="2"/>
                <w:szCs w:val="2"/>
                <w:color w:val="auto"/>
              </w:rPr>
            </w:pPr>
          </w:p>
        </w:tc>
        <w:tc>
          <w:tcPr>
            <w:tcW w:w="100" w:type="dxa"/>
            <w:vAlign w:val="bottom"/>
            <w:tcBorders>
              <w:bottom w:val="single" w:sz="8" w:color="205BA8"/>
            </w:tcBorders>
          </w:tcPr>
          <w:p>
            <w:pPr>
              <w:spacing w:after="0"/>
              <w:rPr>
                <w:sz w:val="2"/>
                <w:szCs w:val="2"/>
                <w:color w:val="auto"/>
              </w:rPr>
            </w:pPr>
          </w:p>
        </w:tc>
        <w:tc>
          <w:tcPr>
            <w:tcW w:w="60" w:type="dxa"/>
            <w:vAlign w:val="bottom"/>
            <w:tcBorders>
              <w:bottom w:val="single" w:sz="8" w:color="205BA8"/>
            </w:tcBorders>
          </w:tcPr>
          <w:p>
            <w:pPr>
              <w:spacing w:after="0"/>
              <w:rPr>
                <w:sz w:val="2"/>
                <w:szCs w:val="2"/>
                <w:color w:val="auto"/>
              </w:rPr>
            </w:pPr>
          </w:p>
        </w:tc>
        <w:tc>
          <w:tcPr>
            <w:tcW w:w="20" w:type="dxa"/>
            <w:vAlign w:val="bottom"/>
            <w:tcBorders>
              <w:bottom w:val="single" w:sz="8" w:color="205BA8"/>
            </w:tcBorders>
          </w:tcPr>
          <w:p>
            <w:pPr>
              <w:spacing w:after="0"/>
              <w:rPr>
                <w:sz w:val="2"/>
                <w:szCs w:val="2"/>
                <w:color w:val="auto"/>
              </w:rPr>
            </w:pPr>
          </w:p>
        </w:tc>
        <w:tc>
          <w:tcPr>
            <w:tcW w:w="80" w:type="dxa"/>
            <w:vAlign w:val="bottom"/>
            <w:tcBorders>
              <w:bottom w:val="single" w:sz="8" w:color="205BA8"/>
            </w:tcBorders>
          </w:tcPr>
          <w:p>
            <w:pPr>
              <w:spacing w:after="0"/>
              <w:rPr>
                <w:sz w:val="2"/>
                <w:szCs w:val="2"/>
                <w:color w:val="auto"/>
              </w:rPr>
            </w:pPr>
          </w:p>
        </w:tc>
        <w:tc>
          <w:tcPr>
            <w:tcW w:w="60" w:type="dxa"/>
            <w:vAlign w:val="bottom"/>
            <w:tcBorders>
              <w:bottom w:val="single" w:sz="8" w:color="205BA8"/>
            </w:tcBorders>
          </w:tcPr>
          <w:p>
            <w:pPr>
              <w:spacing w:after="0"/>
              <w:rPr>
                <w:sz w:val="2"/>
                <w:szCs w:val="2"/>
                <w:color w:val="auto"/>
              </w:rPr>
            </w:pPr>
          </w:p>
        </w:tc>
        <w:tc>
          <w:tcPr>
            <w:tcW w:w="20" w:type="dxa"/>
            <w:vAlign w:val="bottom"/>
            <w:tcBorders>
              <w:bottom w:val="single" w:sz="8" w:color="205BA8"/>
            </w:tcBorders>
          </w:tcPr>
          <w:p>
            <w:pPr>
              <w:spacing w:after="0"/>
              <w:rPr>
                <w:sz w:val="2"/>
                <w:szCs w:val="2"/>
                <w:color w:val="auto"/>
              </w:rPr>
            </w:pPr>
          </w:p>
        </w:tc>
        <w:tc>
          <w:tcPr>
            <w:tcW w:w="40" w:type="dxa"/>
            <w:vAlign w:val="bottom"/>
            <w:tcBorders>
              <w:bottom w:val="single" w:sz="8" w:color="205BA8"/>
            </w:tcBorders>
          </w:tcPr>
          <w:p>
            <w:pPr>
              <w:spacing w:after="0"/>
              <w:rPr>
                <w:sz w:val="2"/>
                <w:szCs w:val="2"/>
                <w:color w:val="auto"/>
              </w:rPr>
            </w:pPr>
          </w:p>
        </w:tc>
        <w:tc>
          <w:tcPr>
            <w:tcW w:w="20" w:type="dxa"/>
            <w:vAlign w:val="bottom"/>
            <w:tcBorders>
              <w:bottom w:val="single" w:sz="8" w:color="205BA8"/>
            </w:tcBorders>
          </w:tcPr>
          <w:p>
            <w:pPr>
              <w:spacing w:after="0"/>
              <w:rPr>
                <w:sz w:val="2"/>
                <w:szCs w:val="2"/>
                <w:color w:val="auto"/>
              </w:rPr>
            </w:pPr>
          </w:p>
        </w:tc>
        <w:tc>
          <w:tcPr>
            <w:tcW w:w="60" w:type="dxa"/>
            <w:vAlign w:val="bottom"/>
            <w:tcBorders>
              <w:bottom w:val="single" w:sz="8" w:color="205BA8"/>
            </w:tcBorders>
          </w:tcPr>
          <w:p>
            <w:pPr>
              <w:spacing w:after="0"/>
              <w:rPr>
                <w:sz w:val="2"/>
                <w:szCs w:val="2"/>
                <w:color w:val="auto"/>
              </w:rPr>
            </w:pPr>
          </w:p>
        </w:tc>
        <w:tc>
          <w:tcPr>
            <w:tcW w:w="80" w:type="dxa"/>
            <w:vAlign w:val="bottom"/>
            <w:tcBorders>
              <w:bottom w:val="single" w:sz="8" w:color="205BA8"/>
            </w:tcBorders>
          </w:tcPr>
          <w:p>
            <w:pPr>
              <w:spacing w:after="0"/>
              <w:rPr>
                <w:sz w:val="2"/>
                <w:szCs w:val="2"/>
                <w:color w:val="auto"/>
              </w:rPr>
            </w:pPr>
          </w:p>
        </w:tc>
        <w:tc>
          <w:tcPr>
            <w:tcW w:w="60" w:type="dxa"/>
            <w:vAlign w:val="bottom"/>
            <w:tcBorders>
              <w:bottom w:val="single" w:sz="8" w:color="205BA8"/>
            </w:tcBorders>
          </w:tcPr>
          <w:p>
            <w:pPr>
              <w:spacing w:after="0"/>
              <w:rPr>
                <w:sz w:val="2"/>
                <w:szCs w:val="2"/>
                <w:color w:val="auto"/>
              </w:rPr>
            </w:pPr>
          </w:p>
        </w:tc>
        <w:tc>
          <w:tcPr>
            <w:tcW w:w="20" w:type="dxa"/>
            <w:vAlign w:val="bottom"/>
            <w:tcBorders>
              <w:bottom w:val="single" w:sz="8" w:color="205BA8"/>
            </w:tcBorders>
          </w:tcPr>
          <w:p>
            <w:pPr>
              <w:spacing w:after="0"/>
              <w:rPr>
                <w:sz w:val="2"/>
                <w:szCs w:val="2"/>
                <w:color w:val="auto"/>
              </w:rPr>
            </w:pPr>
          </w:p>
        </w:tc>
        <w:tc>
          <w:tcPr>
            <w:tcW w:w="160" w:type="dxa"/>
            <w:vAlign w:val="bottom"/>
            <w:tcBorders>
              <w:bottom w:val="single" w:sz="8" w:color="205BA8"/>
            </w:tcBorders>
          </w:tcPr>
          <w:p>
            <w:pPr>
              <w:spacing w:after="0"/>
              <w:rPr>
                <w:sz w:val="2"/>
                <w:szCs w:val="2"/>
                <w:color w:val="auto"/>
              </w:rPr>
            </w:pPr>
          </w:p>
        </w:tc>
        <w:tc>
          <w:tcPr>
            <w:tcW w:w="40" w:type="dxa"/>
            <w:vAlign w:val="bottom"/>
            <w:tcBorders>
              <w:bottom w:val="single" w:sz="8" w:color="205BA8"/>
            </w:tcBorders>
          </w:tcPr>
          <w:p>
            <w:pPr>
              <w:spacing w:after="0"/>
              <w:rPr>
                <w:sz w:val="2"/>
                <w:szCs w:val="2"/>
                <w:color w:val="auto"/>
              </w:rPr>
            </w:pPr>
          </w:p>
        </w:tc>
        <w:tc>
          <w:tcPr>
            <w:tcW w:w="20" w:type="dxa"/>
            <w:vAlign w:val="bottom"/>
            <w:tcBorders>
              <w:bottom w:val="single" w:sz="8" w:color="205BA8"/>
            </w:tcBorders>
          </w:tcPr>
          <w:p>
            <w:pPr>
              <w:spacing w:after="0"/>
              <w:rPr>
                <w:sz w:val="2"/>
                <w:szCs w:val="2"/>
                <w:color w:val="auto"/>
              </w:rPr>
            </w:pPr>
          </w:p>
        </w:tc>
        <w:tc>
          <w:tcPr>
            <w:tcW w:w="380" w:type="dxa"/>
            <w:vAlign w:val="bottom"/>
            <w:tcBorders>
              <w:bottom w:val="single" w:sz="8" w:color="205BA8"/>
            </w:tcBorders>
          </w:tcPr>
          <w:p>
            <w:pPr>
              <w:spacing w:after="0"/>
              <w:rPr>
                <w:sz w:val="2"/>
                <w:szCs w:val="2"/>
                <w:color w:val="auto"/>
              </w:rPr>
            </w:pPr>
          </w:p>
        </w:tc>
        <w:tc>
          <w:tcPr>
            <w:tcW w:w="180" w:type="dxa"/>
            <w:vAlign w:val="bottom"/>
            <w:tcBorders>
              <w:bottom w:val="single" w:sz="8" w:color="205BA8"/>
            </w:tcBorders>
          </w:tcPr>
          <w:p>
            <w:pPr>
              <w:spacing w:after="0"/>
              <w:rPr>
                <w:sz w:val="2"/>
                <w:szCs w:val="2"/>
                <w:color w:val="auto"/>
              </w:rPr>
            </w:pPr>
          </w:p>
        </w:tc>
        <w:tc>
          <w:tcPr>
            <w:tcW w:w="120" w:type="dxa"/>
            <w:vAlign w:val="bottom"/>
            <w:tcBorders>
              <w:bottom w:val="single" w:sz="8" w:color="205BA8"/>
            </w:tcBorders>
          </w:tcPr>
          <w:p>
            <w:pPr>
              <w:spacing w:after="0"/>
              <w:rPr>
                <w:sz w:val="2"/>
                <w:szCs w:val="2"/>
                <w:color w:val="auto"/>
              </w:rPr>
            </w:pPr>
          </w:p>
        </w:tc>
        <w:tc>
          <w:tcPr>
            <w:tcW w:w="80" w:type="dxa"/>
            <w:vAlign w:val="bottom"/>
            <w:tcBorders>
              <w:bottom w:val="single" w:sz="8" w:color="205BA8"/>
            </w:tcBorders>
          </w:tcPr>
          <w:p>
            <w:pPr>
              <w:spacing w:after="0"/>
              <w:rPr>
                <w:sz w:val="2"/>
                <w:szCs w:val="2"/>
                <w:color w:val="auto"/>
              </w:rPr>
            </w:pPr>
          </w:p>
        </w:tc>
        <w:tc>
          <w:tcPr>
            <w:tcW w:w="680" w:type="dxa"/>
            <w:vAlign w:val="bottom"/>
            <w:tcBorders>
              <w:bottom w:val="single" w:sz="8" w:color="205BA8"/>
            </w:tcBorders>
          </w:tcPr>
          <w:p>
            <w:pPr>
              <w:spacing w:after="0"/>
              <w:rPr>
                <w:sz w:val="2"/>
                <w:szCs w:val="2"/>
                <w:color w:val="auto"/>
              </w:rPr>
            </w:pPr>
          </w:p>
        </w:tc>
        <w:tc>
          <w:tcPr>
            <w:tcW w:w="160" w:type="dxa"/>
            <w:vAlign w:val="bottom"/>
            <w:tcBorders>
              <w:bottom w:val="single" w:sz="8" w:color="205BA8"/>
            </w:tcBorders>
          </w:tcPr>
          <w:p>
            <w:pPr>
              <w:spacing w:after="0"/>
              <w:rPr>
                <w:sz w:val="2"/>
                <w:szCs w:val="2"/>
                <w:color w:val="auto"/>
              </w:rPr>
            </w:pPr>
          </w:p>
        </w:tc>
        <w:tc>
          <w:tcPr>
            <w:tcW w:w="2000" w:type="dxa"/>
            <w:vAlign w:val="bottom"/>
            <w:tcBorders>
              <w:bottom w:val="single" w:sz="8" w:color="205BA8"/>
            </w:tcBorders>
          </w:tcPr>
          <w:p>
            <w:pPr>
              <w:spacing w:after="0"/>
              <w:rPr>
                <w:sz w:val="2"/>
                <w:szCs w:val="2"/>
                <w:color w:val="auto"/>
              </w:rPr>
            </w:pPr>
          </w:p>
        </w:tc>
        <w:tc>
          <w:tcPr>
            <w:tcW w:w="880" w:type="dxa"/>
            <w:vAlign w:val="bottom"/>
            <w:tcBorders>
              <w:bottom w:val="single" w:sz="8" w:color="205BA8"/>
            </w:tcBorders>
          </w:tcPr>
          <w:p>
            <w:pPr>
              <w:spacing w:after="0"/>
              <w:rPr>
                <w:sz w:val="2"/>
                <w:szCs w:val="2"/>
                <w:color w:val="auto"/>
              </w:rPr>
            </w:pPr>
          </w:p>
        </w:tc>
      </w:tr>
      <w:tr>
        <w:trPr>
          <w:trHeight w:val="292"/>
        </w:trPr>
        <w:tc>
          <w:tcPr>
            <w:tcW w:w="6500" w:type="dxa"/>
            <w:vAlign w:val="bottom"/>
            <w:tcBorders>
              <w:bottom w:val="single" w:sz="8" w:color="0000EE"/>
            </w:tcBorders>
            <w:gridSpan w:val="34"/>
          </w:tcPr>
          <w:p>
            <w:pPr>
              <w:spacing w:after="0"/>
              <w:rPr>
                <w:rFonts w:ascii="Arial" w:cs="Arial" w:eastAsia="Arial" w:hAnsi="Arial"/>
                <w:sz w:val="15"/>
                <w:szCs w:val="15"/>
                <w:b w:val="1"/>
                <w:bCs w:val="1"/>
                <w:color w:val="0000EE"/>
                <w:w w:val="96"/>
              </w:rPr>
            </w:pPr>
            <w:hyperlink w:anchor="page107">
              <w:r>
                <w:rPr>
                  <w:rFonts w:ascii="Arial" w:cs="Arial" w:eastAsia="Arial" w:hAnsi="Arial"/>
                  <w:sz w:val="15"/>
                  <w:szCs w:val="15"/>
                  <w:b w:val="1"/>
                  <w:bCs w:val="1"/>
                  <w:color w:val="0000EE"/>
                  <w:w w:val="96"/>
                </w:rPr>
                <w:t>Appendix A: Note Regarding Forward-Looking Statements and Non-GAAP Financial Measures</w:t>
              </w:r>
            </w:hyperlink>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-5254625</wp:posOffset>
            </wp:positionV>
            <wp:extent cx="660019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-4982210</wp:posOffset>
            </wp:positionV>
            <wp:extent cx="46863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86300" cy="16510"/>
                    </a:xfrm>
                    <a:prstGeom prst="rect">
                      <a:avLst/>
                    </a:prstGeom>
                    <a:noFill/>
                  </pic:spPr>
                </pic:pic>
              </a:graphicData>
            </a:graphic>
          </wp:anchor>
        </w:drawing>
      </w:r>
    </w:p>
    <w:p>
      <w:pPr>
        <w:spacing w:after="0" w:line="116" w:lineRule="exact"/>
        <w:rPr>
          <w:sz w:val="20"/>
          <w:szCs w:val="20"/>
          <w:color w:val="auto"/>
        </w:rPr>
      </w:pPr>
    </w:p>
    <w:p>
      <w:pPr>
        <w:jc w:val="center"/>
        <w:ind w:left="160" w:right="20"/>
        <w:spacing w:after="0" w:line="255" w:lineRule="auto"/>
        <w:rPr>
          <w:sz w:val="20"/>
          <w:szCs w:val="20"/>
          <w:color w:val="auto"/>
        </w:rPr>
      </w:pPr>
      <w:r>
        <w:rPr>
          <w:rFonts w:ascii="Arial" w:cs="Arial" w:eastAsia="Arial" w:hAnsi="Arial"/>
          <w:sz w:val="14"/>
          <w:szCs w:val="14"/>
          <w:b w:val="1"/>
          <w:bCs w:val="1"/>
          <w:color w:val="auto"/>
        </w:rPr>
        <w:t>Note Regarding Forward-Looking Statements and Non-GAAP Financial Measures: See Appendix A for important information regarding forward-looking statements and financial measures not calculated in accordance with U.S. Generally Accepted Accounting Principles contained in this proxy statement.</w:t>
      </w:r>
    </w:p>
    <w:p>
      <w:pPr>
        <w:spacing w:after="0" w:line="110" w:lineRule="exact"/>
        <w:rPr>
          <w:sz w:val="20"/>
          <w:szCs w:val="20"/>
          <w:color w:val="auto"/>
        </w:rPr>
      </w:pPr>
    </w:p>
    <w:p>
      <w:pPr>
        <w:ind w:left="2800"/>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1003" w:right="739" w:bottom="1440" w:gutter="0" w:footer="0" w:header="0"/>
        </w:sectPr>
      </w:pPr>
    </w:p>
    <w:bookmarkStart w:id="13" w:name="page14"/>
    <w:bookmarkEnd w:id="13"/>
    <w:p>
      <w:pPr>
        <w:ind w:left="5800"/>
        <w:spacing w:after="0"/>
        <w:rPr>
          <w:sz w:val="20"/>
          <w:szCs w:val="20"/>
          <w:color w:val="auto"/>
        </w:rPr>
      </w:pPr>
      <w:r>
        <w:rPr>
          <w:rFonts w:ascii="Arial" w:cs="Arial" w:eastAsia="Arial" w:hAnsi="Arial"/>
          <w:sz w:val="55"/>
          <w:szCs w:val="55"/>
          <w:b w:val="1"/>
          <w:bCs w:val="1"/>
          <w:color w:val="205BA8"/>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t>USERS’ 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PROXY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6001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35"/>
          <w:szCs w:val="35"/>
          <w:b w:val="1"/>
          <w:bCs w:val="1"/>
          <w:color w:val="D61C5A"/>
        </w:rPr>
        <w:t>GENERAL INFORMATION</w:t>
      </w:r>
    </w:p>
    <w:p>
      <w:pPr>
        <w:spacing w:after="0" w:line="182" w:lineRule="exact"/>
        <w:rPr>
          <w:sz w:val="20"/>
          <w:szCs w:val="20"/>
          <w:color w:val="auto"/>
        </w:rPr>
      </w:pPr>
    </w:p>
    <w:p>
      <w:pPr>
        <w:spacing w:after="0"/>
        <w:tabs>
          <w:tab w:leader="none" w:pos="1960" w:val="left"/>
          <w:tab w:leader="none" w:pos="3920" w:val="left"/>
          <w:tab w:leader="none" w:pos="8480" w:val="left"/>
        </w:tabs>
        <w:rPr>
          <w:sz w:val="20"/>
          <w:szCs w:val="20"/>
          <w:color w:val="auto"/>
        </w:rPr>
      </w:pPr>
      <w:r>
        <w:rPr>
          <w:rFonts w:ascii="Arial" w:cs="Arial" w:eastAsia="Arial" w:hAnsi="Arial"/>
          <w:sz w:val="15"/>
          <w:szCs w:val="15"/>
          <w:b w:val="1"/>
          <w:bCs w:val="1"/>
          <w:color w:val="auto"/>
        </w:rPr>
        <w:t>Meeting Date:</w:t>
      </w:r>
      <w:r>
        <w:rPr>
          <w:sz w:val="20"/>
          <w:szCs w:val="20"/>
          <w:color w:val="auto"/>
        </w:rPr>
        <w:tab/>
      </w: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b w:val="1"/>
          <w:bCs w:val="1"/>
          <w:color w:val="auto"/>
        </w:rPr>
        <w:t>Location:</w:t>
      </w:r>
      <w:r>
        <w:rPr>
          <w:sz w:val="20"/>
          <w:szCs w:val="20"/>
          <w:color w:val="auto"/>
        </w:rPr>
        <w:tab/>
      </w:r>
      <w:r>
        <w:rPr>
          <w:rFonts w:ascii="Arial" w:cs="Arial" w:eastAsia="Arial" w:hAnsi="Arial"/>
          <w:sz w:val="14"/>
          <w:szCs w:val="14"/>
          <w:b w:val="1"/>
          <w:bCs w:val="1"/>
          <w:color w:val="auto"/>
        </w:rPr>
        <w:t>Record Date:</w:t>
      </w:r>
    </w:p>
    <w:p>
      <w:pPr>
        <w:spacing w:after="0" w:line="22" w:lineRule="exact"/>
        <w:rPr>
          <w:sz w:val="20"/>
          <w:szCs w:val="20"/>
          <w:color w:val="auto"/>
        </w:rPr>
      </w:pPr>
    </w:p>
    <w:p>
      <w:pPr>
        <w:spacing w:after="0"/>
        <w:rPr>
          <w:sz w:val="20"/>
          <w:szCs w:val="20"/>
          <w:color w:val="auto"/>
        </w:rPr>
      </w:pPr>
      <w:r>
        <w:rPr>
          <w:rFonts w:ascii="Arial" w:cs="Arial" w:eastAsia="Arial" w:hAnsi="Arial"/>
          <w:sz w:val="26"/>
          <w:szCs w:val="26"/>
          <w:b w:val="1"/>
          <w:bCs w:val="1"/>
          <w:color w:val="205BA8"/>
        </w:rPr>
        <w:t>JUNE 14, 2019  10:30 A.M., ET  WESTCHESTER MARRIOTT HOTEL APRIL 17, 2019</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5"/>
          <w:szCs w:val="15"/>
          <w:color w:val="205BA8"/>
        </w:rPr>
        <w:t>670 White Plains Road</w:t>
      </w:r>
    </w:p>
    <w:p>
      <w:pPr>
        <w:ind w:left="3940"/>
        <w:spacing w:after="0"/>
        <w:rPr>
          <w:sz w:val="20"/>
          <w:szCs w:val="20"/>
          <w:color w:val="auto"/>
        </w:rPr>
      </w:pPr>
      <w:r>
        <w:rPr>
          <w:rFonts w:ascii="Arial" w:cs="Arial" w:eastAsia="Arial" w:hAnsi="Arial"/>
          <w:sz w:val="15"/>
          <w:szCs w:val="15"/>
          <w:color w:val="205BA8"/>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wp:posOffset>
            </wp:positionV>
            <wp:extent cx="66001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35"/>
          <w:szCs w:val="35"/>
          <w:b w:val="1"/>
          <w:bCs w:val="1"/>
          <w:color w:val="D61C5A"/>
        </w:rPr>
        <w:t>MEETING AGENDA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Borders>
              <w:bottom w:val="single" w:sz="8" w:color="205BA8"/>
            </w:tcBorders>
          </w:tcPr>
          <w:p>
            <w:pPr>
              <w:ind w:left="740"/>
              <w:spacing w:after="0"/>
              <w:rPr>
                <w:sz w:val="20"/>
                <w:szCs w:val="20"/>
                <w:color w:val="auto"/>
              </w:rPr>
            </w:pPr>
            <w:r>
              <w:rPr>
                <w:rFonts w:ascii="Arial" w:cs="Arial" w:eastAsia="Arial" w:hAnsi="Arial"/>
                <w:sz w:val="11"/>
                <w:szCs w:val="11"/>
                <w:b w:val="1"/>
                <w:bCs w:val="1"/>
                <w:color w:val="205BA8"/>
              </w:rPr>
              <w:t>Matter</w:t>
            </w:r>
          </w:p>
        </w:tc>
        <w:tc>
          <w:tcPr>
            <w:tcW w:w="3220" w:type="dxa"/>
            <w:vAlign w:val="bottom"/>
            <w:tcBorders>
              <w:bottom w:val="single" w:sz="8" w:color="205BA8"/>
            </w:tcBorders>
          </w:tcPr>
          <w:p>
            <w:pPr>
              <w:ind w:left="200"/>
              <w:spacing w:after="0"/>
              <w:rPr>
                <w:sz w:val="20"/>
                <w:szCs w:val="20"/>
                <w:color w:val="auto"/>
              </w:rPr>
            </w:pPr>
            <w:r>
              <w:rPr>
                <w:rFonts w:ascii="Arial" w:cs="Arial" w:eastAsia="Arial" w:hAnsi="Arial"/>
                <w:sz w:val="11"/>
                <w:szCs w:val="11"/>
                <w:b w:val="1"/>
                <w:bCs w:val="1"/>
                <w:color w:val="205BA8"/>
              </w:rPr>
              <w:t>Board Vote Recommendation</w:t>
            </w:r>
          </w:p>
        </w:tc>
      </w:tr>
      <w:tr>
        <w:trPr>
          <w:trHeight w:val="676"/>
        </w:trPr>
        <w:tc>
          <w:tcPr>
            <w:tcW w:w="7180" w:type="dxa"/>
            <w:vAlign w:val="bottom"/>
            <w:tcBorders>
              <w:bottom w:val="single" w:sz="8" w:color="auto"/>
            </w:tcBorders>
          </w:tcPr>
          <w:p>
            <w:pPr>
              <w:ind w:left="200"/>
              <w:spacing w:after="0" w:line="673" w:lineRule="exact"/>
              <w:rPr>
                <w:sz w:val="20"/>
                <w:szCs w:val="20"/>
                <w:color w:val="auto"/>
              </w:rPr>
            </w:pPr>
            <w:r>
              <w:rPr>
                <w:rFonts w:ascii="Arial" w:cs="Arial" w:eastAsia="Arial" w:hAnsi="Arial"/>
                <w:sz w:val="59"/>
                <w:szCs w:val="59"/>
                <w:b w:val="1"/>
                <w:bCs w:val="1"/>
                <w:color w:val="D61C5A"/>
              </w:rPr>
              <w:t xml:space="preserve">1 </w:t>
            </w:r>
            <w:r>
              <w:rPr>
                <w:rFonts w:ascii="Arial" w:cs="Arial" w:eastAsia="Arial" w:hAnsi="Arial"/>
                <w:sz w:val="12"/>
                <w:szCs w:val="12"/>
                <w:color w:val="000000"/>
              </w:rPr>
              <w:t>Election of four Class I directors for a term of three years</w:t>
            </w:r>
          </w:p>
        </w:tc>
        <w:tc>
          <w:tcPr>
            <w:tcW w:w="32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205BA8"/>
              </w:rPr>
              <w:t xml:space="preserve">FOR </w:t>
            </w:r>
            <w:r>
              <w:rPr>
                <w:rFonts w:ascii="Arial" w:cs="Arial" w:eastAsia="Arial" w:hAnsi="Arial"/>
                <w:sz w:val="13"/>
                <w:szCs w:val="13"/>
                <w:color w:val="000000"/>
              </w:rPr>
              <w:t>each director nominee</w:t>
            </w:r>
          </w:p>
        </w:tc>
      </w:tr>
      <w:tr>
        <w:trPr>
          <w:trHeight w:val="188"/>
        </w:trPr>
        <w:tc>
          <w:tcPr>
            <w:tcW w:w="7180" w:type="dxa"/>
            <w:vAlign w:val="bottom"/>
            <w:shd w:val="clear" w:color="auto" w:fill="ECEDED"/>
          </w:tcPr>
          <w:p>
            <w:pPr>
              <w:ind w:left="720"/>
              <w:spacing w:after="0"/>
              <w:rPr>
                <w:sz w:val="20"/>
                <w:szCs w:val="20"/>
                <w:color w:val="auto"/>
              </w:rPr>
            </w:pPr>
            <w:r>
              <w:rPr>
                <w:rFonts w:ascii="Arial" w:cs="Arial" w:eastAsia="Arial" w:hAnsi="Arial"/>
                <w:sz w:val="13"/>
                <w:szCs w:val="13"/>
                <w:color w:val="auto"/>
                <w:w w:val="99"/>
              </w:rPr>
              <w:t>Ratification of the appointment of PricewaterhouseCoopers LLP as the Company’s independent registered public</w:t>
            </w:r>
          </w:p>
        </w:tc>
        <w:tc>
          <w:tcPr>
            <w:tcW w:w="3220" w:type="dxa"/>
            <w:vAlign w:val="bottom"/>
            <w:shd w:val="clear" w:color="auto" w:fill="ECEDED"/>
          </w:tcPr>
          <w:p>
            <w:pPr>
              <w:ind w:left="200"/>
              <w:spacing w:after="0"/>
              <w:rPr>
                <w:sz w:val="20"/>
                <w:szCs w:val="20"/>
                <w:color w:val="auto"/>
              </w:rPr>
            </w:pPr>
            <w:r>
              <w:rPr>
                <w:rFonts w:ascii="Arial" w:cs="Arial" w:eastAsia="Arial" w:hAnsi="Arial"/>
                <w:sz w:val="13"/>
                <w:szCs w:val="13"/>
                <w:b w:val="1"/>
                <w:bCs w:val="1"/>
                <w:color w:val="205BA8"/>
              </w:rPr>
              <w:t>FOR</w:t>
            </w:r>
          </w:p>
        </w:tc>
      </w:tr>
      <w:tr>
        <w:trPr>
          <w:trHeight w:val="481"/>
        </w:trPr>
        <w:tc>
          <w:tcPr>
            <w:tcW w:w="7180" w:type="dxa"/>
            <w:vAlign w:val="bottom"/>
            <w:tcBorders>
              <w:bottom w:val="single" w:sz="8" w:color="auto"/>
            </w:tcBorders>
            <w:shd w:val="clear" w:color="auto" w:fill="ECEDED"/>
          </w:tcPr>
          <w:p>
            <w:pPr>
              <w:ind w:left="200"/>
              <w:spacing w:after="0" w:line="480" w:lineRule="exact"/>
              <w:rPr>
                <w:sz w:val="20"/>
                <w:szCs w:val="20"/>
                <w:color w:val="auto"/>
              </w:rPr>
            </w:pPr>
            <w:r>
              <w:rPr>
                <w:rFonts w:ascii="Arial" w:cs="Arial" w:eastAsia="Arial" w:hAnsi="Arial"/>
                <w:sz w:val="55"/>
                <w:szCs w:val="55"/>
                <w:b w:val="1"/>
                <w:bCs w:val="1"/>
                <w:color w:val="D61C5A"/>
              </w:rPr>
              <w:t xml:space="preserve">2 </w:t>
            </w:r>
            <w:r>
              <w:rPr>
                <w:rFonts w:ascii="Arial" w:cs="Arial" w:eastAsia="Arial" w:hAnsi="Arial"/>
                <w:sz w:val="12"/>
                <w:szCs w:val="12"/>
                <w:color w:val="000000"/>
              </w:rPr>
              <w:t>accounting firm for the fiscal year ending December 31, 2019</w:t>
            </w:r>
          </w:p>
        </w:tc>
        <w:tc>
          <w:tcPr>
            <w:tcW w:w="3220" w:type="dxa"/>
            <w:vAlign w:val="bottom"/>
            <w:tcBorders>
              <w:bottom w:val="single" w:sz="8" w:color="auto"/>
            </w:tcBorders>
            <w:shd w:val="clear" w:color="auto" w:fill="ECEDED"/>
          </w:tcPr>
          <w:p>
            <w:pPr>
              <w:spacing w:after="0"/>
              <w:rPr>
                <w:sz w:val="24"/>
                <w:szCs w:val="24"/>
                <w:color w:val="auto"/>
              </w:rPr>
            </w:pPr>
          </w:p>
        </w:tc>
      </w:tr>
    </w:tbl>
    <w:p>
      <w:pPr>
        <w:spacing w:after="0" w:line="103" w:lineRule="exact"/>
        <w:rPr>
          <w:sz w:val="20"/>
          <w:szCs w:val="20"/>
          <w:color w:val="auto"/>
        </w:rPr>
      </w:pPr>
    </w:p>
    <w:p>
      <w:pPr>
        <w:sectPr>
          <w:pgSz w:w="11900" w:h="16838" w:orient="portrait"/>
          <w:cols w:equalWidth="0" w:num="1">
            <w:col w:w="10400"/>
          </w:cols>
          <w:pgMar w:left="760" w:top="1413" w:right="739" w:bottom="1440" w:gutter="0" w:footer="0" w:header="0"/>
        </w:sectPr>
      </w:pPr>
    </w:p>
    <w:p>
      <w:pPr>
        <w:spacing w:after="0"/>
        <w:rPr>
          <w:sz w:val="20"/>
          <w:szCs w:val="20"/>
          <w:color w:val="auto"/>
        </w:rPr>
      </w:pPr>
      <w:r>
        <w:rPr>
          <w:rFonts w:ascii="Arial" w:cs="Arial" w:eastAsia="Arial" w:hAnsi="Arial"/>
          <w:sz w:val="47"/>
          <w:szCs w:val="47"/>
          <w:b w:val="1"/>
          <w:bCs w:val="1"/>
          <w:color w:val="auto"/>
        </w:rPr>
        <w:t>PROXY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168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WE SEEK YOUR INPUT ON OUR BOARD</w:t>
      </w:r>
    </w:p>
    <w:p>
      <w:pPr>
        <w:spacing w:after="0" w:line="176" w:lineRule="exact"/>
        <w:rPr>
          <w:sz w:val="20"/>
          <w:szCs w:val="20"/>
          <w:color w:val="auto"/>
        </w:rPr>
      </w:pPr>
    </w:p>
    <w:p>
      <w:pPr>
        <w:spacing w:after="0" w:line="219" w:lineRule="auto"/>
        <w:rPr>
          <w:sz w:val="20"/>
          <w:szCs w:val="20"/>
          <w:color w:val="auto"/>
        </w:rPr>
      </w:pPr>
      <w:r>
        <w:rPr>
          <w:rFonts w:ascii="Arial" w:cs="Arial" w:eastAsia="Arial" w:hAnsi="Arial"/>
          <w:sz w:val="15"/>
          <w:szCs w:val="15"/>
          <w:color w:val="auto"/>
        </w:rPr>
        <w:t>The composition of our board of directors reflects our core principle of “science first”: over half of our directors are members of the National Academy of Sciences, and our board members include two Nobel laureates and holders of many scientific awards. By having our board of directors heavily populated with top-science talent, we signal to our shareholders and employees our seriousness about the Company’s dedication to science and its core competencies and primary value driver. Our board also includes individuals with experience building shareholder value through all stages of corporate development, as well as governance, financial, and policy expertise. Five of our board’s current 12 members are diverse by gender, race, or national origin.</w:t>
      </w:r>
    </w:p>
    <w:p>
      <w:pPr>
        <w:spacing w:after="0" w:line="140" w:lineRule="exact"/>
        <w:rPr>
          <w:sz w:val="20"/>
          <w:szCs w:val="20"/>
          <w:color w:val="auto"/>
        </w:rPr>
      </w:pPr>
    </w:p>
    <w:p>
      <w:pPr>
        <w:ind w:right="560"/>
        <w:spacing w:after="0" w:line="229" w:lineRule="auto"/>
        <w:rPr>
          <w:sz w:val="20"/>
          <w:szCs w:val="20"/>
          <w:color w:val="auto"/>
        </w:rPr>
      </w:pPr>
      <w:r>
        <w:rPr>
          <w:rFonts w:ascii="Arial" w:cs="Arial" w:eastAsia="Arial" w:hAnsi="Arial"/>
          <w:sz w:val="15"/>
          <w:szCs w:val="15"/>
          <w:color w:val="auto"/>
        </w:rPr>
        <w:t>Please refer to “Proposal No. 1: Election of Directors”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WE SEEK RATIFICATION OF OUR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3168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156" w:lineRule="exact"/>
        <w:rPr>
          <w:sz w:val="20"/>
          <w:szCs w:val="20"/>
          <w:color w:val="auto"/>
        </w:rPr>
      </w:pPr>
    </w:p>
    <w:p>
      <w:pPr>
        <w:ind w:right="40"/>
        <w:spacing w:after="0" w:line="220" w:lineRule="auto"/>
        <w:rPr>
          <w:sz w:val="20"/>
          <w:szCs w:val="20"/>
          <w:color w:val="auto"/>
        </w:rPr>
      </w:pPr>
      <w:r>
        <w:rPr>
          <w:rFonts w:ascii="Arial" w:cs="Arial" w:eastAsia="Arial" w:hAnsi="Arial"/>
          <w:sz w:val="15"/>
          <w:szCs w:val="15"/>
          <w:color w:val="auto"/>
        </w:rPr>
        <w:t>We pay close attention to the requirements applicable to us as a publicly traded company, including those relating to the audit of Regeneron’s financial statements by our independent registered public accounting firm, PricewaterhouseCoopers LLP. In this proxy statement, we are asking you to ratify the appointment of PricewaterhouseCoopers LLP as our independent registered public accounting firm for the fiscal year ending December 31, 2019.</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4"/>
          <w:szCs w:val="14"/>
          <w:color w:val="auto"/>
        </w:rPr>
        <w:t>Please refer to “Proposal No. 2: Ratification of Appointment of Independent Registered Public Accounting Firm”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205BA8"/>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152400</wp:posOffset>
            </wp:positionV>
            <wp:extent cx="72517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3302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-94615</wp:posOffset>
            </wp:positionV>
            <wp:extent cx="717550" cy="82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2">
            <w:col w:w="4860" w:space="540"/>
            <w:col w:w="5000"/>
          </w:cols>
          <w:pgMar w:left="760" w:top="1413" w:right="739" w:bottom="1440" w:gutter="0" w:footer="0" w:header="0"/>
          <w:type w:val="continuous"/>
        </w:sectPr>
      </w:pPr>
    </w:p>
    <w:bookmarkStart w:id="14" w:name="page15"/>
    <w:bookmarkEnd w:id="14"/>
    <w:p>
      <w:pPr>
        <w:spacing w:after="0"/>
        <w:tabs>
          <w:tab w:leader="none" w:pos="1220" w:val="left"/>
          <w:tab w:leader="none" w:pos="1400" w:val="left"/>
        </w:tabs>
        <w:rPr>
          <w:sz w:val="20"/>
          <w:szCs w:val="20"/>
          <w:color w:val="auto"/>
        </w:rPr>
      </w:pPr>
      <w:r>
        <w:rPr>
          <w:rFonts w:ascii="Arial" w:cs="Arial" w:eastAsia="Arial" w:hAnsi="Arial"/>
          <w:sz w:val="16"/>
          <w:szCs w:val="16"/>
          <w:b w:val="1"/>
          <w:bCs w:val="1"/>
          <w:color w:val="205BA8"/>
        </w:rPr>
        <w:t>USERS’ GUIDE</w:t>
      </w:r>
      <w:r>
        <w:rPr>
          <w:sz w:val="20"/>
          <w:szCs w:val="20"/>
          <w:color w:val="auto"/>
        </w:rPr>
        <w:tab/>
      </w:r>
      <w:r>
        <w:rPr>
          <w:rFonts w:ascii="Arial" w:cs="Arial" w:eastAsia="Arial" w:hAnsi="Arial"/>
          <w:sz w:val="16"/>
          <w:szCs w:val="16"/>
          <w:color w:val="205BA8"/>
        </w:rPr>
        <w:t>/</w:t>
      </w:r>
      <w:r>
        <w:rPr>
          <w:sz w:val="20"/>
          <w:szCs w:val="20"/>
          <w:color w:val="auto"/>
        </w:rPr>
        <w:tab/>
      </w:r>
      <w:r>
        <w:rPr>
          <w:rFonts w:ascii="Arial" w:cs="Arial" w:eastAsia="Arial" w:hAnsi="Arial"/>
          <w:sz w:val="14"/>
          <w:szCs w:val="14"/>
          <w:b w:val="1"/>
          <w:bCs w:val="1"/>
          <w:color w:val="D61C5A"/>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23" w:lineRule="exact"/>
        <w:rPr>
          <w:sz w:val="20"/>
          <w:szCs w:val="20"/>
          <w:color w:val="auto"/>
        </w:rPr>
      </w:pPr>
    </w:p>
    <w:p>
      <w:pPr>
        <w:ind w:right="1860"/>
        <w:spacing w:after="0" w:line="278" w:lineRule="auto"/>
        <w:rPr>
          <w:sz w:val="20"/>
          <w:szCs w:val="20"/>
          <w:color w:val="auto"/>
        </w:rPr>
      </w:pPr>
      <w:r>
        <w:rPr>
          <w:rFonts w:ascii="Arial" w:cs="Arial" w:eastAsia="Arial" w:hAnsi="Arial"/>
          <w:sz w:val="47"/>
          <w:szCs w:val="47"/>
          <w:b w:val="1"/>
          <w:bCs w:val="1"/>
          <w:color w:val="auto"/>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66001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35"/>
          <w:szCs w:val="35"/>
          <w:b w:val="1"/>
          <w:bCs w:val="1"/>
          <w:color w:val="D61C5A"/>
        </w:rPr>
        <w:t>ANNUAL</w:t>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34"/>
          <w:szCs w:val="34"/>
          <w:b w:val="1"/>
          <w:bCs w:val="1"/>
          <w:color w:val="D61C5A"/>
        </w:rPr>
        <w:t>MEETING INFORMATION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When is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22523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What time is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10:30 a.m. 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color w:val="205BA8"/>
        </w:rPr>
        <w:t>Can I listen to the meeting live if I cannot attend in person?</w:t>
      </w:r>
    </w:p>
    <w:p>
      <w:pPr>
        <w:spacing w:after="0" w:line="42" w:lineRule="exact"/>
        <w:rPr>
          <w:sz w:val="20"/>
          <w:szCs w:val="20"/>
          <w:color w:val="auto"/>
        </w:rPr>
      </w:pPr>
    </w:p>
    <w:p>
      <w:pPr>
        <w:ind w:right="20"/>
        <w:spacing w:after="0" w:line="225" w:lineRule="auto"/>
        <w:rPr>
          <w:sz w:val="20"/>
          <w:szCs w:val="20"/>
          <w:color w:val="auto"/>
        </w:rPr>
      </w:pPr>
      <w:r>
        <w:rPr>
          <w:rFonts w:ascii="Arial" w:cs="Arial" w:eastAsia="Arial" w:hAnsi="Arial"/>
          <w:sz w:val="15"/>
          <w:szCs w:val="15"/>
          <w:color w:val="auto"/>
        </w:rPr>
        <w:t xml:space="preserve">The Annual Meeting will be webcast. Information about the webcast will be available on our website at </w:t>
      </w:r>
      <w:r>
        <w:rPr>
          <w:rFonts w:ascii="Arial" w:cs="Arial" w:eastAsia="Arial" w:hAnsi="Arial"/>
          <w:sz w:val="15"/>
          <w:szCs w:val="15"/>
          <w:b w:val="1"/>
          <w:bCs w:val="1"/>
          <w:color w:val="auto"/>
        </w:rPr>
        <w:t>http://newsroom.regeneron.com.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22440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3">
            <w:col w:w="2420" w:space="600"/>
            <w:col w:w="3120" w:space="720"/>
            <w:col w:w="3540"/>
          </w:cols>
          <w:pgMar w:left="760" w:top="396" w:right="739" w:bottom="1440" w:gutter="0" w:footer="0" w:header="0"/>
          <w:type w:val="continuous"/>
        </w:sectPr>
      </w:pPr>
    </w:p>
    <w:p>
      <w:pPr>
        <w:spacing w:after="0" w:line="338"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Where is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-241300</wp:posOffset>
            </wp:positionV>
            <wp:extent cx="22523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75"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Westchester Marriott Hotel</w:t>
      </w:r>
    </w:p>
    <w:p>
      <w:pPr>
        <w:ind w:left="3020"/>
        <w:spacing w:after="0" w:line="216" w:lineRule="auto"/>
        <w:rPr>
          <w:sz w:val="20"/>
          <w:szCs w:val="20"/>
          <w:color w:val="auto"/>
        </w:rPr>
      </w:pPr>
      <w:r>
        <w:rPr>
          <w:rFonts w:ascii="Arial" w:cs="Arial" w:eastAsia="Arial" w:hAnsi="Arial"/>
          <w:sz w:val="15"/>
          <w:szCs w:val="15"/>
          <w:color w:val="auto"/>
        </w:rPr>
        <w:t>670 White Plains Road,</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114300</wp:posOffset>
            </wp:positionV>
            <wp:extent cx="22523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7"/>
          <w:szCs w:val="17"/>
          <w:b w:val="1"/>
          <w:bCs w:val="1"/>
          <w:color w:val="205BA8"/>
        </w:rPr>
        <w:t>What is on the agenda for the meeting?</w:t>
      </w:r>
    </w:p>
    <w:p>
      <w:pPr>
        <w:spacing w:after="0" w:line="111" w:lineRule="exact"/>
        <w:rPr>
          <w:sz w:val="20"/>
          <w:szCs w:val="20"/>
          <w:color w:val="auto"/>
        </w:rPr>
      </w:pPr>
    </w:p>
    <w:p>
      <w:pPr>
        <w:ind w:left="303" w:right="340" w:hanging="303"/>
        <w:spacing w:after="0" w:line="229" w:lineRule="auto"/>
        <w:tabs>
          <w:tab w:leader="none" w:pos="314" w:val="left"/>
        </w:tabs>
        <w:numPr>
          <w:ilvl w:val="0"/>
          <w:numId w:val="11"/>
        </w:numPr>
        <w:rPr>
          <w:rFonts w:ascii="Arial" w:cs="Arial" w:eastAsia="Arial" w:hAnsi="Arial"/>
          <w:sz w:val="15"/>
          <w:szCs w:val="15"/>
          <w:color w:val="205BA8"/>
        </w:rPr>
      </w:pPr>
      <w:r>
        <w:rPr>
          <w:rFonts w:ascii="Arial" w:cs="Arial" w:eastAsia="Arial" w:hAnsi="Arial"/>
          <w:sz w:val="15"/>
          <w:szCs w:val="15"/>
          <w:color w:val="auto"/>
        </w:rPr>
        <w:t>Election of four Class I directors for a term of three years</w:t>
      </w:r>
    </w:p>
    <w:p>
      <w:pPr>
        <w:spacing w:after="0" w:line="74" w:lineRule="exact"/>
        <w:rPr>
          <w:sz w:val="20"/>
          <w:szCs w:val="20"/>
          <w:color w:val="auto"/>
        </w:rPr>
      </w:pPr>
    </w:p>
    <w:p>
      <w:pPr>
        <w:ind w:left="303" w:right="80" w:hanging="303"/>
        <w:spacing w:after="0" w:line="239" w:lineRule="auto"/>
        <w:tabs>
          <w:tab w:leader="none" w:pos="314" w:val="left"/>
        </w:tabs>
        <w:numPr>
          <w:ilvl w:val="0"/>
          <w:numId w:val="12"/>
        </w:numPr>
        <w:rPr>
          <w:rFonts w:ascii="Arial" w:cs="Arial" w:eastAsia="Arial" w:hAnsi="Arial"/>
          <w:sz w:val="14"/>
          <w:szCs w:val="14"/>
          <w:color w:val="205BA8"/>
        </w:rPr>
      </w:pPr>
      <w:r>
        <w:rPr>
          <w:rFonts w:ascii="Arial" w:cs="Arial" w:eastAsia="Arial" w:hAnsi="Arial"/>
          <w:sz w:val="14"/>
          <w:szCs w:val="14"/>
          <w:color w:val="auto"/>
        </w:rPr>
        <w:t>Ratification of the appointment of PricewaterhouseCoopers LLP as the Company’s independent registered public accounting firm for the fiscal year ending December 31, 2019</w:t>
      </w:r>
    </w:p>
    <w:p>
      <w:pPr>
        <w:spacing w:after="0" w:line="143" w:lineRule="exact"/>
        <w:rPr>
          <w:sz w:val="20"/>
          <w:szCs w:val="20"/>
          <w:color w:val="auto"/>
        </w:rPr>
      </w:pPr>
    </w:p>
    <w:p>
      <w:pPr>
        <w:sectPr>
          <w:pgSz w:w="11900" w:h="16838" w:orient="portrait"/>
          <w:cols w:equalWidth="0" w:num="2">
            <w:col w:w="6137" w:space="720"/>
            <w:col w:w="3543"/>
          </w:cols>
          <w:pgMar w:left="760" w:top="396" w:right="739" w:bottom="1440" w:gutter="0" w:footer="0" w:header="0"/>
          <w:type w:val="continuous"/>
        </w:sectPr>
      </w:pPr>
    </w:p>
    <w:p>
      <w:pPr>
        <w:ind w:left="3020" w:right="20"/>
        <w:spacing w:after="0" w:line="282" w:lineRule="auto"/>
        <w:rPr>
          <w:sz w:val="20"/>
          <w:szCs w:val="20"/>
          <w:color w:val="auto"/>
        </w:rPr>
      </w:pPr>
      <w:r>
        <w:rPr>
          <w:rFonts w:ascii="Arial" w:cs="Arial" w:eastAsia="Arial" w:hAnsi="Arial"/>
          <w:sz w:val="17"/>
          <w:szCs w:val="17"/>
          <w:b w:val="1"/>
          <w:bCs w:val="1"/>
          <w:color w:val="205BA8"/>
        </w:rPr>
        <w:t>What form of identification do I need to be admitted to the meeting?</w:t>
      </w:r>
    </w:p>
    <w:p>
      <w:pPr>
        <w:spacing w:after="0" w:line="42" w:lineRule="exact"/>
        <w:rPr>
          <w:sz w:val="20"/>
          <w:szCs w:val="20"/>
          <w:color w:val="auto"/>
        </w:rPr>
      </w:pPr>
    </w:p>
    <w:p>
      <w:pPr>
        <w:ind w:left="3020"/>
        <w:spacing w:after="0" w:line="225" w:lineRule="auto"/>
        <w:rPr>
          <w:sz w:val="20"/>
          <w:szCs w:val="20"/>
          <w:color w:val="auto"/>
        </w:rPr>
      </w:pPr>
      <w:r>
        <w:rPr>
          <w:rFonts w:ascii="Arial" w:cs="Arial" w:eastAsia="Arial" w:hAnsi="Arial"/>
          <w:sz w:val="15"/>
          <w:szCs w:val="15"/>
          <w:color w:val="auto"/>
        </w:rPr>
        <w:t>If you attend the Annual Meeting in person, you will be asked to present valid, government-issued photo identification, such as a driver’s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113665</wp:posOffset>
            </wp:positionV>
            <wp:extent cx="22523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720"/>
        <w:spacing w:after="0" w:line="282" w:lineRule="auto"/>
        <w:rPr>
          <w:sz w:val="20"/>
          <w:szCs w:val="20"/>
          <w:color w:val="auto"/>
        </w:rPr>
      </w:pPr>
      <w:r>
        <w:rPr>
          <w:rFonts w:ascii="Arial" w:cs="Arial" w:eastAsia="Arial" w:hAnsi="Arial"/>
          <w:sz w:val="17"/>
          <w:szCs w:val="17"/>
          <w:b w:val="1"/>
          <w:bCs w:val="1"/>
          <w:color w:val="205BA8"/>
        </w:rPr>
        <w:t>Can I ask a question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-408305</wp:posOffset>
            </wp:positionV>
            <wp:extent cx="22440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spacing w:after="0" w:line="22" w:lineRule="exact"/>
        <w:rPr>
          <w:sz w:val="20"/>
          <w:szCs w:val="20"/>
          <w:color w:val="auto"/>
        </w:rPr>
      </w:pPr>
    </w:p>
    <w:p>
      <w:pPr>
        <w:ind w:right="360"/>
        <w:spacing w:after="0" w:line="225" w:lineRule="auto"/>
        <w:rPr>
          <w:sz w:val="20"/>
          <w:szCs w:val="20"/>
          <w:color w:val="auto"/>
        </w:rPr>
      </w:pPr>
      <w:r>
        <w:rPr>
          <w:rFonts w:ascii="Arial" w:cs="Arial" w:eastAsia="Arial" w:hAnsi="Arial"/>
          <w:sz w:val="15"/>
          <w:szCs w:val="15"/>
          <w:color w:val="auto"/>
        </w:rPr>
        <w:t>In-person attendees of the Annual Meeting will be given an opportunity to ask questions during a designated question-and-answer period.</w:t>
      </w:r>
    </w:p>
    <w:p>
      <w:pPr>
        <w:spacing w:after="0" w:line="143" w:lineRule="exact"/>
        <w:rPr>
          <w:sz w:val="20"/>
          <w:szCs w:val="20"/>
          <w:color w:val="auto"/>
        </w:rPr>
      </w:pPr>
    </w:p>
    <w:p>
      <w:pPr>
        <w:sectPr>
          <w:pgSz w:w="11900" w:h="16838" w:orient="portrait"/>
          <w:cols w:equalWidth="0" w:num="2">
            <w:col w:w="6500" w:space="360"/>
            <w:col w:w="3540"/>
          </w:cols>
          <w:pgMar w:left="760" w:top="396" w:right="739" w:bottom="1440" w:gutter="0" w:footer="0" w:header="0"/>
          <w:type w:val="continuous"/>
        </w:sectPr>
      </w:pPr>
    </w:p>
    <w:p>
      <w:pPr>
        <w:ind w:left="3020"/>
        <w:spacing w:after="0"/>
        <w:rPr>
          <w:sz w:val="20"/>
          <w:szCs w:val="20"/>
          <w:color w:val="auto"/>
        </w:rPr>
      </w:pPr>
      <w:r>
        <w:rPr>
          <w:rFonts w:ascii="Arial" w:cs="Arial" w:eastAsia="Arial" w:hAnsi="Arial"/>
          <w:sz w:val="17"/>
          <w:szCs w:val="17"/>
          <w:b w:val="1"/>
          <w:bCs w:val="1"/>
          <w:color w:val="205BA8"/>
        </w:rPr>
        <w:t>Where can I find directions to the annual</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meeting?</w:t>
      </w:r>
    </w:p>
    <w:p>
      <w:pPr>
        <w:spacing w:after="0" w:line="73"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Directions to this location are available on our website</w:t>
      </w:r>
    </w:p>
    <w:p>
      <w:pPr>
        <w:ind w:left="3020"/>
        <w:spacing w:after="0"/>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b w:val="1"/>
          <w:bCs w:val="1"/>
          <w:color w:val="auto"/>
        </w:rPr>
        <w:t>http://newsroom.regeneron.com.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114300</wp:posOffset>
            </wp:positionV>
            <wp:extent cx="22523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345"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Can I vote at the Annual Meeting?</w:t>
      </w:r>
    </w:p>
    <w:p>
      <w:pPr>
        <w:spacing w:after="0" w:line="95"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Only shareholders of record at the close of business</w:t>
      </w:r>
    </w:p>
    <w:p>
      <w:pPr>
        <w:ind w:left="3020"/>
        <w:spacing w:after="0" w:line="216" w:lineRule="auto"/>
        <w:rPr>
          <w:sz w:val="20"/>
          <w:szCs w:val="20"/>
          <w:color w:val="auto"/>
        </w:rPr>
      </w:pPr>
      <w:r>
        <w:rPr>
          <w:rFonts w:ascii="Arial" w:cs="Arial" w:eastAsia="Arial" w:hAnsi="Arial"/>
          <w:sz w:val="15"/>
          <w:szCs w:val="15"/>
          <w:color w:val="auto"/>
        </w:rPr>
        <w:t>on the record date, April 17, 2019, are entitled to vote</w:t>
      </w:r>
    </w:p>
    <w:p>
      <w:pPr>
        <w:ind w:left="3020"/>
        <w:spacing w:after="0" w:line="217" w:lineRule="auto"/>
        <w:rPr>
          <w:sz w:val="20"/>
          <w:szCs w:val="20"/>
          <w:color w:val="auto"/>
        </w:rPr>
      </w:pPr>
      <w:r>
        <w:rPr>
          <w:rFonts w:ascii="Arial" w:cs="Arial" w:eastAsia="Arial" w:hAnsi="Arial"/>
          <w:sz w:val="15"/>
          <w:szCs w:val="15"/>
          <w:color w:val="auto"/>
        </w:rPr>
        <w:t>at the Annual Meeting. As of April 17, 2019,</w:t>
      </w:r>
    </w:p>
    <w:p>
      <w:pPr>
        <w:ind w:left="3020"/>
        <w:spacing w:after="0" w:line="217" w:lineRule="auto"/>
        <w:rPr>
          <w:sz w:val="20"/>
          <w:szCs w:val="20"/>
          <w:color w:val="auto"/>
        </w:rPr>
      </w:pPr>
      <w:r>
        <w:rPr>
          <w:rFonts w:ascii="Arial" w:cs="Arial" w:eastAsia="Arial" w:hAnsi="Arial"/>
          <w:sz w:val="15"/>
          <w:szCs w:val="15"/>
          <w:color w:val="auto"/>
        </w:rPr>
        <w:t>107,727,418 shares of the Company’s common stock,</w:t>
      </w:r>
    </w:p>
    <w:p>
      <w:pPr>
        <w:ind w:left="3020"/>
        <w:spacing w:after="0" w:line="217" w:lineRule="auto"/>
        <w:rPr>
          <w:sz w:val="20"/>
          <w:szCs w:val="20"/>
          <w:color w:val="auto"/>
        </w:rPr>
      </w:pPr>
      <w:r>
        <w:rPr>
          <w:rFonts w:ascii="Arial" w:cs="Arial" w:eastAsia="Arial" w:hAnsi="Arial"/>
          <w:sz w:val="15"/>
          <w:szCs w:val="15"/>
          <w:color w:val="auto"/>
        </w:rPr>
        <w:t>par value $0.001 per share (“common stock”), and</w:t>
      </w:r>
    </w:p>
    <w:p>
      <w:pPr>
        <w:ind w:left="3020"/>
        <w:spacing w:after="0" w:line="217" w:lineRule="auto"/>
        <w:rPr>
          <w:sz w:val="20"/>
          <w:szCs w:val="20"/>
          <w:color w:val="auto"/>
        </w:rPr>
      </w:pPr>
      <w:r>
        <w:rPr>
          <w:rFonts w:ascii="Arial" w:cs="Arial" w:eastAsia="Arial" w:hAnsi="Arial"/>
          <w:sz w:val="15"/>
          <w:szCs w:val="15"/>
          <w:color w:val="auto"/>
        </w:rPr>
        <w:t>1,911,354 shares of Class A stock, par value $0.001</w:t>
      </w:r>
    </w:p>
    <w:p>
      <w:pPr>
        <w:ind w:left="3020"/>
        <w:spacing w:after="0" w:line="217" w:lineRule="auto"/>
        <w:rPr>
          <w:sz w:val="20"/>
          <w:szCs w:val="20"/>
          <w:color w:val="auto"/>
        </w:rPr>
      </w:pPr>
      <w:r>
        <w:rPr>
          <w:rFonts w:ascii="Arial" w:cs="Arial" w:eastAsia="Arial" w:hAnsi="Arial"/>
          <w:sz w:val="15"/>
          <w:szCs w:val="15"/>
          <w:color w:val="auto"/>
        </w:rPr>
        <w:t>per share (“Class A stock”), were issued and</w:t>
      </w:r>
    </w:p>
    <w:p>
      <w:pPr>
        <w:ind w:left="3020"/>
        <w:spacing w:after="0" w:line="217" w:lineRule="auto"/>
        <w:rPr>
          <w:sz w:val="20"/>
          <w:szCs w:val="20"/>
          <w:color w:val="auto"/>
        </w:rPr>
      </w:pPr>
      <w:r>
        <w:rPr>
          <w:rFonts w:ascii="Arial" w:cs="Arial" w:eastAsia="Arial" w:hAnsi="Arial"/>
          <w:sz w:val="15"/>
          <w:szCs w:val="15"/>
          <w:color w:val="auto"/>
        </w:rPr>
        <w:t>outstanding. The common stock and the Class A stock</w:t>
      </w:r>
    </w:p>
    <w:p>
      <w:pPr>
        <w:ind w:left="3020"/>
        <w:spacing w:after="0" w:line="217" w:lineRule="auto"/>
        <w:rPr>
          <w:sz w:val="20"/>
          <w:szCs w:val="20"/>
          <w:color w:val="auto"/>
        </w:rPr>
      </w:pPr>
      <w:r>
        <w:rPr>
          <w:rFonts w:ascii="Arial" w:cs="Arial" w:eastAsia="Arial" w:hAnsi="Arial"/>
          <w:sz w:val="15"/>
          <w:szCs w:val="15"/>
          <w:color w:val="auto"/>
        </w:rPr>
        <w:t>vote together on all matters as a single class, with the</w:t>
      </w:r>
    </w:p>
    <w:p>
      <w:pPr>
        <w:ind w:left="3020"/>
        <w:spacing w:after="0" w:line="217" w:lineRule="auto"/>
        <w:rPr>
          <w:sz w:val="20"/>
          <w:szCs w:val="20"/>
          <w:color w:val="auto"/>
        </w:rPr>
      </w:pPr>
      <w:r>
        <w:rPr>
          <w:rFonts w:ascii="Arial" w:cs="Arial" w:eastAsia="Arial" w:hAnsi="Arial"/>
          <w:sz w:val="15"/>
          <w:szCs w:val="15"/>
          <w:color w:val="auto"/>
        </w:rPr>
        <w:t>common stock being entitled to one vote per share and</w:t>
      </w:r>
    </w:p>
    <w:p>
      <w:pPr>
        <w:ind w:left="3020"/>
        <w:spacing w:after="0"/>
        <w:rPr>
          <w:sz w:val="20"/>
          <w:szCs w:val="20"/>
          <w:color w:val="auto"/>
        </w:rPr>
      </w:pPr>
      <w:r>
        <w:rPr>
          <w:rFonts w:ascii="Arial" w:cs="Arial" w:eastAsia="Arial" w:hAnsi="Arial"/>
          <w:sz w:val="15"/>
          <w:szCs w:val="15"/>
          <w:color w:val="auto"/>
        </w:rPr>
        <w:t>the Class A stock being entitled to ten votes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2  /  </w:t>
      </w:r>
      <w:r>
        <w:rPr>
          <w:sz w:val="1"/>
          <w:szCs w:val="1"/>
          <w:color w:val="auto"/>
        </w:rPr>
        <w:drawing>
          <wp:inline distT="0" distB="0" distL="0" distR="0">
            <wp:extent cx="717550" cy="825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type w:val="continuous"/>
        </w:sectPr>
      </w:pPr>
    </w:p>
    <w:bookmarkStart w:id="15" w:name="page16"/>
    <w:bookmarkEnd w:id="15"/>
    <w:p>
      <w:pPr>
        <w:ind w:left="5380"/>
        <w:spacing w:after="0"/>
        <w:rPr>
          <w:sz w:val="20"/>
          <w:szCs w:val="20"/>
          <w:color w:val="auto"/>
        </w:rPr>
      </w:pPr>
      <w:r>
        <w:rPr>
          <w:rFonts w:ascii="Arial" w:cs="Arial" w:eastAsia="Arial" w:hAnsi="Arial"/>
          <w:sz w:val="14"/>
          <w:szCs w:val="14"/>
          <w:b w:val="1"/>
          <w:bCs w:val="1"/>
          <w:color w:val="205BA8"/>
        </w:rPr>
        <w:t xml:space="preserve">USERS’ GUIDE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295910</wp:posOffset>
            </wp:positionV>
            <wp:extent cx="66001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34"/>
          <w:szCs w:val="34"/>
          <w:b w:val="1"/>
          <w:bCs w:val="1"/>
          <w:color w:val="D61C5A"/>
        </w:rPr>
        <w:t>VOTING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color w:val="205BA8"/>
        </w:rPr>
        <w:t>Why did I receive a notice in the mail regarding the Internet availability of proxy materials instead of a paper copy of the proxy materials?</w:t>
      </w:r>
    </w:p>
    <w:p>
      <w:pPr>
        <w:spacing w:after="0" w:line="67" w:lineRule="exact"/>
        <w:rPr>
          <w:sz w:val="20"/>
          <w:szCs w:val="20"/>
          <w:color w:val="auto"/>
        </w:rPr>
      </w:pPr>
    </w:p>
    <w:p>
      <w:pPr>
        <w:ind w:right="20"/>
        <w:spacing w:after="0"/>
        <w:rPr>
          <w:sz w:val="20"/>
          <w:szCs w:val="20"/>
          <w:color w:val="auto"/>
        </w:rPr>
      </w:pPr>
      <w:r>
        <w:rPr>
          <w:rFonts w:ascii="Arial" w:cs="Arial" w:eastAsia="Arial" w:hAnsi="Arial"/>
          <w:sz w:val="14"/>
          <w:szCs w:val="14"/>
          <w:color w:val="auto"/>
        </w:rPr>
        <w:t>The “Notice and Access” rules of the United States Securities and Exchange Commission (the “SEC”) permit us to furnish proxy materials, including this proxy statement and our Annual Report on Form 10-K for the fiscal year ended December 31, 2018 filed with the SEC on February 7, 2019 (the “2018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This method reduces the environmental impact of the Annual Meeting. The Notice will be mailed beginning on or about April 26, 2019. The Notice includes instructions on how you may access and review all of our proxy materials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22523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color w:val="205BA8"/>
        </w:rPr>
        <w:t>Can I vote my shares by filling out and returning the Notice?</w:t>
      </w:r>
    </w:p>
    <w:p>
      <w:pPr>
        <w:spacing w:after="0" w:line="42" w:lineRule="exact"/>
        <w:rPr>
          <w:sz w:val="20"/>
          <w:szCs w:val="20"/>
          <w:color w:val="auto"/>
        </w:rPr>
      </w:pPr>
    </w:p>
    <w:p>
      <w:pPr>
        <w:ind w:right="120"/>
        <w:spacing w:after="0" w:line="221" w:lineRule="auto"/>
        <w:rPr>
          <w:sz w:val="20"/>
          <w:szCs w:val="20"/>
          <w:color w:val="auto"/>
        </w:rPr>
      </w:pPr>
      <w:r>
        <w:rPr>
          <w:rFonts w:ascii="Arial" w:cs="Arial" w:eastAsia="Arial" w:hAnsi="Arial"/>
          <w:sz w:val="15"/>
          <w:szCs w:val="15"/>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22523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Why did I receive the Notice?</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We sent you the Notice regarding this proxy statement because Regeneron’s board of directors is asking (technically called soliciting) holders of common stock and Class A stock to provide proxies to be voted at our 2019 Annual Meeting of Shareholders or at any adjournment(s) or postponement(s)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How are proxies voted?</w:t>
      </w:r>
    </w:p>
    <w:p>
      <w:pPr>
        <w:spacing w:after="0" w:line="111" w:lineRule="exact"/>
        <w:rPr>
          <w:sz w:val="20"/>
          <w:szCs w:val="20"/>
          <w:color w:val="auto"/>
        </w:rPr>
      </w:pPr>
    </w:p>
    <w:p>
      <w:pPr>
        <w:ind w:right="20"/>
        <w:spacing w:after="0" w:line="218" w:lineRule="auto"/>
        <w:rPr>
          <w:sz w:val="20"/>
          <w:szCs w:val="20"/>
          <w:color w:val="auto"/>
        </w:rPr>
      </w:pPr>
      <w:r>
        <w:rPr>
          <w:rFonts w:ascii="Arial" w:cs="Arial" w:eastAsia="Arial" w:hAnsi="Arial"/>
          <w:sz w:val="15"/>
          <w:szCs w:val="15"/>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at the meeting?”, to be presented at the Annual Meeting. If any other matter properly comes before the Annual Meeting, the persons named and designated as proxies will vote your shares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2244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spacing w:after="0" w:line="35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205BA8"/>
        </w:rPr>
        <w:t>Why didn’t I receive a notice in the mail about the Internet availability of the proxy materials?</w:t>
      </w:r>
    </w:p>
    <w:p>
      <w:pPr>
        <w:spacing w:after="0" w:line="61" w:lineRule="exact"/>
        <w:rPr>
          <w:sz w:val="20"/>
          <w:szCs w:val="20"/>
          <w:color w:val="auto"/>
        </w:rPr>
      </w:pPr>
    </w:p>
    <w:p>
      <w:pPr>
        <w:jc w:val="both"/>
        <w:ind w:right="80"/>
        <w:spacing w:after="0" w:line="232" w:lineRule="auto"/>
        <w:rPr>
          <w:sz w:val="20"/>
          <w:szCs w:val="20"/>
          <w:color w:val="auto"/>
        </w:rPr>
      </w:pPr>
      <w:r>
        <w:rPr>
          <w:rFonts w:ascii="Arial" w:cs="Arial" w:eastAsia="Arial" w:hAnsi="Arial"/>
          <w:sz w:val="14"/>
          <w:szCs w:val="14"/>
          <w:color w:val="auto"/>
        </w:rPr>
        <w:t>Shareholders who previously elected to receive proxy materials by e-mail will not receive a notice in the mail about the Internet availability of the proxy materials.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15"/>
          <w:szCs w:val="15"/>
          <w:color w:val="auto"/>
        </w:rPr>
        <w:t>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will receive paper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22440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What constitutes a quorum?</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4"/>
          <w:szCs w:val="14"/>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210" w:lineRule="exact"/>
        <w:rPr>
          <w:sz w:val="20"/>
          <w:szCs w:val="20"/>
          <w:color w:val="auto"/>
        </w:rPr>
      </w:pPr>
    </w:p>
    <w:p>
      <w:pPr>
        <w:sectPr>
          <w:pgSz w:w="11900" w:h="16838" w:orient="portrait"/>
          <w:cols w:equalWidth="0" w:num="3">
            <w:col w:w="2420" w:space="600"/>
            <w:col w:w="3520" w:space="320"/>
            <w:col w:w="3540"/>
          </w:cols>
          <w:pgMar w:left="760" w:top="396" w:right="7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164465</wp:posOffset>
            </wp:positionV>
            <wp:extent cx="725170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205BA8"/>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-94615</wp:posOffset>
            </wp:positionV>
            <wp:extent cx="717550" cy="82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2">
            <w:col w:w="9440" w:space="720"/>
            <w:col w:w="240"/>
          </w:cols>
          <w:pgMar w:left="760" w:top="396" w:right="739" w:bottom="1440" w:gutter="0" w:footer="0" w:header="0"/>
          <w:type w:val="continuous"/>
        </w:sectPr>
      </w:pPr>
    </w:p>
    <w:bookmarkStart w:id="16" w:name="page17"/>
    <w:bookmarkEnd w:id="16"/>
    <w:p>
      <w:pPr>
        <w:ind w:left="3"/>
        <w:spacing w:after="0"/>
        <w:rPr>
          <w:sz w:val="20"/>
          <w:szCs w:val="20"/>
          <w:color w:val="auto"/>
        </w:rPr>
      </w:pPr>
      <w:r>
        <w:rPr>
          <w:rFonts w:ascii="Arial" w:cs="Arial" w:eastAsia="Arial" w:hAnsi="Arial"/>
          <w:sz w:val="14"/>
          <w:szCs w:val="14"/>
          <w:b w:val="1"/>
          <w:bCs w:val="1"/>
          <w:color w:val="205BA8"/>
        </w:rPr>
        <w:t xml:space="preserve">USERS’ GUIDE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660019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295910</wp:posOffset>
            </wp:positionV>
            <wp:extent cx="66001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205BA8"/>
        </w:rPr>
        <w:t>How can I vote?</w:t>
      </w:r>
    </w:p>
    <w:p>
      <w:pPr>
        <w:spacing w:after="0" w:line="158" w:lineRule="exact"/>
        <w:rPr>
          <w:sz w:val="20"/>
          <w:szCs w:val="20"/>
          <w:color w:val="auto"/>
        </w:rPr>
      </w:pPr>
    </w:p>
    <w:p>
      <w:pPr>
        <w:ind w:left="3"/>
        <w:spacing w:after="0" w:line="238" w:lineRule="auto"/>
        <w:rPr>
          <w:sz w:val="20"/>
          <w:szCs w:val="20"/>
          <w:color w:val="auto"/>
        </w:rPr>
      </w:pPr>
      <w:r>
        <w:rPr>
          <w:rFonts w:ascii="Arial" w:cs="Arial" w:eastAsia="Arial" w:hAnsi="Arial"/>
          <w:sz w:val="14"/>
          <w:szCs w:val="14"/>
          <w:b w:val="1"/>
          <w:bCs w:val="1"/>
          <w:color w:val="auto"/>
        </w:rPr>
        <w:t xml:space="preserve">In person. </w:t>
      </w:r>
      <w:r>
        <w:rPr>
          <w:rFonts w:ascii="Arial" w:cs="Arial" w:eastAsia="Arial" w:hAnsi="Arial"/>
          <w:sz w:val="14"/>
          <w:szCs w:val="14"/>
          <w:color w:val="auto"/>
        </w:rPr>
        <w:t>If you are a shareholder of record, you may vote in person at the</w:t>
      </w:r>
      <w:r>
        <w:rPr>
          <w:rFonts w:ascii="Arial" w:cs="Arial" w:eastAsia="Arial" w:hAnsi="Arial"/>
          <w:sz w:val="14"/>
          <w:szCs w:val="14"/>
          <w:b w:val="1"/>
          <w:bCs w:val="1"/>
          <w:color w:val="auto"/>
        </w:rPr>
        <w:t xml:space="preserve"> </w:t>
      </w:r>
      <w:r>
        <w:rPr>
          <w:rFonts w:ascii="Arial" w:cs="Arial" w:eastAsia="Arial" w:hAnsi="Arial"/>
          <w:sz w:val="14"/>
          <w:szCs w:val="14"/>
          <w:color w:val="auto"/>
        </w:rPr>
        <w:t>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w:t>
      </w:r>
    </w:p>
    <w:p>
      <w:pPr>
        <w:spacing w:after="0" w:line="122" w:lineRule="exact"/>
        <w:rPr>
          <w:sz w:val="20"/>
          <w:szCs w:val="20"/>
          <w:color w:val="auto"/>
        </w:rPr>
      </w:pPr>
    </w:p>
    <w:p>
      <w:pPr>
        <w:ind w:left="3" w:right="80"/>
        <w:spacing w:after="0" w:line="226" w:lineRule="auto"/>
        <w:rPr>
          <w:sz w:val="20"/>
          <w:szCs w:val="20"/>
          <w:color w:val="auto"/>
        </w:rPr>
      </w:pPr>
      <w:r>
        <w:rPr>
          <w:rFonts w:ascii="Arial" w:cs="Arial" w:eastAsia="Arial" w:hAnsi="Arial"/>
          <w:sz w:val="15"/>
          <w:szCs w:val="15"/>
          <w:b w:val="1"/>
          <w:bCs w:val="1"/>
          <w:color w:val="auto"/>
        </w:rPr>
        <w:t xml:space="preserve">Via the Internet. </w:t>
      </w:r>
      <w:r>
        <w:rPr>
          <w:rFonts w:ascii="Arial" w:cs="Arial" w:eastAsia="Arial" w:hAnsi="Arial"/>
          <w:sz w:val="15"/>
          <w:szCs w:val="15"/>
          <w:color w:val="auto"/>
        </w:rPr>
        <w:t>You may vote by proxy via the Internet by visiting</w:t>
      </w:r>
      <w:r>
        <w:rPr>
          <w:rFonts w:ascii="Arial" w:cs="Arial" w:eastAsia="Arial" w:hAnsi="Arial"/>
          <w:sz w:val="15"/>
          <w:szCs w:val="15"/>
          <w:b w:val="1"/>
          <w:bCs w:val="1"/>
          <w:color w:val="auto"/>
        </w:rPr>
        <w:t xml:space="preserve"> www.proxyvote.com. </w:t>
      </w:r>
      <w:r>
        <w:rPr>
          <w:rFonts w:ascii="Arial" w:cs="Arial" w:eastAsia="Arial" w:hAnsi="Arial"/>
          <w:sz w:val="15"/>
          <w:szCs w:val="15"/>
          <w:color w:val="auto"/>
        </w:rPr>
        <w:t>You will need the 12-digit control number included on</w:t>
      </w:r>
      <w:r>
        <w:rPr>
          <w:rFonts w:ascii="Arial" w:cs="Arial" w:eastAsia="Arial" w:hAnsi="Arial"/>
          <w:sz w:val="15"/>
          <w:szCs w:val="15"/>
          <w:b w:val="1"/>
          <w:bCs w:val="1"/>
          <w:color w:val="auto"/>
        </w:rPr>
        <w:t xml:space="preserve"> </w:t>
      </w:r>
      <w:r>
        <w:rPr>
          <w:rFonts w:ascii="Arial" w:cs="Arial" w:eastAsia="Arial" w:hAnsi="Arial"/>
          <w:sz w:val="15"/>
          <w:szCs w:val="15"/>
          <w:color w:val="auto"/>
        </w:rPr>
        <w:t>the Notice or, if you received a paper copy of the proxy materials, the proxy card or voting instruction form you received. You may vote via the Internet through 11:59 p.m., Eastern Time, on June 13, 2019.</w:t>
      </w:r>
    </w:p>
    <w:p>
      <w:pPr>
        <w:spacing w:after="0" w:line="123" w:lineRule="exact"/>
        <w:rPr>
          <w:sz w:val="20"/>
          <w:szCs w:val="20"/>
          <w:color w:val="auto"/>
        </w:rPr>
      </w:pPr>
    </w:p>
    <w:p>
      <w:pPr>
        <w:ind w:left="3" w:right="40"/>
        <w:spacing w:after="0" w:line="226" w:lineRule="auto"/>
        <w:rPr>
          <w:sz w:val="20"/>
          <w:szCs w:val="20"/>
          <w:color w:val="auto"/>
        </w:rPr>
      </w:pPr>
      <w:r>
        <w:rPr>
          <w:rFonts w:ascii="Arial" w:cs="Arial" w:eastAsia="Arial" w:hAnsi="Arial"/>
          <w:sz w:val="15"/>
          <w:szCs w:val="15"/>
          <w:b w:val="1"/>
          <w:bCs w:val="1"/>
          <w:color w:val="auto"/>
        </w:rPr>
        <w:t xml:space="preserve">Via telephone. </w:t>
      </w:r>
      <w:r>
        <w:rPr>
          <w:rFonts w:ascii="Arial" w:cs="Arial" w:eastAsia="Arial" w:hAnsi="Arial"/>
          <w:sz w:val="15"/>
          <w:szCs w:val="15"/>
          <w:color w:val="auto"/>
        </w:rPr>
        <w:t>You may vote by proxy via telephone by calling the toll-free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found on the proxy card or the voting instruction form. You will need the 12-digit control number included on the proxy card or voting instruction form. You may vote via telephone through 11:59 p.m., Eastern Time, on June 13, 2019.</w:t>
      </w:r>
    </w:p>
    <w:p>
      <w:pPr>
        <w:spacing w:after="0" w:line="123" w:lineRule="exact"/>
        <w:rPr>
          <w:sz w:val="20"/>
          <w:szCs w:val="20"/>
          <w:color w:val="auto"/>
        </w:rPr>
      </w:pPr>
    </w:p>
    <w:p>
      <w:pPr>
        <w:ind w:left="3"/>
        <w:spacing w:after="0" w:line="233" w:lineRule="auto"/>
        <w:rPr>
          <w:sz w:val="20"/>
          <w:szCs w:val="20"/>
          <w:color w:val="auto"/>
        </w:rPr>
      </w:pPr>
      <w:r>
        <w:rPr>
          <w:rFonts w:ascii="Arial" w:cs="Arial" w:eastAsia="Arial" w:hAnsi="Arial"/>
          <w:sz w:val="15"/>
          <w:szCs w:val="15"/>
          <w:b w:val="1"/>
          <w:bCs w:val="1"/>
          <w:color w:val="auto"/>
        </w:rPr>
        <w:t xml:space="preserve">By mail. </w:t>
      </w:r>
      <w:r>
        <w:rPr>
          <w:rFonts w:ascii="Arial" w:cs="Arial" w:eastAsia="Arial" w:hAnsi="Arial"/>
          <w:sz w:val="15"/>
          <w:szCs w:val="15"/>
          <w:color w:val="auto"/>
        </w:rPr>
        <w:t>If you received printed copies of the proxy materials, you may vote</w:t>
      </w:r>
      <w:r>
        <w:rPr>
          <w:rFonts w:ascii="Arial" w:cs="Arial" w:eastAsia="Arial" w:hAnsi="Arial"/>
          <w:sz w:val="15"/>
          <w:szCs w:val="15"/>
          <w:b w:val="1"/>
          <w:bCs w:val="1"/>
          <w:color w:val="auto"/>
        </w:rPr>
        <w:t xml:space="preserve"> </w:t>
      </w:r>
      <w:r>
        <w:rPr>
          <w:rFonts w:ascii="Arial" w:cs="Arial" w:eastAsia="Arial" w:hAnsi="Arial"/>
          <w:sz w:val="15"/>
          <w:szCs w:val="15"/>
          <w:color w:val="auto"/>
        </w:rPr>
        <w:t>by proxy by completing the proxy card or voting instruction form and returning it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3168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267" w:lineRule="exact"/>
        <w:rPr>
          <w:sz w:val="20"/>
          <w:szCs w:val="20"/>
          <w:color w:val="auto"/>
        </w:rPr>
      </w:pPr>
    </w:p>
    <w:p>
      <w:pPr>
        <w:ind w:left="3" w:right="80"/>
        <w:spacing w:after="0" w:line="260" w:lineRule="auto"/>
        <w:rPr>
          <w:sz w:val="20"/>
          <w:szCs w:val="20"/>
          <w:color w:val="auto"/>
        </w:rPr>
      </w:pPr>
      <w:r>
        <w:rPr>
          <w:rFonts w:ascii="Arial" w:cs="Arial" w:eastAsia="Arial" w:hAnsi="Arial"/>
          <w:sz w:val="17"/>
          <w:szCs w:val="17"/>
          <w:b w:val="1"/>
          <w:bCs w:val="1"/>
          <w:color w:val="205BA8"/>
        </w:rPr>
        <w:t>If I am a Regeneron employee or former employee, how do I vote shares in the Company Stock Fund in my 401(k) account?</w:t>
      </w:r>
    </w:p>
    <w:p>
      <w:pPr>
        <w:spacing w:after="0" w:line="126" w:lineRule="exact"/>
        <w:rPr>
          <w:sz w:val="20"/>
          <w:szCs w:val="20"/>
          <w:color w:val="auto"/>
        </w:rPr>
      </w:pPr>
    </w:p>
    <w:p>
      <w:pPr>
        <w:ind w:left="3" w:right="460"/>
        <w:spacing w:after="0" w:line="232" w:lineRule="auto"/>
        <w:rPr>
          <w:sz w:val="20"/>
          <w:szCs w:val="20"/>
          <w:color w:val="auto"/>
        </w:rPr>
      </w:pPr>
      <w:r>
        <w:rPr>
          <w:rFonts w:ascii="Arial" w:cs="Arial" w:eastAsia="Arial" w:hAnsi="Arial"/>
          <w:sz w:val="14"/>
          <w:szCs w:val="14"/>
          <w:color w:val="auto"/>
        </w:rPr>
        <w:t>If you participate and hold shares of common stock in the Regeneron Pharmaceuticals, Inc. 401(k) Savings Plan, you may provide voting instructions to Fidelity Management Trust Company, the plan’s trustee,</w:t>
      </w:r>
    </w:p>
    <w:p>
      <w:pPr>
        <w:spacing w:after="0" w:line="1" w:lineRule="exact"/>
        <w:rPr>
          <w:sz w:val="20"/>
          <w:szCs w:val="20"/>
          <w:color w:val="auto"/>
        </w:rPr>
      </w:pPr>
    </w:p>
    <w:p>
      <w:pPr>
        <w:ind w:left="3" w:right="60" w:hanging="3"/>
        <w:spacing w:after="0" w:line="236" w:lineRule="auto"/>
        <w:tabs>
          <w:tab w:leader="none" w:pos="2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through the Internet at </w:t>
      </w:r>
      <w:r>
        <w:rPr>
          <w:rFonts w:ascii="Arial" w:cs="Arial" w:eastAsia="Arial" w:hAnsi="Arial"/>
          <w:sz w:val="14"/>
          <w:szCs w:val="14"/>
          <w:b w:val="1"/>
          <w:bCs w:val="1"/>
          <w:color w:val="auto"/>
        </w:rPr>
        <w:t>www.proxyvote.com</w:t>
      </w:r>
      <w:r>
        <w:rPr>
          <w:rFonts w:ascii="Arial" w:cs="Arial" w:eastAsia="Arial" w:hAnsi="Arial"/>
          <w:sz w:val="14"/>
          <w:szCs w:val="14"/>
          <w:color w:val="auto"/>
        </w:rPr>
        <w:t xml:space="preserve"> by 11:59 p.m., Eastern Time, on June 11, 2019, (2) by calling 1-800-690-6903 by 11:59 p.m., Eastern Time, on June 11, 2019,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-94615</wp:posOffset>
            </wp:positionV>
            <wp:extent cx="717550" cy="82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Can I change my vote or revoke my proxy?</w:t>
      </w:r>
    </w:p>
    <w:p>
      <w:pPr>
        <w:spacing w:after="0" w:line="176"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color w:val="auto"/>
        </w:rPr>
        <w:t>Yes. You may change your vote or revoke your proxy at any time before the proxy is exercised by voting again electronically through the Internet or by telephone, by mailing a new proxy card or voting instruction form, or by attending the Annual Meeting and voting in person.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are a record holder and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3168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Who solicits proxies and bears the cost of solicitation?</w:t>
      </w:r>
    </w:p>
    <w:p>
      <w:pPr>
        <w:spacing w:after="0" w:line="176" w:lineRule="exact"/>
        <w:rPr>
          <w:sz w:val="20"/>
          <w:szCs w:val="20"/>
          <w:color w:val="auto"/>
        </w:rPr>
      </w:pPr>
    </w:p>
    <w:p>
      <w:pPr>
        <w:ind w:right="60"/>
        <w:spacing w:after="0" w:line="218" w:lineRule="auto"/>
        <w:rPr>
          <w:sz w:val="20"/>
          <w:szCs w:val="20"/>
          <w:color w:val="auto"/>
        </w:rPr>
      </w:pPr>
      <w:r>
        <w:rPr>
          <w:rFonts w:ascii="Arial" w:cs="Arial" w:eastAsia="Arial" w:hAnsi="Arial"/>
          <w:sz w:val="15"/>
          <w:szCs w:val="15"/>
          <w:color w:val="auto"/>
        </w:rPr>
        <w:t>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164465</wp:posOffset>
            </wp:positionV>
            <wp:extent cx="7251700"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4983" w:space="420"/>
            <w:col w:w="5000"/>
          </w:cols>
          <w:pgMar w:left="757" w:top="396" w:right="739" w:bottom="1440" w:gutter="0" w:footer="0" w:header="0"/>
          <w:type w:val="continuous"/>
        </w:sectPr>
      </w:pPr>
    </w:p>
    <w:bookmarkStart w:id="17" w:name="page18"/>
    <w:bookmarkEnd w:id="17"/>
    <w:p>
      <w:pPr>
        <w:ind w:left="5900"/>
        <w:spacing w:after="0"/>
        <w:rPr>
          <w:sz w:val="20"/>
          <w:szCs w:val="20"/>
          <w:color w:val="auto"/>
        </w:rPr>
      </w:pPr>
      <w:r>
        <w:rPr>
          <w:rFonts w:ascii="Arial" w:cs="Arial" w:eastAsia="Arial" w:hAnsi="Arial"/>
          <w:sz w:val="14"/>
          <w:szCs w:val="14"/>
          <w:b w:val="1"/>
          <w:bCs w:val="1"/>
          <w:color w:val="205BA8"/>
        </w:rPr>
        <w:t xml:space="preserve">USERS’ GUIDE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139065</wp:posOffset>
            </wp:positionV>
            <wp:extent cx="6600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What are the board’s recommendations?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89535</wp:posOffset>
            </wp:positionV>
            <wp:extent cx="421005" cy="421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1005" cy="421005"/>
                    </a:xfrm>
                    <a:prstGeom prst="rect">
                      <a:avLst/>
                    </a:prstGeom>
                    <a:noFill/>
                  </pic:spPr>
                </pic:pic>
              </a:graphicData>
            </a:graphic>
          </wp:anchor>
        </w:drawing>
      </w:r>
    </w:p>
    <w:p>
      <w:pPr>
        <w:spacing w:after="0" w:line="270" w:lineRule="exact"/>
        <w:rPr>
          <w:sz w:val="20"/>
          <w:szCs w:val="20"/>
          <w:color w:val="auto"/>
        </w:rPr>
      </w:pPr>
    </w:p>
    <w:p>
      <w:pPr>
        <w:ind w:left="1340" w:right="680"/>
        <w:spacing w:after="0" w:line="243" w:lineRule="auto"/>
        <w:rPr>
          <w:sz w:val="20"/>
          <w:szCs w:val="20"/>
          <w:color w:val="auto"/>
        </w:rPr>
      </w:pPr>
      <w:r>
        <w:rPr>
          <w:rFonts w:ascii="Arial" w:cs="Arial" w:eastAsia="Arial" w:hAnsi="Arial"/>
          <w:sz w:val="15"/>
          <w:szCs w:val="15"/>
          <w:b w:val="1"/>
          <w:bCs w:val="1"/>
          <w:color w:val="205BA8"/>
        </w:rPr>
        <w:t xml:space="preserve">FOR </w:t>
      </w:r>
      <w:r>
        <w:rPr>
          <w:rFonts w:ascii="Arial" w:cs="Arial" w:eastAsia="Arial" w:hAnsi="Arial"/>
          <w:sz w:val="15"/>
          <w:szCs w:val="15"/>
          <w:color w:val="000000"/>
        </w:rPr>
        <w:t>election of each of the four nominated Class I</w:t>
      </w:r>
      <w:r>
        <w:rPr>
          <w:rFonts w:ascii="Arial" w:cs="Arial" w:eastAsia="Arial" w:hAnsi="Arial"/>
          <w:sz w:val="15"/>
          <w:szCs w:val="15"/>
          <w:b w:val="1"/>
          <w:bCs w:val="1"/>
          <w:color w:val="205BA8"/>
        </w:rPr>
        <w:t xml:space="preserve"> </w:t>
      </w:r>
      <w:r>
        <w:rPr>
          <w:rFonts w:ascii="Arial" w:cs="Arial" w:eastAsia="Arial" w:hAnsi="Arial"/>
          <w:sz w:val="15"/>
          <w:szCs w:val="15"/>
          <w:color w:val="000000"/>
        </w:rPr>
        <w:t>directors (Proposal No.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80"/>
        <w:spacing w:after="0" w:line="233" w:lineRule="auto"/>
        <w:rPr>
          <w:sz w:val="20"/>
          <w:szCs w:val="20"/>
          <w:color w:val="auto"/>
        </w:rPr>
      </w:pPr>
      <w:r>
        <w:rPr>
          <w:rFonts w:ascii="Arial" w:cs="Arial" w:eastAsia="Arial" w:hAnsi="Arial"/>
          <w:sz w:val="15"/>
          <w:szCs w:val="15"/>
          <w:b w:val="1"/>
          <w:bCs w:val="1"/>
          <w:color w:val="205BA8"/>
        </w:rPr>
        <w:t xml:space="preserve">FOR </w:t>
      </w:r>
      <w:r>
        <w:rPr>
          <w:rFonts w:ascii="Arial" w:cs="Arial" w:eastAsia="Arial" w:hAnsi="Arial"/>
          <w:sz w:val="15"/>
          <w:szCs w:val="15"/>
          <w:color w:val="000000"/>
        </w:rPr>
        <w:t>ratification of the appointment of PricewaterhouseCoopers LLP as the</w:t>
      </w:r>
      <w:r>
        <w:rPr>
          <w:rFonts w:ascii="Arial" w:cs="Arial" w:eastAsia="Arial" w:hAnsi="Arial"/>
          <w:sz w:val="15"/>
          <w:szCs w:val="15"/>
          <w:b w:val="1"/>
          <w:bCs w:val="1"/>
          <w:color w:val="205BA8"/>
        </w:rPr>
        <w:t xml:space="preserve"> </w:t>
      </w:r>
      <w:r>
        <w:rPr>
          <w:rFonts w:ascii="Arial" w:cs="Arial" w:eastAsia="Arial" w:hAnsi="Arial"/>
          <w:sz w:val="15"/>
          <w:szCs w:val="15"/>
          <w:color w:val="000000"/>
        </w:rPr>
        <w:t>Company’s independent registered public accounting firm for 2019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155575</wp:posOffset>
            </wp:positionV>
            <wp:extent cx="66001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001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-363855</wp:posOffset>
            </wp:positionV>
            <wp:extent cx="421005" cy="421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1005" cy="421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400"/>
          </w:cols>
          <w:pgMar w:left="240" w:top="396" w:right="239" w:bottom="1440" w:gutter="0" w:footer="0" w:header="0"/>
          <w:type w:val="continuous"/>
        </w:sect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What vote is required to approve each proposal?</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the voting requirements applicable to the proposals to be voted on at the Annual Meeting:</w:t>
      </w:r>
    </w:p>
    <w:p>
      <w:pPr>
        <w:spacing w:after="0" w:line="125"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2420" w:type="dxa"/>
            <w:vAlign w:val="bottom"/>
            <w:tcBorders>
              <w:bottom w:val="single" w:sz="8" w:color="205BA8"/>
            </w:tcBorders>
            <w:gridSpan w:val="2"/>
          </w:tcPr>
          <w:p>
            <w:pPr>
              <w:ind w:left="40"/>
              <w:spacing w:after="0"/>
              <w:rPr>
                <w:sz w:val="20"/>
                <w:szCs w:val="20"/>
                <w:color w:val="auto"/>
              </w:rPr>
            </w:pPr>
            <w:r>
              <w:rPr>
                <w:rFonts w:ascii="Arial" w:cs="Arial" w:eastAsia="Arial" w:hAnsi="Arial"/>
                <w:sz w:val="13"/>
                <w:szCs w:val="13"/>
                <w:b w:val="1"/>
                <w:bCs w:val="1"/>
                <w:color w:val="205BA8"/>
              </w:rPr>
              <w:t>Proposal</w:t>
            </w:r>
          </w:p>
        </w:tc>
        <w:tc>
          <w:tcPr>
            <w:tcW w:w="3660" w:type="dxa"/>
            <w:vAlign w:val="bottom"/>
            <w:tcBorders>
              <w:bottom w:val="single" w:sz="8" w:color="205BA8"/>
            </w:tcBorders>
          </w:tcPr>
          <w:p>
            <w:pPr>
              <w:ind w:left="60"/>
              <w:spacing w:after="0"/>
              <w:rPr>
                <w:sz w:val="20"/>
                <w:szCs w:val="20"/>
                <w:color w:val="auto"/>
              </w:rPr>
            </w:pPr>
            <w:r>
              <w:rPr>
                <w:rFonts w:ascii="Arial" w:cs="Arial" w:eastAsia="Arial" w:hAnsi="Arial"/>
                <w:sz w:val="13"/>
                <w:szCs w:val="13"/>
                <w:b w:val="1"/>
                <w:bCs w:val="1"/>
                <w:color w:val="205BA8"/>
              </w:rPr>
              <w:t>Vote Required</w:t>
            </w:r>
          </w:p>
        </w:tc>
        <w:tc>
          <w:tcPr>
            <w:tcW w:w="1740" w:type="dxa"/>
            <w:vAlign w:val="bottom"/>
            <w:tcBorders>
              <w:bottom w:val="single" w:sz="8" w:color="205BA8"/>
            </w:tcBorders>
          </w:tcPr>
          <w:p>
            <w:pPr>
              <w:ind w:left="40"/>
              <w:spacing w:after="0"/>
              <w:rPr>
                <w:sz w:val="20"/>
                <w:szCs w:val="20"/>
                <w:color w:val="auto"/>
              </w:rPr>
            </w:pPr>
            <w:r>
              <w:rPr>
                <w:rFonts w:ascii="Arial" w:cs="Arial" w:eastAsia="Arial" w:hAnsi="Arial"/>
                <w:sz w:val="13"/>
                <w:szCs w:val="13"/>
                <w:b w:val="1"/>
                <w:bCs w:val="1"/>
                <w:color w:val="205BA8"/>
              </w:rPr>
              <w:t>Effect of Abstentions</w:t>
            </w:r>
            <w:r>
              <w:rPr>
                <w:rFonts w:ascii="Arial" w:cs="Arial" w:eastAsia="Arial" w:hAnsi="Arial"/>
                <w:sz w:val="20"/>
                <w:szCs w:val="20"/>
                <w:b w:val="1"/>
                <w:bCs w:val="1"/>
                <w:color w:val="205BA8"/>
                <w:vertAlign w:val="superscript"/>
              </w:rPr>
              <w:t>1</w:t>
            </w:r>
          </w:p>
        </w:tc>
        <w:tc>
          <w:tcPr>
            <w:tcW w:w="2580" w:type="dxa"/>
            <w:vAlign w:val="bottom"/>
            <w:tcBorders>
              <w:bottom w:val="single" w:sz="8" w:color="205BA8"/>
            </w:tcBorders>
          </w:tcPr>
          <w:p>
            <w:pPr>
              <w:ind w:left="60"/>
              <w:spacing w:after="0"/>
              <w:rPr>
                <w:sz w:val="20"/>
                <w:szCs w:val="20"/>
                <w:color w:val="auto"/>
              </w:rPr>
            </w:pPr>
            <w:r>
              <w:rPr>
                <w:rFonts w:ascii="Arial" w:cs="Arial" w:eastAsia="Arial" w:hAnsi="Arial"/>
                <w:sz w:val="13"/>
                <w:szCs w:val="13"/>
                <w:b w:val="1"/>
                <w:bCs w:val="1"/>
                <w:color w:val="205BA8"/>
              </w:rPr>
              <w:t>Broker Discretionary Voting Allowed?</w:t>
            </w:r>
            <w:r>
              <w:rPr>
                <w:rFonts w:ascii="Arial" w:cs="Arial" w:eastAsia="Arial" w:hAnsi="Arial"/>
                <w:sz w:val="20"/>
                <w:szCs w:val="20"/>
                <w:b w:val="1"/>
                <w:bCs w:val="1"/>
                <w:color w:val="205BA8"/>
                <w:vertAlign w:val="superscript"/>
              </w:rPr>
              <w:t>2</w:t>
            </w:r>
          </w:p>
        </w:tc>
        <w:tc>
          <w:tcPr>
            <w:tcW w:w="0" w:type="dxa"/>
            <w:vAlign w:val="bottom"/>
          </w:tcPr>
          <w:p>
            <w:pPr>
              <w:spacing w:after="0"/>
              <w:rPr>
                <w:sz w:val="1"/>
                <w:szCs w:val="1"/>
                <w:color w:val="auto"/>
              </w:rPr>
            </w:pPr>
          </w:p>
        </w:tc>
      </w:tr>
      <w:tr>
        <w:trPr>
          <w:trHeight w:val="198"/>
        </w:trPr>
        <w:tc>
          <w:tcPr>
            <w:tcW w:w="440" w:type="dxa"/>
            <w:vAlign w:val="bottom"/>
            <w:vMerge w:val="restart"/>
          </w:tcPr>
          <w:p>
            <w:pPr>
              <w:ind w:left="40"/>
              <w:spacing w:after="0"/>
              <w:rPr>
                <w:sz w:val="20"/>
                <w:szCs w:val="20"/>
                <w:color w:val="auto"/>
              </w:rPr>
            </w:pPr>
            <w:r>
              <w:rPr>
                <w:rFonts w:ascii="Arial" w:cs="Arial" w:eastAsia="Arial" w:hAnsi="Arial"/>
                <w:sz w:val="59"/>
                <w:szCs w:val="59"/>
                <w:b w:val="1"/>
                <w:bCs w:val="1"/>
                <w:color w:val="D61C5A"/>
              </w:rPr>
              <w:t>1</w:t>
            </w:r>
          </w:p>
        </w:tc>
        <w:tc>
          <w:tcPr>
            <w:tcW w:w="1980" w:type="dxa"/>
            <w:vAlign w:val="bottom"/>
          </w:tcPr>
          <w:p>
            <w:pPr>
              <w:ind w:left="60"/>
              <w:spacing w:after="0"/>
              <w:rPr>
                <w:sz w:val="20"/>
                <w:szCs w:val="20"/>
                <w:color w:val="auto"/>
              </w:rPr>
            </w:pPr>
            <w:r>
              <w:rPr>
                <w:rFonts w:ascii="Arial" w:cs="Arial" w:eastAsia="Arial" w:hAnsi="Arial"/>
                <w:sz w:val="16"/>
                <w:szCs w:val="16"/>
                <w:b w:val="1"/>
                <w:bCs w:val="1"/>
                <w:color w:val="205BA8"/>
              </w:rPr>
              <w:t>Election of Directors</w:t>
            </w:r>
          </w:p>
        </w:tc>
        <w:tc>
          <w:tcPr>
            <w:tcW w:w="3660" w:type="dxa"/>
            <w:vAlign w:val="bottom"/>
          </w:tcPr>
          <w:p>
            <w:pPr>
              <w:ind w:left="60"/>
              <w:spacing w:after="0"/>
              <w:rPr>
                <w:sz w:val="20"/>
                <w:szCs w:val="20"/>
                <w:color w:val="auto"/>
              </w:rPr>
            </w:pPr>
            <w:r>
              <w:rPr>
                <w:rFonts w:ascii="Arial" w:cs="Arial" w:eastAsia="Arial" w:hAnsi="Arial"/>
                <w:sz w:val="13"/>
                <w:szCs w:val="13"/>
                <w:color w:val="auto"/>
              </w:rPr>
              <w:t>Majority of the votes cast. In accordance with our director</w:t>
            </w:r>
          </w:p>
        </w:tc>
        <w:tc>
          <w:tcPr>
            <w:tcW w:w="1740" w:type="dxa"/>
            <w:vAlign w:val="bottom"/>
          </w:tcPr>
          <w:p>
            <w:pPr>
              <w:ind w:left="40"/>
              <w:spacing w:after="0"/>
              <w:rPr>
                <w:sz w:val="20"/>
                <w:szCs w:val="20"/>
                <w:color w:val="auto"/>
              </w:rPr>
            </w:pPr>
            <w:r>
              <w:rPr>
                <w:rFonts w:ascii="Arial" w:cs="Arial" w:eastAsia="Arial" w:hAnsi="Arial"/>
                <w:sz w:val="13"/>
                <w:szCs w:val="13"/>
                <w:color w:val="auto"/>
              </w:rPr>
              <w:t>No effect</w:t>
            </w:r>
          </w:p>
        </w:tc>
        <w:tc>
          <w:tcPr>
            <w:tcW w:w="2580" w:type="dxa"/>
            <w:vAlign w:val="bottom"/>
          </w:tcPr>
          <w:p>
            <w:pPr>
              <w:ind w:left="60"/>
              <w:spacing w:after="0"/>
              <w:rPr>
                <w:sz w:val="20"/>
                <w:szCs w:val="20"/>
                <w:color w:val="auto"/>
              </w:rPr>
            </w:pPr>
            <w:r>
              <w:rPr>
                <w:rFonts w:ascii="Arial" w:cs="Arial" w:eastAsia="Arial" w:hAnsi="Arial"/>
                <w:sz w:val="13"/>
                <w:szCs w:val="13"/>
                <w:color w:val="auto"/>
              </w:rPr>
              <w:t>No</w:t>
            </w:r>
          </w:p>
        </w:tc>
        <w:tc>
          <w:tcPr>
            <w:tcW w:w="0" w:type="dxa"/>
            <w:vAlign w:val="bottom"/>
          </w:tcPr>
          <w:p>
            <w:pPr>
              <w:spacing w:after="0"/>
              <w:rPr>
                <w:sz w:val="1"/>
                <w:szCs w:val="1"/>
                <w:color w:val="auto"/>
              </w:rPr>
            </w:pPr>
          </w:p>
        </w:tc>
      </w:tr>
      <w:tr>
        <w:trPr>
          <w:trHeight w:val="143"/>
        </w:trPr>
        <w:tc>
          <w:tcPr>
            <w:tcW w:w="44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660" w:type="dxa"/>
            <w:vAlign w:val="bottom"/>
          </w:tcPr>
          <w:p>
            <w:pPr>
              <w:ind w:left="60"/>
              <w:spacing w:after="0" w:line="143" w:lineRule="exact"/>
              <w:rPr>
                <w:sz w:val="20"/>
                <w:szCs w:val="20"/>
                <w:color w:val="auto"/>
              </w:rPr>
            </w:pPr>
            <w:r>
              <w:rPr>
                <w:rFonts w:ascii="Arial" w:cs="Arial" w:eastAsia="Arial" w:hAnsi="Arial"/>
                <w:sz w:val="13"/>
                <w:szCs w:val="13"/>
                <w:color w:val="auto"/>
                <w:w w:val="97"/>
              </w:rPr>
              <w:t>resignation policy, an incumbent director who fails to receive the</w:t>
            </w:r>
          </w:p>
        </w:tc>
        <w:tc>
          <w:tcPr>
            <w:tcW w:w="1740" w:type="dxa"/>
            <w:vAlign w:val="bottom"/>
          </w:tcPr>
          <w:p>
            <w:pPr>
              <w:ind w:left="40"/>
              <w:spacing w:after="0" w:line="143" w:lineRule="exact"/>
              <w:rPr>
                <w:sz w:val="20"/>
                <w:szCs w:val="20"/>
                <w:color w:val="auto"/>
              </w:rPr>
            </w:pPr>
            <w:r>
              <w:rPr>
                <w:rFonts w:ascii="Arial" w:cs="Arial" w:eastAsia="Arial" w:hAnsi="Arial"/>
                <w:sz w:val="13"/>
                <w:szCs w:val="13"/>
                <w:color w:val="auto"/>
              </w:rPr>
              <w:t>Not considered</w:t>
            </w:r>
          </w:p>
        </w:tc>
        <w:tc>
          <w:tcPr>
            <w:tcW w:w="2580" w:type="dxa"/>
            <w:vAlign w:val="bottom"/>
          </w:tcPr>
          <w:p>
            <w:pPr>
              <w:ind w:left="60"/>
              <w:spacing w:after="0" w:line="143" w:lineRule="exact"/>
              <w:rPr>
                <w:sz w:val="20"/>
                <w:szCs w:val="20"/>
                <w:color w:val="auto"/>
              </w:rPr>
            </w:pPr>
            <w:r>
              <w:rPr>
                <w:rFonts w:ascii="Arial" w:cs="Arial" w:eastAsia="Arial" w:hAnsi="Arial"/>
                <w:sz w:val="13"/>
                <w:szCs w:val="13"/>
                <w:color w:val="auto"/>
              </w:rPr>
              <w:t>Brokers without voting instructions will not</w:t>
            </w:r>
          </w:p>
        </w:tc>
        <w:tc>
          <w:tcPr>
            <w:tcW w:w="0" w:type="dxa"/>
            <w:vAlign w:val="bottom"/>
          </w:tcPr>
          <w:p>
            <w:pPr>
              <w:spacing w:after="0"/>
              <w:rPr>
                <w:sz w:val="1"/>
                <w:szCs w:val="1"/>
                <w:color w:val="auto"/>
              </w:rPr>
            </w:pPr>
          </w:p>
        </w:tc>
      </w:tr>
      <w:tr>
        <w:trPr>
          <w:trHeight w:val="143"/>
        </w:trPr>
        <w:tc>
          <w:tcPr>
            <w:tcW w:w="44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660" w:type="dxa"/>
            <w:vAlign w:val="bottom"/>
          </w:tcPr>
          <w:p>
            <w:pPr>
              <w:ind w:left="60"/>
              <w:spacing w:after="0" w:line="143" w:lineRule="exact"/>
              <w:rPr>
                <w:sz w:val="20"/>
                <w:szCs w:val="20"/>
                <w:color w:val="auto"/>
              </w:rPr>
            </w:pPr>
            <w:r>
              <w:rPr>
                <w:rFonts w:ascii="Arial" w:cs="Arial" w:eastAsia="Arial" w:hAnsi="Arial"/>
                <w:sz w:val="13"/>
                <w:szCs w:val="13"/>
                <w:color w:val="auto"/>
              </w:rPr>
              <w:t>required number of votes in an uncontested election will be</w:t>
            </w:r>
          </w:p>
        </w:tc>
        <w:tc>
          <w:tcPr>
            <w:tcW w:w="1740" w:type="dxa"/>
            <w:vAlign w:val="bottom"/>
          </w:tcPr>
          <w:p>
            <w:pPr>
              <w:ind w:left="40"/>
              <w:spacing w:after="0" w:line="143" w:lineRule="exact"/>
              <w:rPr>
                <w:sz w:val="20"/>
                <w:szCs w:val="20"/>
                <w:color w:val="auto"/>
              </w:rPr>
            </w:pPr>
            <w:r>
              <w:rPr>
                <w:rFonts w:ascii="Arial" w:cs="Arial" w:eastAsia="Arial" w:hAnsi="Arial"/>
                <w:sz w:val="13"/>
                <w:szCs w:val="13"/>
                <w:color w:val="auto"/>
              </w:rPr>
              <w:t>votes cast on this</w:t>
            </w:r>
          </w:p>
        </w:tc>
        <w:tc>
          <w:tcPr>
            <w:tcW w:w="2580" w:type="dxa"/>
            <w:vAlign w:val="bottom"/>
          </w:tcPr>
          <w:p>
            <w:pPr>
              <w:ind w:left="60"/>
              <w:spacing w:after="0" w:line="143" w:lineRule="exact"/>
              <w:rPr>
                <w:sz w:val="20"/>
                <w:szCs w:val="20"/>
                <w:color w:val="auto"/>
              </w:rPr>
            </w:pPr>
            <w:r>
              <w:rPr>
                <w:rFonts w:ascii="Arial" w:cs="Arial" w:eastAsia="Arial" w:hAnsi="Arial"/>
                <w:sz w:val="13"/>
                <w:szCs w:val="13"/>
                <w:color w:val="auto"/>
              </w:rPr>
              <w:t>be able to vote on this proposal</w:t>
            </w:r>
          </w:p>
        </w:tc>
        <w:tc>
          <w:tcPr>
            <w:tcW w:w="0" w:type="dxa"/>
            <w:vAlign w:val="bottom"/>
          </w:tcPr>
          <w:p>
            <w:pPr>
              <w:spacing w:after="0"/>
              <w:rPr>
                <w:sz w:val="1"/>
                <w:szCs w:val="1"/>
                <w:color w:val="auto"/>
              </w:rPr>
            </w:pPr>
          </w:p>
        </w:tc>
      </w:tr>
      <w:tr>
        <w:trPr>
          <w:trHeight w:val="143"/>
        </w:trPr>
        <w:tc>
          <w:tcPr>
            <w:tcW w:w="44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660" w:type="dxa"/>
            <w:vAlign w:val="bottom"/>
          </w:tcPr>
          <w:p>
            <w:pPr>
              <w:ind w:left="60"/>
              <w:spacing w:after="0" w:line="143" w:lineRule="exact"/>
              <w:rPr>
                <w:sz w:val="20"/>
                <w:szCs w:val="20"/>
                <w:color w:val="auto"/>
              </w:rPr>
            </w:pPr>
            <w:r>
              <w:rPr>
                <w:rFonts w:ascii="Arial" w:cs="Arial" w:eastAsia="Arial" w:hAnsi="Arial"/>
                <w:sz w:val="13"/>
                <w:szCs w:val="13"/>
                <w:color w:val="auto"/>
                <w:w w:val="99"/>
              </w:rPr>
              <w:t>required to tender his or her resignation to the Chairman of the</w:t>
            </w:r>
          </w:p>
        </w:tc>
        <w:tc>
          <w:tcPr>
            <w:tcW w:w="1740" w:type="dxa"/>
            <w:vAlign w:val="bottom"/>
            <w:vMerge w:val="restart"/>
          </w:tcPr>
          <w:p>
            <w:pPr>
              <w:ind w:left="40"/>
              <w:spacing w:after="0"/>
              <w:rPr>
                <w:sz w:val="20"/>
                <w:szCs w:val="20"/>
                <w:color w:val="auto"/>
              </w:rPr>
            </w:pPr>
            <w:r>
              <w:rPr>
                <w:rFonts w:ascii="Arial" w:cs="Arial" w:eastAsia="Arial" w:hAnsi="Arial"/>
                <w:sz w:val="13"/>
                <w:szCs w:val="13"/>
                <w:color w:val="auto"/>
              </w:rPr>
              <w:t>proposal</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660" w:type="dxa"/>
            <w:vAlign w:val="bottom"/>
          </w:tcPr>
          <w:p>
            <w:pPr>
              <w:ind w:left="60"/>
              <w:spacing w:after="0" w:line="143" w:lineRule="exact"/>
              <w:rPr>
                <w:sz w:val="20"/>
                <w:szCs w:val="20"/>
                <w:color w:val="auto"/>
              </w:rPr>
            </w:pPr>
            <w:r>
              <w:rPr>
                <w:rFonts w:ascii="Arial" w:cs="Arial" w:eastAsia="Arial" w:hAnsi="Arial"/>
                <w:sz w:val="13"/>
                <w:szCs w:val="13"/>
                <w:color w:val="auto"/>
              </w:rPr>
              <w:t>board of directors for consideration by the Corporate</w:t>
            </w:r>
          </w:p>
        </w:tc>
        <w:tc>
          <w:tcPr>
            <w:tcW w:w="174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60" w:type="dxa"/>
            <w:vAlign w:val="bottom"/>
          </w:tcPr>
          <w:p>
            <w:pPr>
              <w:ind w:left="60"/>
              <w:spacing w:after="0"/>
              <w:rPr>
                <w:sz w:val="20"/>
                <w:szCs w:val="20"/>
                <w:color w:val="auto"/>
              </w:rPr>
            </w:pPr>
            <w:r>
              <w:rPr>
                <w:rFonts w:ascii="Arial" w:cs="Arial" w:eastAsia="Arial" w:hAnsi="Arial"/>
                <w:sz w:val="13"/>
                <w:szCs w:val="13"/>
                <w:color w:val="auto"/>
              </w:rPr>
              <w:t>Governance and Compliance Committee.</w:t>
            </w:r>
          </w:p>
        </w:tc>
        <w:tc>
          <w:tcPr>
            <w:tcW w:w="1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440" w:type="dxa"/>
            <w:vAlign w:val="bottom"/>
            <w:vMerge w:val="restart"/>
            <w:shd w:val="clear" w:color="auto" w:fill="ECEDED"/>
          </w:tcPr>
          <w:p>
            <w:pPr>
              <w:ind w:left="40"/>
              <w:spacing w:after="0"/>
              <w:rPr>
                <w:sz w:val="20"/>
                <w:szCs w:val="20"/>
                <w:color w:val="auto"/>
              </w:rPr>
            </w:pPr>
            <w:r>
              <w:rPr>
                <w:rFonts w:ascii="Arial" w:cs="Arial" w:eastAsia="Arial" w:hAnsi="Arial"/>
                <w:sz w:val="59"/>
                <w:szCs w:val="59"/>
                <w:b w:val="1"/>
                <w:bCs w:val="1"/>
                <w:color w:val="D61C5A"/>
              </w:rPr>
              <w:t>2</w:t>
            </w:r>
          </w:p>
        </w:tc>
        <w:tc>
          <w:tcPr>
            <w:tcW w:w="198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205BA8"/>
              </w:rPr>
              <w:t>Ratification of the</w:t>
            </w:r>
          </w:p>
        </w:tc>
        <w:tc>
          <w:tcPr>
            <w:tcW w:w="3660" w:type="dxa"/>
            <w:vAlign w:val="bottom"/>
            <w:shd w:val="clear" w:color="auto" w:fill="ECEDED"/>
          </w:tcPr>
          <w:p>
            <w:pPr>
              <w:ind w:left="60"/>
              <w:spacing w:after="0"/>
              <w:rPr>
                <w:sz w:val="20"/>
                <w:szCs w:val="20"/>
                <w:color w:val="auto"/>
              </w:rPr>
            </w:pPr>
            <w:r>
              <w:rPr>
                <w:rFonts w:ascii="Arial" w:cs="Arial" w:eastAsia="Arial" w:hAnsi="Arial"/>
                <w:sz w:val="13"/>
                <w:szCs w:val="13"/>
                <w:color w:val="auto"/>
              </w:rPr>
              <w:t>Majority of the votes cast</w:t>
            </w:r>
          </w:p>
        </w:tc>
        <w:tc>
          <w:tcPr>
            <w:tcW w:w="1740" w:type="dxa"/>
            <w:vAlign w:val="bottom"/>
            <w:shd w:val="clear" w:color="auto" w:fill="ECEDED"/>
          </w:tcPr>
          <w:p>
            <w:pPr>
              <w:ind w:left="40"/>
              <w:spacing w:after="0"/>
              <w:rPr>
                <w:sz w:val="20"/>
                <w:szCs w:val="20"/>
                <w:color w:val="auto"/>
              </w:rPr>
            </w:pPr>
            <w:r>
              <w:rPr>
                <w:rFonts w:ascii="Arial" w:cs="Arial" w:eastAsia="Arial" w:hAnsi="Arial"/>
                <w:sz w:val="13"/>
                <w:szCs w:val="13"/>
                <w:color w:val="auto"/>
              </w:rPr>
              <w:t>No effect</w:t>
            </w:r>
          </w:p>
        </w:tc>
        <w:tc>
          <w:tcPr>
            <w:tcW w:w="2580" w:type="dxa"/>
            <w:vAlign w:val="bottom"/>
            <w:shd w:val="clear" w:color="auto" w:fill="ECEDED"/>
          </w:tcPr>
          <w:p>
            <w:pPr>
              <w:ind w:left="60"/>
              <w:spacing w:after="0"/>
              <w:rPr>
                <w:sz w:val="20"/>
                <w:szCs w:val="20"/>
                <w:color w:val="auto"/>
              </w:rPr>
            </w:pPr>
            <w:r>
              <w:rPr>
                <w:rFonts w:ascii="Arial" w:cs="Arial" w:eastAsia="Arial" w:hAnsi="Arial"/>
                <w:sz w:val="13"/>
                <w:szCs w:val="13"/>
                <w:color w:val="auto"/>
              </w:rPr>
              <w:t>Yes</w:t>
            </w:r>
          </w:p>
        </w:tc>
        <w:tc>
          <w:tcPr>
            <w:tcW w:w="0" w:type="dxa"/>
            <w:vAlign w:val="bottom"/>
          </w:tcPr>
          <w:p>
            <w:pPr>
              <w:spacing w:after="0"/>
              <w:rPr>
                <w:sz w:val="1"/>
                <w:szCs w:val="1"/>
                <w:color w:val="auto"/>
              </w:rPr>
            </w:pPr>
          </w:p>
        </w:tc>
      </w:tr>
      <w:tr>
        <w:trPr>
          <w:trHeight w:val="143"/>
        </w:trPr>
        <w:tc>
          <w:tcPr>
            <w:tcW w:w="440" w:type="dxa"/>
            <w:vAlign w:val="bottom"/>
            <w:vMerge w:val="continue"/>
            <w:shd w:val="clear" w:color="auto" w:fill="ECEDED"/>
          </w:tcPr>
          <w:p>
            <w:pPr>
              <w:spacing w:after="0"/>
              <w:rPr>
                <w:sz w:val="12"/>
                <w:szCs w:val="12"/>
                <w:color w:val="auto"/>
              </w:rPr>
            </w:pPr>
          </w:p>
        </w:tc>
        <w:tc>
          <w:tcPr>
            <w:tcW w:w="1980" w:type="dxa"/>
            <w:vAlign w:val="bottom"/>
            <w:vMerge w:val="restart"/>
            <w:shd w:val="clear" w:color="auto" w:fill="ECEDED"/>
          </w:tcPr>
          <w:p>
            <w:pPr>
              <w:ind w:left="60"/>
              <w:spacing w:after="0"/>
              <w:rPr>
                <w:sz w:val="20"/>
                <w:szCs w:val="20"/>
                <w:color w:val="auto"/>
              </w:rPr>
            </w:pPr>
            <w:r>
              <w:rPr>
                <w:rFonts w:ascii="Arial" w:cs="Arial" w:eastAsia="Arial" w:hAnsi="Arial"/>
                <w:sz w:val="16"/>
                <w:szCs w:val="16"/>
                <w:b w:val="1"/>
                <w:bCs w:val="1"/>
                <w:color w:val="205BA8"/>
              </w:rPr>
              <w:t>Appointment of</w:t>
            </w:r>
          </w:p>
        </w:tc>
        <w:tc>
          <w:tcPr>
            <w:tcW w:w="3660" w:type="dxa"/>
            <w:vAlign w:val="bottom"/>
            <w:shd w:val="clear" w:color="auto" w:fill="ECEDED"/>
          </w:tcPr>
          <w:p>
            <w:pPr>
              <w:spacing w:after="0"/>
              <w:rPr>
                <w:sz w:val="12"/>
                <w:szCs w:val="12"/>
                <w:color w:val="auto"/>
              </w:rPr>
            </w:pPr>
          </w:p>
        </w:tc>
        <w:tc>
          <w:tcPr>
            <w:tcW w:w="1740" w:type="dxa"/>
            <w:vAlign w:val="bottom"/>
            <w:shd w:val="clear" w:color="auto" w:fill="ECEDED"/>
          </w:tcPr>
          <w:p>
            <w:pPr>
              <w:ind w:left="40"/>
              <w:spacing w:after="0" w:line="143" w:lineRule="exact"/>
              <w:rPr>
                <w:sz w:val="20"/>
                <w:szCs w:val="20"/>
                <w:color w:val="auto"/>
              </w:rPr>
            </w:pPr>
            <w:r>
              <w:rPr>
                <w:rFonts w:ascii="Arial" w:cs="Arial" w:eastAsia="Arial" w:hAnsi="Arial"/>
                <w:sz w:val="13"/>
                <w:szCs w:val="13"/>
                <w:color w:val="auto"/>
              </w:rPr>
              <w:t>Not considered votes cast on</w:t>
            </w:r>
          </w:p>
        </w:tc>
        <w:tc>
          <w:tcPr>
            <w:tcW w:w="2580" w:type="dxa"/>
            <w:vAlign w:val="bottom"/>
            <w:shd w:val="clear" w:color="auto" w:fill="ECEDED"/>
          </w:tcPr>
          <w:p>
            <w:pPr>
              <w:ind w:left="60"/>
              <w:spacing w:after="0" w:line="143" w:lineRule="exact"/>
              <w:rPr>
                <w:sz w:val="20"/>
                <w:szCs w:val="20"/>
                <w:color w:val="auto"/>
              </w:rPr>
            </w:pPr>
            <w:r>
              <w:rPr>
                <w:rFonts w:ascii="Arial" w:cs="Arial" w:eastAsia="Arial" w:hAnsi="Arial"/>
                <w:sz w:val="13"/>
                <w:szCs w:val="13"/>
                <w:color w:val="auto"/>
                <w:w w:val="99"/>
              </w:rPr>
              <w:t>Brokers without voting instructions will have</w:t>
            </w:r>
          </w:p>
        </w:tc>
        <w:tc>
          <w:tcPr>
            <w:tcW w:w="0" w:type="dxa"/>
            <w:vAlign w:val="bottom"/>
          </w:tcPr>
          <w:p>
            <w:pPr>
              <w:spacing w:after="0"/>
              <w:rPr>
                <w:sz w:val="1"/>
                <w:szCs w:val="1"/>
                <w:color w:val="auto"/>
              </w:rPr>
            </w:pPr>
          </w:p>
        </w:tc>
      </w:tr>
      <w:tr>
        <w:trPr>
          <w:trHeight w:val="58"/>
        </w:trPr>
        <w:tc>
          <w:tcPr>
            <w:tcW w:w="440" w:type="dxa"/>
            <w:vAlign w:val="bottom"/>
            <w:vMerge w:val="continue"/>
            <w:shd w:val="clear" w:color="auto" w:fill="ECEDED"/>
          </w:tcPr>
          <w:p>
            <w:pPr>
              <w:spacing w:after="0"/>
              <w:rPr>
                <w:sz w:val="5"/>
                <w:szCs w:val="5"/>
                <w:color w:val="auto"/>
              </w:rPr>
            </w:pPr>
          </w:p>
        </w:tc>
        <w:tc>
          <w:tcPr>
            <w:tcW w:w="1980" w:type="dxa"/>
            <w:vAlign w:val="bottom"/>
            <w:vMerge w:val="continue"/>
            <w:shd w:val="clear" w:color="auto" w:fill="ECEDED"/>
          </w:tcPr>
          <w:p>
            <w:pPr>
              <w:spacing w:after="0"/>
              <w:rPr>
                <w:sz w:val="5"/>
                <w:szCs w:val="5"/>
                <w:color w:val="auto"/>
              </w:rPr>
            </w:pPr>
          </w:p>
        </w:tc>
        <w:tc>
          <w:tcPr>
            <w:tcW w:w="3660" w:type="dxa"/>
            <w:vAlign w:val="bottom"/>
            <w:shd w:val="clear" w:color="auto" w:fill="ECEDED"/>
          </w:tcPr>
          <w:p>
            <w:pPr>
              <w:spacing w:after="0"/>
              <w:rPr>
                <w:sz w:val="5"/>
                <w:szCs w:val="5"/>
                <w:color w:val="auto"/>
              </w:rPr>
            </w:pPr>
          </w:p>
        </w:tc>
        <w:tc>
          <w:tcPr>
            <w:tcW w:w="1740" w:type="dxa"/>
            <w:vAlign w:val="bottom"/>
            <w:vMerge w:val="restart"/>
            <w:shd w:val="clear" w:color="auto" w:fill="ECEDED"/>
          </w:tcPr>
          <w:p>
            <w:pPr>
              <w:ind w:left="40"/>
              <w:spacing w:after="0"/>
              <w:rPr>
                <w:sz w:val="20"/>
                <w:szCs w:val="20"/>
                <w:color w:val="auto"/>
              </w:rPr>
            </w:pPr>
            <w:r>
              <w:rPr>
                <w:rFonts w:ascii="Arial" w:cs="Arial" w:eastAsia="Arial" w:hAnsi="Arial"/>
                <w:sz w:val="13"/>
                <w:szCs w:val="13"/>
                <w:color w:val="auto"/>
              </w:rPr>
              <w:t>this proposal</w:t>
            </w:r>
          </w:p>
        </w:tc>
        <w:tc>
          <w:tcPr>
            <w:tcW w:w="2580" w:type="dxa"/>
            <w:vAlign w:val="bottom"/>
            <w:vMerge w:val="restart"/>
            <w:shd w:val="clear" w:color="auto" w:fill="ECEDED"/>
          </w:tcPr>
          <w:p>
            <w:pPr>
              <w:ind w:left="60"/>
              <w:spacing w:after="0"/>
              <w:rPr>
                <w:sz w:val="20"/>
                <w:szCs w:val="20"/>
                <w:color w:val="auto"/>
              </w:rPr>
            </w:pPr>
            <w:r>
              <w:rPr>
                <w:rFonts w:ascii="Arial" w:cs="Arial" w:eastAsia="Arial" w:hAnsi="Arial"/>
                <w:sz w:val="13"/>
                <w:szCs w:val="13"/>
                <w:color w:val="auto"/>
              </w:rPr>
              <w:t>discretionary authority to vote</w:t>
            </w:r>
          </w:p>
        </w:tc>
        <w:tc>
          <w:tcPr>
            <w:tcW w:w="0" w:type="dxa"/>
            <w:vAlign w:val="bottom"/>
          </w:tcPr>
          <w:p>
            <w:pPr>
              <w:spacing w:after="0"/>
              <w:rPr>
                <w:sz w:val="1"/>
                <w:szCs w:val="1"/>
                <w:color w:val="auto"/>
              </w:rPr>
            </w:pPr>
          </w:p>
        </w:tc>
      </w:tr>
      <w:tr>
        <w:trPr>
          <w:trHeight w:val="91"/>
        </w:trPr>
        <w:tc>
          <w:tcPr>
            <w:tcW w:w="440" w:type="dxa"/>
            <w:vAlign w:val="bottom"/>
            <w:vMerge w:val="continue"/>
            <w:shd w:val="clear" w:color="auto" w:fill="ECEDED"/>
          </w:tcPr>
          <w:p>
            <w:pPr>
              <w:spacing w:after="0"/>
              <w:rPr>
                <w:sz w:val="7"/>
                <w:szCs w:val="7"/>
                <w:color w:val="auto"/>
              </w:rPr>
            </w:pPr>
          </w:p>
        </w:tc>
        <w:tc>
          <w:tcPr>
            <w:tcW w:w="1980" w:type="dxa"/>
            <w:vAlign w:val="bottom"/>
            <w:vMerge w:val="restart"/>
            <w:shd w:val="clear" w:color="auto" w:fill="ECEDED"/>
          </w:tcPr>
          <w:p>
            <w:pPr>
              <w:ind w:left="60"/>
              <w:spacing w:after="0" w:line="182" w:lineRule="exact"/>
              <w:rPr>
                <w:sz w:val="20"/>
                <w:szCs w:val="20"/>
                <w:color w:val="auto"/>
              </w:rPr>
            </w:pPr>
            <w:r>
              <w:rPr>
                <w:rFonts w:ascii="Arial" w:cs="Arial" w:eastAsia="Arial" w:hAnsi="Arial"/>
                <w:sz w:val="16"/>
                <w:szCs w:val="16"/>
                <w:b w:val="1"/>
                <w:bCs w:val="1"/>
                <w:color w:val="205BA8"/>
                <w:w w:val="98"/>
              </w:rPr>
              <w:t>PricewaterhouseCoopers</w:t>
            </w:r>
          </w:p>
        </w:tc>
        <w:tc>
          <w:tcPr>
            <w:tcW w:w="3660" w:type="dxa"/>
            <w:vAlign w:val="bottom"/>
            <w:shd w:val="clear" w:color="auto" w:fill="ECEDED"/>
          </w:tcPr>
          <w:p>
            <w:pPr>
              <w:spacing w:after="0"/>
              <w:rPr>
                <w:sz w:val="7"/>
                <w:szCs w:val="7"/>
                <w:color w:val="auto"/>
              </w:rPr>
            </w:pPr>
          </w:p>
        </w:tc>
        <w:tc>
          <w:tcPr>
            <w:tcW w:w="1740" w:type="dxa"/>
            <w:vAlign w:val="bottom"/>
            <w:vMerge w:val="continue"/>
            <w:shd w:val="clear" w:color="auto" w:fill="ECEDED"/>
          </w:tcPr>
          <w:p>
            <w:pPr>
              <w:spacing w:after="0"/>
              <w:rPr>
                <w:sz w:val="7"/>
                <w:szCs w:val="7"/>
                <w:color w:val="auto"/>
              </w:rPr>
            </w:pPr>
          </w:p>
        </w:tc>
        <w:tc>
          <w:tcPr>
            <w:tcW w:w="258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40" w:type="dxa"/>
            <w:vAlign w:val="bottom"/>
            <w:vMerge w:val="continue"/>
            <w:shd w:val="clear" w:color="auto" w:fill="ECEDED"/>
          </w:tcPr>
          <w:p>
            <w:pPr>
              <w:spacing w:after="0"/>
              <w:rPr>
                <w:sz w:val="7"/>
                <w:szCs w:val="7"/>
                <w:color w:val="auto"/>
              </w:rPr>
            </w:pPr>
          </w:p>
        </w:tc>
        <w:tc>
          <w:tcPr>
            <w:tcW w:w="1980" w:type="dxa"/>
            <w:vAlign w:val="bottom"/>
            <w:vMerge w:val="continue"/>
            <w:shd w:val="clear" w:color="auto" w:fill="ECEDED"/>
          </w:tcPr>
          <w:p>
            <w:pPr>
              <w:spacing w:after="0"/>
              <w:rPr>
                <w:sz w:val="7"/>
                <w:szCs w:val="7"/>
                <w:color w:val="auto"/>
              </w:rPr>
            </w:pPr>
          </w:p>
        </w:tc>
        <w:tc>
          <w:tcPr>
            <w:tcW w:w="3660" w:type="dxa"/>
            <w:vAlign w:val="bottom"/>
            <w:shd w:val="clear" w:color="auto" w:fill="ECEDED"/>
          </w:tcPr>
          <w:p>
            <w:pPr>
              <w:spacing w:after="0"/>
              <w:rPr>
                <w:sz w:val="7"/>
                <w:szCs w:val="7"/>
                <w:color w:val="auto"/>
              </w:rPr>
            </w:pPr>
          </w:p>
        </w:tc>
        <w:tc>
          <w:tcPr>
            <w:tcW w:w="1740" w:type="dxa"/>
            <w:vAlign w:val="bottom"/>
            <w:shd w:val="clear" w:color="auto" w:fill="ECEDED"/>
          </w:tcPr>
          <w:p>
            <w:pPr>
              <w:spacing w:after="0"/>
              <w:rPr>
                <w:sz w:val="7"/>
                <w:szCs w:val="7"/>
                <w:color w:val="auto"/>
              </w:rPr>
            </w:pPr>
          </w:p>
        </w:tc>
        <w:tc>
          <w:tcPr>
            <w:tcW w:w="2580" w:type="dxa"/>
            <w:vAlign w:val="bottom"/>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0" w:type="dxa"/>
            <w:vAlign w:val="bottom"/>
            <w:tcBorders>
              <w:bottom w:val="single" w:sz="8" w:color="ECEDED"/>
            </w:tcBorders>
            <w:vMerge w:val="continue"/>
            <w:shd w:val="clear" w:color="auto" w:fill="ECEDED"/>
          </w:tcPr>
          <w:p>
            <w:pPr>
              <w:spacing w:after="0"/>
              <w:rPr>
                <w:sz w:val="20"/>
                <w:szCs w:val="20"/>
                <w:color w:val="auto"/>
              </w:rPr>
            </w:pPr>
          </w:p>
        </w:tc>
        <w:tc>
          <w:tcPr>
            <w:tcW w:w="1980" w:type="dxa"/>
            <w:vAlign w:val="bottom"/>
            <w:tcBorders>
              <w:bottom w:val="single" w:sz="8" w:color="ECEDED"/>
            </w:tcBorders>
            <w:shd w:val="clear" w:color="auto" w:fill="ECEDED"/>
          </w:tcPr>
          <w:p>
            <w:pPr>
              <w:ind w:left="60"/>
              <w:spacing w:after="0"/>
              <w:rPr>
                <w:sz w:val="20"/>
                <w:szCs w:val="20"/>
                <w:color w:val="auto"/>
              </w:rPr>
            </w:pPr>
            <w:r>
              <w:rPr>
                <w:rFonts w:ascii="Arial" w:cs="Arial" w:eastAsia="Arial" w:hAnsi="Arial"/>
                <w:sz w:val="16"/>
                <w:szCs w:val="16"/>
                <w:b w:val="1"/>
                <w:bCs w:val="1"/>
                <w:color w:val="205BA8"/>
              </w:rPr>
              <w:t>LLP</w:t>
            </w:r>
          </w:p>
        </w:tc>
        <w:tc>
          <w:tcPr>
            <w:tcW w:w="3660" w:type="dxa"/>
            <w:vAlign w:val="bottom"/>
            <w:tcBorders>
              <w:bottom w:val="single" w:sz="8" w:color="ECEDED"/>
            </w:tcBorders>
            <w:shd w:val="clear" w:color="auto" w:fill="ECEDED"/>
          </w:tcPr>
          <w:p>
            <w:pPr>
              <w:spacing w:after="0"/>
              <w:rPr>
                <w:sz w:val="20"/>
                <w:szCs w:val="20"/>
                <w:color w:val="auto"/>
              </w:rPr>
            </w:pPr>
          </w:p>
        </w:tc>
        <w:tc>
          <w:tcPr>
            <w:tcW w:w="1740" w:type="dxa"/>
            <w:vAlign w:val="bottom"/>
            <w:tcBorders>
              <w:bottom w:val="single" w:sz="8" w:color="ECEDED"/>
            </w:tcBorders>
            <w:shd w:val="clear" w:color="auto" w:fill="ECEDED"/>
          </w:tcPr>
          <w:p>
            <w:pPr>
              <w:spacing w:after="0"/>
              <w:rPr>
                <w:sz w:val="20"/>
                <w:szCs w:val="20"/>
                <w:color w:val="auto"/>
              </w:rPr>
            </w:pPr>
          </w:p>
        </w:tc>
        <w:tc>
          <w:tcPr>
            <w:tcW w:w="2580" w:type="dxa"/>
            <w:vAlign w:val="bottom"/>
            <w:tcBorders>
              <w:bottom w:val="single" w:sz="8" w:color="ECEDED"/>
            </w:tcBorders>
            <w:shd w:val="clear" w:color="auto" w:fill="ECED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720" w:hanging="203"/>
        <w:spacing w:after="0"/>
        <w:tabs>
          <w:tab w:leader="none" w:pos="720" w:val="left"/>
        </w:tabs>
        <w:numPr>
          <w:ilvl w:val="0"/>
          <w:numId w:val="14"/>
        </w:numPr>
        <w:rPr>
          <w:rFonts w:ascii="Arial" w:cs="Arial" w:eastAsia="Arial" w:hAnsi="Arial"/>
          <w:sz w:val="14"/>
          <w:szCs w:val="14"/>
          <w:b w:val="1"/>
          <w:bCs w:val="1"/>
          <w:color w:val="205BA8"/>
        </w:rPr>
      </w:pPr>
      <w:r>
        <w:rPr>
          <w:rFonts w:ascii="Arial" w:cs="Arial" w:eastAsia="Arial" w:hAnsi="Arial"/>
          <w:sz w:val="14"/>
          <w:szCs w:val="14"/>
          <w:color w:val="auto"/>
        </w:rPr>
        <w:t>As noted above, abstentions will be counted as present for purposes of establishing a quorum at the Annual Meeting.</w:t>
      </w:r>
    </w:p>
    <w:p>
      <w:pPr>
        <w:spacing w:after="0" w:line="47" w:lineRule="exact"/>
        <w:rPr>
          <w:sz w:val="20"/>
          <w:szCs w:val="20"/>
          <w:color w:val="auto"/>
        </w:rPr>
      </w:pPr>
    </w:p>
    <w:p>
      <w:pPr>
        <w:ind w:left="720" w:right="600" w:hanging="203"/>
        <w:spacing w:after="0" w:line="239" w:lineRule="auto"/>
        <w:tabs>
          <w:tab w:leader="none" w:pos="720" w:val="left"/>
        </w:tabs>
        <w:numPr>
          <w:ilvl w:val="0"/>
          <w:numId w:val="15"/>
        </w:numPr>
        <w:rPr>
          <w:rFonts w:ascii="Arial" w:cs="Arial" w:eastAsia="Arial" w:hAnsi="Arial"/>
          <w:sz w:val="14"/>
          <w:szCs w:val="14"/>
          <w:b w:val="1"/>
          <w:bCs w:val="1"/>
          <w:color w:val="205BA8"/>
        </w:rPr>
      </w:pPr>
      <w:r>
        <w:rPr>
          <w:rFonts w:ascii="Arial" w:cs="Arial" w:eastAsia="Arial" w:hAnsi="Arial"/>
          <w:sz w:val="14"/>
          <w:szCs w:val="14"/>
          <w:color w:val="auto"/>
        </w:rPr>
        <w:t>Only relevant if you are the beneficial owner of shares held in “street name.” If you are a shareholder of record and you do not cast your vote, no votes will be cast on your behalf on any of the items of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24765</wp:posOffset>
            </wp:positionV>
            <wp:extent cx="66001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86" w:lineRule="exact"/>
        <w:rPr>
          <w:sz w:val="20"/>
          <w:szCs w:val="20"/>
          <w:color w:val="auto"/>
        </w:rPr>
      </w:pPr>
    </w:p>
    <w:p>
      <w:pPr>
        <w:ind w:left="520" w:right="580"/>
        <w:spacing w:after="0" w:line="229" w:lineRule="auto"/>
        <w:rPr>
          <w:sz w:val="20"/>
          <w:szCs w:val="20"/>
          <w:color w:val="auto"/>
        </w:rPr>
      </w:pPr>
      <w:r>
        <w:rPr>
          <w:rFonts w:ascii="Arial" w:cs="Arial" w:eastAsia="Arial" w:hAnsi="Arial"/>
          <w:sz w:val="15"/>
          <w:szCs w:val="15"/>
          <w:color w:val="auto"/>
        </w:rPr>
        <w:t>If any other matter is properly brought before the Annual Meeting, such matter also will be determined by the affirmative vote of a majority of the votes cast at the Annual Meeting.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Please note that cameras, other photographic equipment, or audio or video recording devices will not be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100965</wp:posOffset>
            </wp:positionV>
            <wp:extent cx="6600190" cy="2045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00190" cy="2045970"/>
                    </a:xfrm>
                    <a:prstGeom prst="rect">
                      <a:avLst/>
                    </a:prstGeom>
                    <a:noFill/>
                  </pic:spPr>
                </pic:pic>
              </a:graphicData>
            </a:graphic>
          </wp:anchor>
        </w:drawing>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31"/>
          <w:szCs w:val="31"/>
          <w:b w:val="1"/>
          <w:bCs w:val="1"/>
          <w:color w:val="D61C5A"/>
        </w:rPr>
        <w:t>INFORMATION ABOUT REGENERON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If you would like to learn more about Regeneron, please visit our website at www.regeneron.com. The topics discussed on our website include:</w:t>
      </w:r>
    </w:p>
    <w:p>
      <w:pPr>
        <w:spacing w:after="0" w:line="157"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160" w:type="dxa"/>
            <w:vAlign w:val="bottom"/>
          </w:tcPr>
          <w:p>
            <w:pPr>
              <w:spacing w:after="0"/>
              <w:rPr>
                <w:sz w:val="20"/>
                <w:szCs w:val="20"/>
                <w:color w:val="auto"/>
              </w:rPr>
            </w:pPr>
            <w:r>
              <w:rPr>
                <w:rFonts w:ascii="Arial" w:cs="Arial" w:eastAsia="Arial" w:hAnsi="Arial"/>
                <w:sz w:val="15"/>
                <w:szCs w:val="15"/>
                <w:color w:val="205BA8"/>
              </w:rPr>
              <w:t>•</w:t>
            </w:r>
          </w:p>
        </w:tc>
        <w:tc>
          <w:tcPr>
            <w:tcW w:w="3880" w:type="dxa"/>
            <w:vAlign w:val="bottom"/>
          </w:tcPr>
          <w:p>
            <w:pPr>
              <w:ind w:left="100"/>
              <w:spacing w:after="0"/>
              <w:rPr>
                <w:sz w:val="20"/>
                <w:szCs w:val="20"/>
                <w:color w:val="auto"/>
              </w:rPr>
            </w:pPr>
            <w:r>
              <w:rPr>
                <w:rFonts w:ascii="Arial" w:cs="Arial" w:eastAsia="Arial" w:hAnsi="Arial"/>
                <w:sz w:val="15"/>
                <w:szCs w:val="15"/>
                <w:color w:val="auto"/>
              </w:rPr>
              <w:t>Working at Regeneron</w:t>
            </w:r>
          </w:p>
        </w:tc>
        <w:tc>
          <w:tcPr>
            <w:tcW w:w="3880" w:type="dxa"/>
            <w:vAlign w:val="bottom"/>
            <w:gridSpan w:val="2"/>
          </w:tcPr>
          <w:p>
            <w:pPr>
              <w:ind w:left="94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Post-doctoral Training Program</w:t>
            </w:r>
          </w:p>
        </w:tc>
      </w:tr>
      <w:tr>
        <w:trPr>
          <w:trHeight w:val="286"/>
        </w:trPr>
        <w:tc>
          <w:tcPr>
            <w:tcW w:w="4040" w:type="dxa"/>
            <w:vAlign w:val="bottom"/>
            <w:gridSpan w:val="2"/>
          </w:tcPr>
          <w:p>
            <w:pPr>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Science Research Mentorship Program</w:t>
            </w:r>
          </w:p>
        </w:tc>
        <w:tc>
          <w:tcPr>
            <w:tcW w:w="3880" w:type="dxa"/>
            <w:vAlign w:val="bottom"/>
            <w:gridSpan w:val="2"/>
          </w:tcPr>
          <w:p>
            <w:pPr>
              <w:ind w:left="940"/>
              <w:spacing w:after="0"/>
              <w:rPr>
                <w:sz w:val="20"/>
                <w:szCs w:val="20"/>
                <w:color w:val="auto"/>
              </w:rPr>
            </w:pPr>
            <w:r>
              <w:rPr>
                <w:rFonts w:ascii="Arial" w:cs="Arial" w:eastAsia="Arial" w:hAnsi="Arial"/>
                <w:sz w:val="15"/>
                <w:szCs w:val="15"/>
                <w:color w:val="205BA8"/>
                <w:w w:val="99"/>
              </w:rPr>
              <w:t xml:space="preserve">•   </w:t>
            </w:r>
            <w:r>
              <w:rPr>
                <w:rFonts w:ascii="Arial" w:cs="Arial" w:eastAsia="Arial" w:hAnsi="Arial"/>
                <w:sz w:val="15"/>
                <w:szCs w:val="15"/>
                <w:color w:val="000000"/>
                <w:w w:val="99"/>
              </w:rPr>
              <w:t>Regeneron employee volunteer programs</w:t>
            </w:r>
          </w:p>
        </w:tc>
      </w:tr>
      <w:tr>
        <w:trPr>
          <w:trHeight w:val="286"/>
        </w:trPr>
        <w:tc>
          <w:tcPr>
            <w:tcW w:w="4040" w:type="dxa"/>
            <w:vAlign w:val="bottom"/>
            <w:gridSpan w:val="2"/>
          </w:tcPr>
          <w:p>
            <w:pPr>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The Regeneron Science Talent Search</w:t>
            </w:r>
          </w:p>
        </w:tc>
        <w:tc>
          <w:tcPr>
            <w:tcW w:w="3880" w:type="dxa"/>
            <w:vAlign w:val="bottom"/>
            <w:gridSpan w:val="2"/>
          </w:tcPr>
          <w:p>
            <w:pPr>
              <w:ind w:left="94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patient support programs</w:t>
            </w:r>
          </w:p>
        </w:tc>
      </w:tr>
      <w:tr>
        <w:trPr>
          <w:trHeight w:val="286"/>
        </w:trPr>
        <w:tc>
          <w:tcPr>
            <w:tcW w:w="160" w:type="dxa"/>
            <w:vAlign w:val="bottom"/>
          </w:tcPr>
          <w:p>
            <w:pPr>
              <w:spacing w:after="0"/>
              <w:rPr>
                <w:sz w:val="20"/>
                <w:szCs w:val="20"/>
                <w:color w:val="auto"/>
              </w:rPr>
            </w:pPr>
            <w:r>
              <w:rPr>
                <w:rFonts w:ascii="Arial" w:cs="Arial" w:eastAsia="Arial" w:hAnsi="Arial"/>
                <w:sz w:val="15"/>
                <w:szCs w:val="15"/>
                <w:color w:val="205BA8"/>
              </w:rPr>
              <w:t>•</w:t>
            </w:r>
          </w:p>
        </w:tc>
        <w:tc>
          <w:tcPr>
            <w:tcW w:w="3880" w:type="dxa"/>
            <w:vAlign w:val="bottom"/>
          </w:tcPr>
          <w:p>
            <w:pPr>
              <w:ind w:left="100"/>
              <w:spacing w:after="0"/>
              <w:rPr>
                <w:sz w:val="20"/>
                <w:szCs w:val="20"/>
                <w:color w:val="auto"/>
              </w:rPr>
            </w:pPr>
            <w:r>
              <w:rPr>
                <w:rFonts w:ascii="Arial" w:cs="Arial" w:eastAsia="Arial" w:hAnsi="Arial"/>
                <w:sz w:val="15"/>
                <w:szCs w:val="15"/>
                <w:color w:val="auto"/>
              </w:rPr>
              <w:t>STEM Teaching Fellowship</w:t>
            </w:r>
          </w:p>
        </w:tc>
        <w:tc>
          <w:tcPr>
            <w:tcW w:w="1100" w:type="dxa"/>
            <w:vAlign w:val="bottom"/>
          </w:tcPr>
          <w:p>
            <w:pPr>
              <w:ind w:left="940"/>
              <w:spacing w:after="0"/>
              <w:rPr>
                <w:sz w:val="20"/>
                <w:szCs w:val="20"/>
                <w:color w:val="auto"/>
              </w:rPr>
            </w:pPr>
            <w:r>
              <w:rPr>
                <w:rFonts w:ascii="Arial" w:cs="Arial" w:eastAsia="Arial" w:hAnsi="Arial"/>
                <w:sz w:val="15"/>
                <w:szCs w:val="15"/>
                <w:color w:val="205BA8"/>
              </w:rPr>
              <w:t>•</w:t>
            </w:r>
          </w:p>
        </w:tc>
        <w:tc>
          <w:tcPr>
            <w:tcW w:w="2780" w:type="dxa"/>
            <w:vAlign w:val="bottom"/>
          </w:tcPr>
          <w:p>
            <w:pPr>
              <w:ind w:left="100"/>
              <w:spacing w:after="0"/>
              <w:rPr>
                <w:sz w:val="20"/>
                <w:szCs w:val="20"/>
                <w:color w:val="auto"/>
              </w:rPr>
            </w:pPr>
            <w:r>
              <w:rPr>
                <w:rFonts w:ascii="Arial" w:cs="Arial" w:eastAsia="Arial" w:hAnsi="Arial"/>
                <w:sz w:val="15"/>
                <w:szCs w:val="15"/>
                <w:color w:val="auto"/>
              </w:rPr>
              <w:t>Our environmental sustainability efforts</w:t>
            </w:r>
          </w:p>
        </w:tc>
      </w:tr>
      <w:tr>
        <w:trPr>
          <w:trHeight w:val="286"/>
        </w:trPr>
        <w:tc>
          <w:tcPr>
            <w:tcW w:w="4040" w:type="dxa"/>
            <w:vAlign w:val="bottom"/>
            <w:gridSpan w:val="2"/>
          </w:tcPr>
          <w:p>
            <w:pPr>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Graduate Internship Program</w:t>
            </w:r>
          </w:p>
        </w:tc>
        <w:tc>
          <w:tcPr>
            <w:tcW w:w="1100" w:type="dxa"/>
            <w:vAlign w:val="bottom"/>
          </w:tcPr>
          <w:p>
            <w:pPr>
              <w:ind w:left="940"/>
              <w:spacing w:after="0"/>
              <w:rPr>
                <w:sz w:val="20"/>
                <w:szCs w:val="20"/>
                <w:color w:val="auto"/>
              </w:rPr>
            </w:pPr>
            <w:r>
              <w:rPr>
                <w:rFonts w:ascii="Arial" w:cs="Arial" w:eastAsia="Arial" w:hAnsi="Arial"/>
                <w:sz w:val="15"/>
                <w:szCs w:val="15"/>
                <w:color w:val="205BA8"/>
              </w:rPr>
              <w:t>•</w:t>
            </w:r>
          </w:p>
        </w:tc>
        <w:tc>
          <w:tcPr>
            <w:tcW w:w="2780" w:type="dxa"/>
            <w:vAlign w:val="bottom"/>
          </w:tcPr>
          <w:p>
            <w:pPr>
              <w:ind w:left="100"/>
              <w:spacing w:after="0"/>
              <w:rPr>
                <w:sz w:val="20"/>
                <w:szCs w:val="20"/>
                <w:color w:val="auto"/>
              </w:rPr>
            </w:pPr>
            <w:r>
              <w:rPr>
                <w:rFonts w:ascii="Arial" w:cs="Arial" w:eastAsia="Arial" w:hAnsi="Arial"/>
                <w:sz w:val="15"/>
                <w:szCs w:val="15"/>
                <w:color w:val="auto"/>
              </w:rPr>
              <w:t>Our commitment to global transparency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8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40" w:type="dxa"/>
            <w:vAlign w:val="bottom"/>
          </w:tcPr>
          <w:p>
            <w:pPr>
              <w:jc w:val="right"/>
              <w:ind w:right="431"/>
              <w:spacing w:after="0"/>
              <w:rPr>
                <w:sz w:val="20"/>
                <w:szCs w:val="20"/>
                <w:color w:val="auto"/>
              </w:rPr>
            </w:pPr>
            <w:r>
              <w:rPr>
                <w:rFonts w:ascii="Arial" w:cs="Arial" w:eastAsia="Arial" w:hAnsi="Arial"/>
                <w:sz w:val="14"/>
                <w:szCs w:val="14"/>
                <w:b w:val="1"/>
                <w:bCs w:val="1"/>
                <w:color w:val="205BA8"/>
              </w:rPr>
              <w:t>/  5</w:t>
            </w:r>
          </w:p>
        </w:tc>
      </w:tr>
      <w:tr>
        <w:trPr>
          <w:trHeight w:val="252"/>
        </w:trPr>
        <w:tc>
          <w:tcPr>
            <w:tcW w:w="7880" w:type="dxa"/>
            <w:vAlign w:val="bottom"/>
            <w:tcBorders>
              <w:bottom w:val="single" w:sz="8" w:color="C0C0C0"/>
            </w:tcBorders>
          </w:tcPr>
          <w:p>
            <w:pPr>
              <w:spacing w:after="0"/>
              <w:rPr>
                <w:sz w:val="21"/>
                <w:szCs w:val="21"/>
                <w:color w:val="auto"/>
              </w:rPr>
            </w:pPr>
          </w:p>
        </w:tc>
        <w:tc>
          <w:tcPr>
            <w:tcW w:w="354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-280035</wp:posOffset>
            </wp:positionV>
            <wp:extent cx="717550" cy="82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9041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600190" cy="904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FFFFFF"/>
        </w:rPr>
        <w:t xml:space="preserve">From Left: </w:t>
      </w:r>
      <w:r>
        <w:rPr>
          <w:rFonts w:ascii="Arial" w:cs="Arial" w:eastAsia="Arial" w:hAnsi="Arial"/>
          <w:sz w:val="14"/>
          <w:szCs w:val="14"/>
          <w:color w:val="FFFFFF"/>
        </w:rPr>
        <w:t>N. Anthony Coles, M.D. / Arthur F. Ryan / Michael S. Brown, M.D. / George L. Sing / Bonnie L.</w:t>
      </w:r>
    </w:p>
    <w:p>
      <w:pPr>
        <w:spacing w:after="0" w:line="6" w:lineRule="exact"/>
        <w:rPr>
          <w:sz w:val="20"/>
          <w:szCs w:val="20"/>
          <w:color w:val="auto"/>
        </w:rPr>
      </w:pPr>
    </w:p>
    <w:p>
      <w:pPr>
        <w:ind w:left="2640"/>
        <w:spacing w:after="0"/>
        <w:rPr>
          <w:sz w:val="20"/>
          <w:szCs w:val="20"/>
          <w:color w:val="auto"/>
        </w:rPr>
      </w:pPr>
      <w:r>
        <w:rPr>
          <w:rFonts w:ascii="Arial" w:cs="Arial" w:eastAsia="Arial" w:hAnsi="Arial"/>
          <w:sz w:val="14"/>
          <w:szCs w:val="14"/>
          <w:color w:val="FFFFFF"/>
        </w:rPr>
        <w:t>Bassler, Ph.D. / Leonard S. Schleifer, M.D., Ph.D. / P. Roy Vagelos, M.D. / George D. Yancopoulos, M.D., Ph.D.</w:t>
      </w:r>
    </w:p>
    <w:p>
      <w:pPr>
        <w:ind w:left="2640"/>
        <w:spacing w:after="0"/>
        <w:rPr>
          <w:sz w:val="20"/>
          <w:szCs w:val="20"/>
          <w:color w:val="auto"/>
        </w:rPr>
      </w:pPr>
      <w:r>
        <w:rPr>
          <w:rFonts w:ascii="Arial" w:cs="Arial" w:eastAsia="Arial" w:hAnsi="Arial"/>
          <w:sz w:val="14"/>
          <w:szCs w:val="14"/>
          <w:color w:val="FFFFFF"/>
        </w:rPr>
        <w:t>/ Christine A. Poon / Joseph L. Goldstein, M.D. / Huda Y. Zoghbi, M.D. / Marc Tessier-Lavigne,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 xml:space="preserve">6  /  </w:t>
      </w:r>
      <w:r>
        <w:rPr>
          <w:sz w:val="1"/>
          <w:szCs w:val="1"/>
          <w:color w:val="auto"/>
        </w:rPr>
        <w:drawing>
          <wp:inline distT="0" distB="0" distL="0" distR="0">
            <wp:extent cx="684530" cy="825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4530" cy="82550"/>
                    </a:xfrm>
                    <a:prstGeom prst="rect">
                      <a:avLst/>
                    </a:prstGeom>
                    <a:noFill/>
                    <a:ln>
                      <a:noFill/>
                    </a:ln>
                  </pic:spPr>
                </pic:pic>
              </a:graphicData>
            </a:graphic>
          </wp:inline>
        </w:drawing>
      </w:r>
      <w:r>
        <w:rPr>
          <w:rFonts w:ascii="Arial" w:cs="Arial" w:eastAsia="Arial" w:hAnsi="Arial"/>
          <w:sz w:val="12"/>
          <w:szCs w:val="12"/>
          <w:b w:val="1"/>
          <w:bCs w:val="1"/>
          <w:color w:val="FFFFFF"/>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862330</wp:posOffset>
            </wp:positionV>
            <wp:extent cx="7251700"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780"/>
          </w:cols>
          <w:pgMar w:left="1060" w:top="1440" w:right="1059" w:bottom="1440" w:gutter="0" w:footer="0" w:header="0"/>
        </w:sectPr>
      </w:pPr>
    </w:p>
    <w:bookmarkStart w:id="19" w:name="page20"/>
    <w:bookmarkEnd w:id="19"/>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42"/>
          <w:szCs w:val="42"/>
          <w:b w:val="1"/>
          <w:bCs w:val="1"/>
          <w:color w:val="205BA8"/>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40"/>
        <w:spacing w:after="0"/>
        <w:rPr>
          <w:sz w:val="20"/>
          <w:szCs w:val="20"/>
          <w:color w:val="auto"/>
        </w:rPr>
      </w:pPr>
      <w:r>
        <w:rPr>
          <w:rFonts w:ascii="Arial" w:cs="Arial" w:eastAsia="Arial" w:hAnsi="Arial"/>
          <w:sz w:val="55"/>
          <w:szCs w:val="55"/>
          <w:b w:val="1"/>
          <w:bCs w:val="1"/>
          <w:color w:val="205BA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43815</wp:posOffset>
            </wp:positionV>
            <wp:extent cx="550291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02910" cy="16510"/>
                    </a:xfrm>
                    <a:prstGeom prst="rect">
                      <a:avLst/>
                    </a:prstGeom>
                    <a:noFill/>
                  </pic:spPr>
                </pic:pic>
              </a:graphicData>
            </a:graphic>
          </wp:anchor>
        </w:drawing>
      </w:r>
    </w:p>
    <w:p>
      <w:pPr>
        <w:spacing w:after="0" w:line="229" w:lineRule="exact"/>
        <w:rPr>
          <w:sz w:val="20"/>
          <w:szCs w:val="20"/>
          <w:color w:val="auto"/>
        </w:rPr>
      </w:pPr>
    </w:p>
    <w:p>
      <w:pPr>
        <w:ind w:left="2240" w:right="660"/>
        <w:spacing w:after="0" w:line="225" w:lineRule="auto"/>
        <w:rPr>
          <w:sz w:val="20"/>
          <w:szCs w:val="20"/>
          <w:color w:val="auto"/>
        </w:rPr>
      </w:pPr>
      <w:r>
        <w:rPr>
          <w:rFonts w:ascii="Arial" w:cs="Arial" w:eastAsia="Arial" w:hAnsi="Arial"/>
          <w:sz w:val="15"/>
          <w:szCs w:val="15"/>
          <w:color w:val="auto"/>
        </w:rPr>
        <w:t>As the first substantive order of business at the 2019 Annual Meeting, you have an opportunity to vote on four members of our board of directors. This is the right starting point not only because the board oversees Regeneron, but because understanding the Regeneron board leads to a better understanding of the Company and its business model.</w:t>
      </w:r>
    </w:p>
    <w:p>
      <w:pPr>
        <w:spacing w:after="0" w:line="139" w:lineRule="exact"/>
        <w:rPr>
          <w:sz w:val="20"/>
          <w:szCs w:val="20"/>
          <w:color w:val="auto"/>
        </w:rPr>
      </w:pPr>
    </w:p>
    <w:p>
      <w:pPr>
        <w:ind w:left="2240" w:right="560"/>
        <w:spacing w:after="0" w:line="236" w:lineRule="auto"/>
        <w:rPr>
          <w:sz w:val="20"/>
          <w:szCs w:val="20"/>
          <w:color w:val="auto"/>
        </w:rPr>
      </w:pPr>
      <w:r>
        <w:rPr>
          <w:rFonts w:ascii="Arial" w:cs="Arial" w:eastAsia="Arial" w:hAnsi="Arial"/>
          <w:sz w:val="14"/>
          <w:szCs w:val="14"/>
          <w:color w:val="auto"/>
        </w:rPr>
        <w:t>As our President and CEO has observed, “Our dream when we started Regeneron was to build a company where the scientists would be the heroes.” The composition of Regeneron’s board reflects this founding principle: over half of our directors are members of the National Academy of Sciences, and our board members include two Nobel laureates and holders of many scientific awards. In addition, the board includes individuals with experience building shareholder value through all stages of corporate development. Various members bring substantial governance experience gained from service on other boards and others bring financial, policy, and management expertise. Five of our board’s current 12 members are diverse by gender, race, or national origin.</w:t>
      </w:r>
    </w:p>
    <w:p>
      <w:pPr>
        <w:spacing w:after="0" w:line="141" w:lineRule="exact"/>
        <w:rPr>
          <w:sz w:val="20"/>
          <w:szCs w:val="20"/>
          <w:color w:val="auto"/>
        </w:rPr>
      </w:pPr>
    </w:p>
    <w:p>
      <w:pPr>
        <w:ind w:left="2240" w:right="640"/>
        <w:spacing w:after="0" w:line="221" w:lineRule="auto"/>
        <w:rPr>
          <w:sz w:val="20"/>
          <w:szCs w:val="20"/>
          <w:color w:val="auto"/>
        </w:rPr>
      </w:pPr>
      <w:r>
        <w:rPr>
          <w:rFonts w:ascii="Arial" w:cs="Arial" w:eastAsia="Arial" w:hAnsi="Arial"/>
          <w:sz w:val="15"/>
          <w:szCs w:val="15"/>
          <w:color w:val="auto"/>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1860" w:type="dxa"/>
            <w:vAlign w:val="bottom"/>
          </w:tcPr>
          <w:p>
            <w:pPr>
              <w:spacing w:after="0"/>
              <w:rPr>
                <w:sz w:val="11"/>
                <w:szCs w:val="11"/>
                <w:color w:val="auto"/>
              </w:rPr>
            </w:pPr>
          </w:p>
        </w:tc>
        <w:tc>
          <w:tcPr>
            <w:tcW w:w="1240" w:type="dxa"/>
            <w:vAlign w:val="bottom"/>
          </w:tcPr>
          <w:p>
            <w:pPr>
              <w:jc w:val="center"/>
              <w:ind w:left="524"/>
              <w:spacing w:after="0"/>
              <w:rPr>
                <w:sz w:val="20"/>
                <w:szCs w:val="20"/>
                <w:color w:val="auto"/>
              </w:rPr>
            </w:pPr>
            <w:r>
              <w:rPr>
                <w:rFonts w:ascii="Arial" w:cs="Arial" w:eastAsia="Arial" w:hAnsi="Arial"/>
                <w:sz w:val="11"/>
                <w:szCs w:val="11"/>
                <w:b w:val="1"/>
                <w:bCs w:val="1"/>
                <w:color w:val="205BA8"/>
              </w:rPr>
              <w:t>Bonnie</w:t>
            </w:r>
          </w:p>
        </w:tc>
        <w:tc>
          <w:tcPr>
            <w:tcW w:w="7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205BA8"/>
                <w:w w:val="90"/>
              </w:rPr>
              <w:t>N.</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205BA8"/>
              </w:rPr>
              <w:t>Joseph L.</w:t>
            </w: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205BA8"/>
              </w:rPr>
              <w:t>Leonard S.</w:t>
            </w:r>
          </w:p>
        </w:tc>
        <w:tc>
          <w:tcPr>
            <w:tcW w:w="4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205BA8"/>
              </w:rPr>
              <w:t>Marc</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205BA8"/>
                <w:w w:val="99"/>
              </w:rPr>
              <w:t>P. Roy</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205BA8"/>
              </w:rPr>
              <w:t>George D.</w:t>
            </w:r>
          </w:p>
        </w:tc>
        <w:tc>
          <w:tcPr>
            <w:tcW w:w="780" w:type="dxa"/>
            <w:vAlign w:val="bottom"/>
          </w:tcPr>
          <w:p>
            <w:pPr>
              <w:spacing w:after="0"/>
              <w:rPr>
                <w:sz w:val="11"/>
                <w:szCs w:val="11"/>
                <w:color w:val="auto"/>
              </w:rPr>
            </w:pPr>
          </w:p>
        </w:tc>
      </w:tr>
      <w:tr>
        <w:trPr>
          <w:trHeight w:val="130"/>
        </w:trPr>
        <w:tc>
          <w:tcPr>
            <w:tcW w:w="1860" w:type="dxa"/>
            <w:vAlign w:val="bottom"/>
          </w:tcPr>
          <w:p>
            <w:pPr>
              <w:ind w:left="40"/>
              <w:spacing w:after="0"/>
              <w:rPr>
                <w:sz w:val="20"/>
                <w:szCs w:val="20"/>
                <w:color w:val="auto"/>
              </w:rPr>
            </w:pPr>
            <w:r>
              <w:rPr>
                <w:rFonts w:ascii="Arial" w:cs="Arial" w:eastAsia="Arial" w:hAnsi="Arial"/>
                <w:sz w:val="11"/>
                <w:szCs w:val="11"/>
                <w:b w:val="1"/>
                <w:bCs w:val="1"/>
                <w:color w:val="205BA8"/>
              </w:rPr>
              <w:t>Experience,</w:t>
            </w:r>
          </w:p>
        </w:tc>
        <w:tc>
          <w:tcPr>
            <w:tcW w:w="1240" w:type="dxa"/>
            <w:vAlign w:val="bottom"/>
          </w:tcPr>
          <w:p>
            <w:pPr>
              <w:jc w:val="center"/>
              <w:ind w:left="544"/>
              <w:spacing w:after="0"/>
              <w:rPr>
                <w:sz w:val="20"/>
                <w:szCs w:val="20"/>
                <w:color w:val="auto"/>
              </w:rPr>
            </w:pPr>
            <w:r>
              <w:rPr>
                <w:rFonts w:ascii="Arial" w:cs="Arial" w:eastAsia="Arial" w:hAnsi="Arial"/>
                <w:sz w:val="11"/>
                <w:szCs w:val="11"/>
                <w:b w:val="1"/>
                <w:bCs w:val="1"/>
                <w:color w:val="205BA8"/>
              </w:rPr>
              <w:t>L. Bassler,</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205BA8"/>
              </w:rPr>
              <w:t>Michael S.</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205BA8"/>
              </w:rPr>
              <w:t>Anthony</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205BA8"/>
              </w:rPr>
              <w:t>Goldstein,</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205BA8"/>
              </w:rPr>
              <w:t>Christine</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205BA8"/>
              </w:rPr>
              <w:t>Arthur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205BA8"/>
              </w:rPr>
              <w:t>Schleifer,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205BA8"/>
              </w:rPr>
              <w:t>George</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205BA8"/>
              </w:rPr>
              <w:t>Tessier-</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205BA8"/>
              </w:rPr>
              <w:t>Vagelos,</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205BA8"/>
                <w:w w:val="99"/>
              </w:rPr>
              <w:t>Yancopoulos,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205BA8"/>
                <w:w w:val="97"/>
              </w:rPr>
              <w:t>Huda Y.</w:t>
            </w:r>
          </w:p>
        </w:tc>
      </w:tr>
      <w:tr>
        <w:trPr>
          <w:trHeight w:val="148"/>
        </w:trPr>
        <w:tc>
          <w:tcPr>
            <w:tcW w:w="1860" w:type="dxa"/>
            <w:vAlign w:val="bottom"/>
            <w:tcBorders>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Expertise, or Attribute</w:t>
            </w:r>
          </w:p>
        </w:tc>
        <w:tc>
          <w:tcPr>
            <w:tcW w:w="1240" w:type="dxa"/>
            <w:vAlign w:val="bottom"/>
            <w:tcBorders>
              <w:bottom w:val="single" w:sz="8" w:color="205BA8"/>
            </w:tcBorders>
          </w:tcPr>
          <w:p>
            <w:pPr>
              <w:jc w:val="center"/>
              <w:ind w:left="544"/>
              <w:spacing w:after="0"/>
              <w:rPr>
                <w:sz w:val="20"/>
                <w:szCs w:val="20"/>
                <w:color w:val="auto"/>
              </w:rPr>
            </w:pPr>
            <w:r>
              <w:rPr>
                <w:rFonts w:ascii="Arial" w:cs="Arial" w:eastAsia="Arial" w:hAnsi="Arial"/>
                <w:sz w:val="11"/>
                <w:szCs w:val="11"/>
                <w:b w:val="1"/>
                <w:bCs w:val="1"/>
                <w:color w:val="205BA8"/>
                <w:w w:val="99"/>
              </w:rPr>
              <w:t>Ph.D.</w:t>
            </w:r>
          </w:p>
        </w:tc>
        <w:tc>
          <w:tcPr>
            <w:tcW w:w="7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Brown, M.D.</w:t>
            </w:r>
          </w:p>
        </w:tc>
        <w:tc>
          <w:tcPr>
            <w:tcW w:w="70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Coles, M.D.</w:t>
            </w:r>
          </w:p>
        </w:tc>
        <w:tc>
          <w:tcPr>
            <w:tcW w:w="62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94"/>
              </w:rPr>
              <w:t>M.D.</w:t>
            </w:r>
          </w:p>
        </w:tc>
        <w:tc>
          <w:tcPr>
            <w:tcW w:w="5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A. Poon</w:t>
            </w:r>
          </w:p>
        </w:tc>
        <w:tc>
          <w:tcPr>
            <w:tcW w:w="4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F. Ryan</w:t>
            </w:r>
          </w:p>
        </w:tc>
        <w:tc>
          <w:tcPr>
            <w:tcW w:w="66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M.D., Ph.D.</w:t>
            </w:r>
          </w:p>
        </w:tc>
        <w:tc>
          <w:tcPr>
            <w:tcW w:w="480" w:type="dxa"/>
            <w:vAlign w:val="bottom"/>
            <w:tcBorders>
              <w:bottom w:val="single" w:sz="8" w:color="205BA8"/>
            </w:tcBorders>
          </w:tcPr>
          <w:p>
            <w:pPr>
              <w:ind w:left="60"/>
              <w:spacing w:after="0"/>
              <w:rPr>
                <w:sz w:val="20"/>
                <w:szCs w:val="20"/>
                <w:color w:val="auto"/>
              </w:rPr>
            </w:pPr>
            <w:r>
              <w:rPr>
                <w:rFonts w:ascii="Arial" w:cs="Arial" w:eastAsia="Arial" w:hAnsi="Arial"/>
                <w:sz w:val="11"/>
                <w:szCs w:val="11"/>
                <w:b w:val="1"/>
                <w:bCs w:val="1"/>
                <w:color w:val="205BA8"/>
              </w:rPr>
              <w:t>L. Sing</w:t>
            </w:r>
          </w:p>
        </w:tc>
        <w:tc>
          <w:tcPr>
            <w:tcW w:w="8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Lavigne, Ph.D.</w:t>
            </w:r>
          </w:p>
        </w:tc>
        <w:tc>
          <w:tcPr>
            <w:tcW w:w="5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M.D.</w:t>
            </w:r>
          </w:p>
        </w:tc>
        <w:tc>
          <w:tcPr>
            <w:tcW w:w="8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M.D., Ph.D.</w:t>
            </w:r>
          </w:p>
        </w:tc>
        <w:tc>
          <w:tcPr>
            <w:tcW w:w="7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Zoghbi, M.D.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tcPr>
          <w:p>
            <w:pPr>
              <w:spacing w:after="0"/>
              <w:rPr>
                <w:sz w:val="13"/>
                <w:szCs w:val="13"/>
                <w:color w:val="auto"/>
              </w:rPr>
            </w:pPr>
          </w:p>
        </w:tc>
        <w:tc>
          <w:tcPr>
            <w:tcW w:w="2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Industry Experience</w:t>
            </w:r>
          </w:p>
        </w:tc>
        <w:tc>
          <w:tcPr>
            <w:tcW w:w="580" w:type="dxa"/>
            <w:vAlign w:val="bottom"/>
          </w:tcPr>
          <w:p>
            <w:pPr>
              <w:ind w:left="180"/>
              <w:spacing w:after="0" w:line="156" w:lineRule="exact"/>
              <w:rPr>
                <w:sz w:val="20"/>
                <w:szCs w:val="20"/>
                <w:color w:val="auto"/>
              </w:rPr>
            </w:pPr>
            <w:r>
              <w:rPr>
                <w:rFonts w:ascii="Arial" w:cs="Arial" w:eastAsia="Arial" w:hAnsi="Arial"/>
                <w:sz w:val="18"/>
                <w:szCs w:val="18"/>
                <w:color w:val="D61C5A"/>
              </w:rPr>
              <w:t>•</w:t>
            </w:r>
          </w:p>
        </w:tc>
        <w:tc>
          <w:tcPr>
            <w:tcW w:w="700" w:type="dxa"/>
            <w:vAlign w:val="bottom"/>
          </w:tcPr>
          <w:p>
            <w:pPr>
              <w:ind w:left="300"/>
              <w:spacing w:after="0" w:line="156" w:lineRule="exact"/>
              <w:rPr>
                <w:sz w:val="20"/>
                <w:szCs w:val="20"/>
                <w:color w:val="auto"/>
              </w:rPr>
            </w:pPr>
            <w:r>
              <w:rPr>
                <w:rFonts w:ascii="Arial" w:cs="Arial" w:eastAsia="Arial" w:hAnsi="Arial"/>
                <w:sz w:val="18"/>
                <w:szCs w:val="18"/>
                <w:color w:val="D61C5A"/>
              </w:rPr>
              <w:t>•</w:t>
            </w:r>
          </w:p>
        </w:tc>
        <w:tc>
          <w:tcPr>
            <w:tcW w:w="860" w:type="dxa"/>
            <w:vAlign w:val="bottom"/>
          </w:tcPr>
          <w:p>
            <w:pPr>
              <w:ind w:left="320"/>
              <w:spacing w:after="0" w:line="156" w:lineRule="exact"/>
              <w:rPr>
                <w:sz w:val="20"/>
                <w:szCs w:val="20"/>
                <w:color w:val="auto"/>
              </w:rPr>
            </w:pPr>
            <w:r>
              <w:rPr>
                <w:rFonts w:ascii="Arial" w:cs="Arial" w:eastAsia="Arial" w:hAnsi="Arial"/>
                <w:sz w:val="18"/>
                <w:szCs w:val="18"/>
                <w:color w:val="D61C5A"/>
              </w:rPr>
              <w:t>•</w:t>
            </w:r>
          </w:p>
        </w:tc>
        <w:tc>
          <w:tcPr>
            <w:tcW w:w="480" w:type="dxa"/>
            <w:vAlign w:val="bottom"/>
          </w:tcPr>
          <w:p>
            <w:pPr>
              <w:ind w:left="120"/>
              <w:spacing w:after="0" w:line="156" w:lineRule="exact"/>
              <w:rPr>
                <w:sz w:val="20"/>
                <w:szCs w:val="20"/>
                <w:color w:val="auto"/>
              </w:rPr>
            </w:pPr>
            <w:r>
              <w:rPr>
                <w:rFonts w:ascii="Arial" w:cs="Arial" w:eastAsia="Arial" w:hAnsi="Arial"/>
                <w:sz w:val="18"/>
                <w:szCs w:val="18"/>
                <w:color w:val="D61C5A"/>
              </w:rPr>
              <w:t>•</w:t>
            </w:r>
          </w:p>
        </w:tc>
        <w:tc>
          <w:tcPr>
            <w:tcW w:w="560" w:type="dxa"/>
            <w:vAlign w:val="bottom"/>
          </w:tcPr>
          <w:p>
            <w:pPr>
              <w:ind w:left="240"/>
              <w:spacing w:after="0" w:line="156" w:lineRule="exact"/>
              <w:rPr>
                <w:sz w:val="20"/>
                <w:szCs w:val="20"/>
                <w:color w:val="auto"/>
              </w:rPr>
            </w:pPr>
            <w:r>
              <w:rPr>
                <w:rFonts w:ascii="Arial" w:cs="Arial" w:eastAsia="Arial" w:hAnsi="Arial"/>
                <w:sz w:val="18"/>
                <w:szCs w:val="18"/>
                <w:color w:val="D61C5A"/>
              </w:rPr>
              <w:t>•</w:t>
            </w:r>
          </w:p>
        </w:tc>
        <w:tc>
          <w:tcPr>
            <w:tcW w:w="540" w:type="dxa"/>
            <w:vAlign w:val="bottom"/>
          </w:tcPr>
          <w:p>
            <w:pPr>
              <w:ind w:left="200"/>
              <w:spacing w:after="0" w:line="156" w:lineRule="exact"/>
              <w:rPr>
                <w:sz w:val="20"/>
                <w:szCs w:val="20"/>
                <w:color w:val="auto"/>
              </w:rPr>
            </w:pPr>
            <w:r>
              <w:rPr>
                <w:rFonts w:ascii="Arial" w:cs="Arial" w:eastAsia="Arial" w:hAnsi="Arial"/>
                <w:sz w:val="18"/>
                <w:szCs w:val="18"/>
                <w:color w:val="D61C5A"/>
              </w:rPr>
              <w:t>•</w:t>
            </w:r>
          </w:p>
        </w:tc>
        <w:tc>
          <w:tcPr>
            <w:tcW w:w="580" w:type="dxa"/>
            <w:vAlign w:val="bottom"/>
          </w:tcPr>
          <w:p>
            <w:pPr>
              <w:ind w:left="240"/>
              <w:spacing w:after="0" w:line="156" w:lineRule="exact"/>
              <w:rPr>
                <w:sz w:val="20"/>
                <w:szCs w:val="20"/>
                <w:color w:val="auto"/>
              </w:rPr>
            </w:pPr>
            <w:r>
              <w:rPr>
                <w:rFonts w:ascii="Arial" w:cs="Arial" w:eastAsia="Arial" w:hAnsi="Arial"/>
                <w:sz w:val="18"/>
                <w:szCs w:val="18"/>
                <w:color w:val="D61C5A"/>
              </w:rPr>
              <w:t>•</w:t>
            </w:r>
          </w:p>
        </w:tc>
        <w:tc>
          <w:tcPr>
            <w:tcW w:w="620" w:type="dxa"/>
            <w:vAlign w:val="bottom"/>
          </w:tcPr>
          <w:p>
            <w:pPr>
              <w:ind w:left="240"/>
              <w:spacing w:after="0" w:line="156" w:lineRule="exact"/>
              <w:rPr>
                <w:sz w:val="20"/>
                <w:szCs w:val="20"/>
                <w:color w:val="auto"/>
              </w:rPr>
            </w:pPr>
            <w:r>
              <w:rPr>
                <w:rFonts w:ascii="Arial" w:cs="Arial" w:eastAsia="Arial" w:hAnsi="Arial"/>
                <w:sz w:val="18"/>
                <w:szCs w:val="18"/>
                <w:color w:val="D61C5A"/>
              </w:rPr>
              <w:t>•</w:t>
            </w:r>
          </w:p>
        </w:tc>
        <w:tc>
          <w:tcPr>
            <w:tcW w:w="700" w:type="dxa"/>
            <w:vAlign w:val="bottom"/>
          </w:tcPr>
          <w:p>
            <w:pPr>
              <w:ind w:left="300"/>
              <w:spacing w:after="0" w:line="156" w:lineRule="exact"/>
              <w:rPr>
                <w:sz w:val="20"/>
                <w:szCs w:val="20"/>
                <w:color w:val="auto"/>
              </w:rPr>
            </w:pPr>
            <w:r>
              <w:rPr>
                <w:rFonts w:ascii="Arial" w:cs="Arial" w:eastAsia="Arial" w:hAnsi="Arial"/>
                <w:sz w:val="18"/>
                <w:szCs w:val="18"/>
                <w:color w:val="D61C5A"/>
              </w:rPr>
              <w:t>•</w:t>
            </w:r>
          </w:p>
        </w:tc>
        <w:tc>
          <w:tcPr>
            <w:tcW w:w="700" w:type="dxa"/>
            <w:vAlign w:val="bottom"/>
          </w:tcPr>
          <w:p>
            <w:pPr>
              <w:ind w:left="300"/>
              <w:spacing w:after="0" w:line="156" w:lineRule="exact"/>
              <w:rPr>
                <w:sz w:val="20"/>
                <w:szCs w:val="20"/>
                <w:color w:val="auto"/>
              </w:rPr>
            </w:pPr>
            <w:r>
              <w:rPr>
                <w:rFonts w:ascii="Arial" w:cs="Arial" w:eastAsia="Arial" w:hAnsi="Arial"/>
                <w:sz w:val="18"/>
                <w:szCs w:val="18"/>
                <w:color w:val="D61C5A"/>
              </w:rPr>
              <w:t>•</w:t>
            </w:r>
          </w:p>
        </w:tc>
        <w:tc>
          <w:tcPr>
            <w:tcW w:w="740" w:type="dxa"/>
            <w:vAlign w:val="bottom"/>
          </w:tcPr>
          <w:p>
            <w:pPr>
              <w:ind w:left="280"/>
              <w:spacing w:after="0" w:line="156" w:lineRule="exact"/>
              <w:rPr>
                <w:sz w:val="20"/>
                <w:szCs w:val="20"/>
                <w:color w:val="auto"/>
              </w:rPr>
            </w:pPr>
            <w:r>
              <w:rPr>
                <w:rFonts w:ascii="Arial" w:cs="Arial" w:eastAsia="Arial" w:hAnsi="Arial"/>
                <w:sz w:val="18"/>
                <w:szCs w:val="18"/>
                <w:color w:val="D61C5A"/>
              </w:rPr>
              <w:t>•</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shd w:val="clear" w:color="auto" w:fill="ECEDED"/>
          </w:tcPr>
          <w:p>
            <w:pPr>
              <w:ind w:left="40"/>
              <w:spacing w:after="0"/>
              <w:rPr>
                <w:sz w:val="20"/>
                <w:szCs w:val="20"/>
                <w:color w:val="auto"/>
              </w:rPr>
            </w:pPr>
            <w:r>
              <w:rPr>
                <w:rFonts w:ascii="Arial" w:cs="Arial" w:eastAsia="Arial" w:hAnsi="Arial"/>
                <w:sz w:val="11"/>
                <w:szCs w:val="11"/>
                <w:b w:val="1"/>
                <w:bCs w:val="1"/>
                <w:color w:val="auto"/>
              </w:rPr>
              <w:t>Executive/Leadership Experience</w:t>
            </w:r>
          </w:p>
        </w:tc>
        <w:tc>
          <w:tcPr>
            <w:tcW w:w="580" w:type="dxa"/>
            <w:vAlign w:val="bottom"/>
            <w:shd w:val="clear" w:color="auto" w:fill="ECEDED"/>
          </w:tcPr>
          <w:p>
            <w:pPr>
              <w:ind w:left="18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860" w:type="dxa"/>
            <w:vAlign w:val="bottom"/>
            <w:shd w:val="clear" w:color="auto" w:fill="ECEDED"/>
          </w:tcPr>
          <w:p>
            <w:pPr>
              <w:ind w:left="320"/>
              <w:spacing w:after="0" w:line="149" w:lineRule="exact"/>
              <w:rPr>
                <w:sz w:val="20"/>
                <w:szCs w:val="20"/>
                <w:color w:val="auto"/>
              </w:rPr>
            </w:pPr>
            <w:r>
              <w:rPr>
                <w:rFonts w:ascii="Arial" w:cs="Arial" w:eastAsia="Arial" w:hAnsi="Arial"/>
                <w:sz w:val="17"/>
                <w:szCs w:val="17"/>
                <w:color w:val="D61C5A"/>
              </w:rPr>
              <w:t>•</w:t>
            </w:r>
          </w:p>
        </w:tc>
        <w:tc>
          <w:tcPr>
            <w:tcW w:w="480" w:type="dxa"/>
            <w:vAlign w:val="bottom"/>
            <w:shd w:val="clear" w:color="auto" w:fill="ECEDED"/>
          </w:tcPr>
          <w:p>
            <w:pPr>
              <w:ind w:left="120"/>
              <w:spacing w:after="0" w:line="149" w:lineRule="exact"/>
              <w:rPr>
                <w:sz w:val="20"/>
                <w:szCs w:val="20"/>
                <w:color w:val="auto"/>
              </w:rPr>
            </w:pPr>
            <w:r>
              <w:rPr>
                <w:rFonts w:ascii="Arial" w:cs="Arial" w:eastAsia="Arial" w:hAnsi="Arial"/>
                <w:sz w:val="17"/>
                <w:szCs w:val="17"/>
                <w:color w:val="D61C5A"/>
              </w:rPr>
              <w:t>•</w:t>
            </w:r>
          </w:p>
        </w:tc>
        <w:tc>
          <w:tcPr>
            <w:tcW w:w="56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540" w:type="dxa"/>
            <w:vAlign w:val="bottom"/>
            <w:shd w:val="clear" w:color="auto" w:fill="ECEDED"/>
          </w:tcPr>
          <w:p>
            <w:pPr>
              <w:ind w:left="200"/>
              <w:spacing w:after="0" w:line="149" w:lineRule="exact"/>
              <w:rPr>
                <w:sz w:val="20"/>
                <w:szCs w:val="20"/>
                <w:color w:val="auto"/>
              </w:rPr>
            </w:pPr>
            <w:r>
              <w:rPr>
                <w:rFonts w:ascii="Arial" w:cs="Arial" w:eastAsia="Arial" w:hAnsi="Arial"/>
                <w:sz w:val="17"/>
                <w:szCs w:val="17"/>
                <w:color w:val="D61C5A"/>
              </w:rPr>
              <w:t>•</w:t>
            </w:r>
          </w:p>
        </w:tc>
        <w:tc>
          <w:tcPr>
            <w:tcW w:w="58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62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shd w:val="clear" w:color="auto" w:fill="ECEDED"/>
          </w:tcPr>
          <w:p>
            <w:pPr>
              <w:ind w:left="280"/>
              <w:spacing w:after="0" w:line="149" w:lineRule="exact"/>
              <w:rPr>
                <w:sz w:val="20"/>
                <w:szCs w:val="20"/>
                <w:color w:val="auto"/>
              </w:rPr>
            </w:pPr>
            <w:r>
              <w:rPr>
                <w:rFonts w:ascii="Arial" w:cs="Arial" w:eastAsia="Arial" w:hAnsi="Arial"/>
                <w:sz w:val="17"/>
                <w:szCs w:val="17"/>
                <w:color w:val="D61C5A"/>
              </w:rPr>
              <w:t>•</w:t>
            </w:r>
          </w:p>
        </w:tc>
        <w:tc>
          <w:tcPr>
            <w:tcW w:w="800" w:type="dxa"/>
            <w:vAlign w:val="bottom"/>
            <w:shd w:val="clear" w:color="auto" w:fill="ECEDED"/>
          </w:tcPr>
          <w:p>
            <w:pPr>
              <w:ind w:left="360"/>
              <w:spacing w:after="0" w:line="149" w:lineRule="exact"/>
              <w:rPr>
                <w:sz w:val="20"/>
                <w:szCs w:val="20"/>
                <w:color w:val="auto"/>
              </w:rPr>
            </w:pPr>
            <w:r>
              <w:rPr>
                <w:rFonts w:ascii="Arial" w:cs="Arial" w:eastAsia="Arial" w:hAnsi="Arial"/>
                <w:sz w:val="17"/>
                <w:szCs w:val="17"/>
                <w:color w:val="D61C5A"/>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860" w:type="dxa"/>
            <w:vAlign w:val="bottom"/>
            <w:shd w:val="clear" w:color="auto" w:fill="ECEDED"/>
          </w:tcPr>
          <w:p>
            <w:pPr>
              <w:spacing w:after="0"/>
              <w:rPr>
                <w:sz w:val="2"/>
                <w:szCs w:val="2"/>
                <w:color w:val="auto"/>
              </w:rPr>
            </w:pPr>
          </w:p>
        </w:tc>
        <w:tc>
          <w:tcPr>
            <w:tcW w:w="480" w:type="dxa"/>
            <w:vAlign w:val="bottom"/>
            <w:shd w:val="clear" w:color="auto" w:fill="ECEDED"/>
          </w:tcPr>
          <w:p>
            <w:pPr>
              <w:spacing w:after="0"/>
              <w:rPr>
                <w:sz w:val="2"/>
                <w:szCs w:val="2"/>
                <w:color w:val="auto"/>
              </w:rPr>
            </w:pPr>
          </w:p>
        </w:tc>
        <w:tc>
          <w:tcPr>
            <w:tcW w:w="560" w:type="dxa"/>
            <w:vAlign w:val="bottom"/>
            <w:shd w:val="clear" w:color="auto" w:fill="ECEDED"/>
          </w:tcPr>
          <w:p>
            <w:pPr>
              <w:spacing w:after="0"/>
              <w:rPr>
                <w:sz w:val="2"/>
                <w:szCs w:val="2"/>
                <w:color w:val="auto"/>
              </w:rPr>
            </w:pPr>
          </w:p>
        </w:tc>
        <w:tc>
          <w:tcPr>
            <w:tcW w:w="540" w:type="dxa"/>
            <w:vAlign w:val="bottom"/>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62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40" w:type="dxa"/>
            <w:vAlign w:val="bottom"/>
            <w:shd w:val="clear" w:color="auto" w:fill="ECEDED"/>
          </w:tcPr>
          <w:p>
            <w:pPr>
              <w:spacing w:after="0"/>
              <w:rPr>
                <w:sz w:val="2"/>
                <w:szCs w:val="2"/>
                <w:color w:val="auto"/>
              </w:rPr>
            </w:pPr>
          </w:p>
        </w:tc>
        <w:tc>
          <w:tcPr>
            <w:tcW w:w="800" w:type="dxa"/>
            <w:vAlign w:val="bottom"/>
            <w:shd w:val="clear" w:color="auto" w:fill="ECEDED"/>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shd w:val="clear" w:color="auto" w:fill="ECEDED"/>
          </w:tcPr>
          <w:p>
            <w:pPr>
              <w:spacing w:after="0"/>
              <w:rPr>
                <w:sz w:val="20"/>
                <w:szCs w:val="20"/>
                <w:color w:val="auto"/>
              </w:rPr>
            </w:pPr>
          </w:p>
        </w:tc>
        <w:tc>
          <w:tcPr>
            <w:tcW w:w="58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860" w:type="dxa"/>
            <w:vAlign w:val="bottom"/>
            <w:tcBorders>
              <w:bottom w:val="single" w:sz="8" w:color="808080"/>
            </w:tcBorders>
            <w:shd w:val="clear" w:color="auto" w:fill="ECEDED"/>
          </w:tcPr>
          <w:p>
            <w:pPr>
              <w:spacing w:after="0"/>
              <w:rPr>
                <w:sz w:val="20"/>
                <w:szCs w:val="20"/>
                <w:color w:val="auto"/>
              </w:rPr>
            </w:pPr>
          </w:p>
        </w:tc>
        <w:tc>
          <w:tcPr>
            <w:tcW w:w="480" w:type="dxa"/>
            <w:vAlign w:val="bottom"/>
            <w:tcBorders>
              <w:bottom w:val="single" w:sz="8" w:color="808080"/>
            </w:tcBorders>
            <w:shd w:val="clear" w:color="auto" w:fill="ECEDED"/>
          </w:tcPr>
          <w:p>
            <w:pPr>
              <w:spacing w:after="0"/>
              <w:rPr>
                <w:sz w:val="20"/>
                <w:szCs w:val="20"/>
                <w:color w:val="auto"/>
              </w:rPr>
            </w:pPr>
          </w:p>
        </w:tc>
        <w:tc>
          <w:tcPr>
            <w:tcW w:w="560" w:type="dxa"/>
            <w:vAlign w:val="bottom"/>
            <w:tcBorders>
              <w:bottom w:val="single" w:sz="8" w:color="808080"/>
            </w:tcBorders>
            <w:shd w:val="clear" w:color="auto" w:fill="ECEDED"/>
          </w:tcPr>
          <w:p>
            <w:pPr>
              <w:spacing w:after="0"/>
              <w:rPr>
                <w:sz w:val="20"/>
                <w:szCs w:val="20"/>
                <w:color w:val="auto"/>
              </w:rPr>
            </w:pPr>
          </w:p>
        </w:tc>
        <w:tc>
          <w:tcPr>
            <w:tcW w:w="540" w:type="dxa"/>
            <w:vAlign w:val="bottom"/>
            <w:tcBorders>
              <w:bottom w:val="single" w:sz="8" w:color="808080"/>
            </w:tcBorders>
            <w:shd w:val="clear" w:color="auto" w:fill="ECEDED"/>
          </w:tcPr>
          <w:p>
            <w:pPr>
              <w:spacing w:after="0"/>
              <w:rPr>
                <w:sz w:val="20"/>
                <w:szCs w:val="20"/>
                <w:color w:val="auto"/>
              </w:rPr>
            </w:pPr>
          </w:p>
        </w:tc>
        <w:tc>
          <w:tcPr>
            <w:tcW w:w="580" w:type="dxa"/>
            <w:vAlign w:val="bottom"/>
            <w:tcBorders>
              <w:bottom w:val="single" w:sz="8" w:color="808080"/>
            </w:tcBorders>
            <w:shd w:val="clear" w:color="auto" w:fill="ECEDED"/>
          </w:tcPr>
          <w:p>
            <w:pPr>
              <w:spacing w:after="0"/>
              <w:rPr>
                <w:sz w:val="20"/>
                <w:szCs w:val="20"/>
                <w:color w:val="auto"/>
              </w:rPr>
            </w:pPr>
          </w:p>
        </w:tc>
        <w:tc>
          <w:tcPr>
            <w:tcW w:w="62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740" w:type="dxa"/>
            <w:vAlign w:val="bottom"/>
            <w:tcBorders>
              <w:bottom w:val="single" w:sz="8" w:color="808080"/>
            </w:tcBorders>
            <w:shd w:val="clear" w:color="auto" w:fill="ECEDED"/>
          </w:tcPr>
          <w:p>
            <w:pPr>
              <w:spacing w:after="0"/>
              <w:rPr>
                <w:sz w:val="20"/>
                <w:szCs w:val="20"/>
                <w:color w:val="auto"/>
              </w:rPr>
            </w:pPr>
          </w:p>
        </w:tc>
        <w:tc>
          <w:tcPr>
            <w:tcW w:w="800" w:type="dxa"/>
            <w:vAlign w:val="bottom"/>
            <w:tcBorders>
              <w:bottom w:val="single" w:sz="8" w:color="808080"/>
            </w:tcBorders>
            <w:shd w:val="clear" w:color="auto" w:fill="ECEDED"/>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Science/Biotech Background</w:t>
            </w:r>
          </w:p>
        </w:tc>
        <w:tc>
          <w:tcPr>
            <w:tcW w:w="580" w:type="dxa"/>
            <w:vAlign w:val="bottom"/>
          </w:tcPr>
          <w:p>
            <w:pPr>
              <w:ind w:left="180"/>
              <w:spacing w:after="0" w:line="149" w:lineRule="exact"/>
              <w:rPr>
                <w:sz w:val="20"/>
                <w:szCs w:val="20"/>
                <w:color w:val="auto"/>
              </w:rPr>
            </w:pPr>
            <w:r>
              <w:rPr>
                <w:rFonts w:ascii="Arial" w:cs="Arial" w:eastAsia="Arial" w:hAnsi="Arial"/>
                <w:sz w:val="17"/>
                <w:szCs w:val="17"/>
                <w:color w:val="D61C5A"/>
              </w:rPr>
              <w:t>•</w:t>
            </w:r>
          </w:p>
        </w:tc>
        <w:tc>
          <w:tcPr>
            <w:tcW w:w="700" w:type="dxa"/>
            <w:vAlign w:val="bottom"/>
          </w:tcPr>
          <w:p>
            <w:pPr>
              <w:ind w:left="300"/>
              <w:spacing w:after="0" w:line="149" w:lineRule="exact"/>
              <w:rPr>
                <w:sz w:val="20"/>
                <w:szCs w:val="20"/>
                <w:color w:val="auto"/>
              </w:rPr>
            </w:pPr>
            <w:r>
              <w:rPr>
                <w:rFonts w:ascii="Arial" w:cs="Arial" w:eastAsia="Arial" w:hAnsi="Arial"/>
                <w:sz w:val="17"/>
                <w:szCs w:val="17"/>
                <w:color w:val="D61C5A"/>
              </w:rPr>
              <w:t>•</w:t>
            </w:r>
          </w:p>
        </w:tc>
        <w:tc>
          <w:tcPr>
            <w:tcW w:w="860" w:type="dxa"/>
            <w:vAlign w:val="bottom"/>
          </w:tcPr>
          <w:p>
            <w:pPr>
              <w:ind w:left="320"/>
              <w:spacing w:after="0" w:line="149" w:lineRule="exact"/>
              <w:rPr>
                <w:sz w:val="20"/>
                <w:szCs w:val="20"/>
                <w:color w:val="auto"/>
              </w:rPr>
            </w:pPr>
            <w:r>
              <w:rPr>
                <w:rFonts w:ascii="Arial" w:cs="Arial" w:eastAsia="Arial" w:hAnsi="Arial"/>
                <w:sz w:val="17"/>
                <w:szCs w:val="17"/>
                <w:color w:val="D61C5A"/>
              </w:rPr>
              <w:t>•</w:t>
            </w:r>
          </w:p>
        </w:tc>
        <w:tc>
          <w:tcPr>
            <w:tcW w:w="480" w:type="dxa"/>
            <w:vAlign w:val="bottom"/>
          </w:tcPr>
          <w:p>
            <w:pPr>
              <w:ind w:left="120"/>
              <w:spacing w:after="0" w:line="149" w:lineRule="exact"/>
              <w:rPr>
                <w:sz w:val="20"/>
                <w:szCs w:val="20"/>
                <w:color w:val="auto"/>
              </w:rPr>
            </w:pPr>
            <w:r>
              <w:rPr>
                <w:rFonts w:ascii="Arial" w:cs="Arial" w:eastAsia="Arial" w:hAnsi="Arial"/>
                <w:sz w:val="17"/>
                <w:szCs w:val="17"/>
                <w:color w:val="D61C5A"/>
              </w:rPr>
              <w:t>•</w:t>
            </w:r>
          </w:p>
        </w:tc>
        <w:tc>
          <w:tcPr>
            <w:tcW w:w="56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540" w:type="dxa"/>
            <w:vAlign w:val="bottom"/>
          </w:tcPr>
          <w:p>
            <w:pPr>
              <w:spacing w:after="0"/>
              <w:rPr>
                <w:sz w:val="12"/>
                <w:szCs w:val="12"/>
                <w:color w:val="auto"/>
              </w:rPr>
            </w:pPr>
          </w:p>
        </w:tc>
        <w:tc>
          <w:tcPr>
            <w:tcW w:w="58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62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700" w:type="dxa"/>
            <w:vAlign w:val="bottom"/>
          </w:tcPr>
          <w:p>
            <w:pPr>
              <w:ind w:left="300"/>
              <w:spacing w:after="0" w:line="149" w:lineRule="exact"/>
              <w:rPr>
                <w:sz w:val="20"/>
                <w:szCs w:val="20"/>
                <w:color w:val="auto"/>
              </w:rPr>
            </w:pPr>
            <w:r>
              <w:rPr>
                <w:rFonts w:ascii="Arial" w:cs="Arial" w:eastAsia="Arial" w:hAnsi="Arial"/>
                <w:sz w:val="17"/>
                <w:szCs w:val="17"/>
                <w:color w:val="D61C5A"/>
              </w:rPr>
              <w:t>•</w:t>
            </w:r>
          </w:p>
        </w:tc>
        <w:tc>
          <w:tcPr>
            <w:tcW w:w="700" w:type="dxa"/>
            <w:vAlign w:val="bottom"/>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tcPr>
          <w:p>
            <w:pPr>
              <w:ind w:left="280"/>
              <w:spacing w:after="0" w:line="149" w:lineRule="exact"/>
              <w:rPr>
                <w:sz w:val="20"/>
                <w:szCs w:val="20"/>
                <w:color w:val="auto"/>
              </w:rPr>
            </w:pPr>
            <w:r>
              <w:rPr>
                <w:rFonts w:ascii="Arial" w:cs="Arial" w:eastAsia="Arial" w:hAnsi="Arial"/>
                <w:sz w:val="17"/>
                <w:szCs w:val="17"/>
                <w:color w:val="D61C5A"/>
              </w:rPr>
              <w:t>•</w:t>
            </w:r>
          </w:p>
        </w:tc>
        <w:tc>
          <w:tcPr>
            <w:tcW w:w="800" w:type="dxa"/>
            <w:vAlign w:val="bottom"/>
          </w:tcPr>
          <w:p>
            <w:pPr>
              <w:ind w:left="360"/>
              <w:spacing w:after="0" w:line="149" w:lineRule="exact"/>
              <w:rPr>
                <w:sz w:val="20"/>
                <w:szCs w:val="20"/>
                <w:color w:val="auto"/>
              </w:rPr>
            </w:pPr>
            <w:r>
              <w:rPr>
                <w:rFonts w:ascii="Arial" w:cs="Arial" w:eastAsia="Arial" w:hAnsi="Arial"/>
                <w:sz w:val="17"/>
                <w:szCs w:val="17"/>
                <w:color w:val="D61C5A"/>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shd w:val="clear" w:color="auto" w:fill="ECEDED"/>
          </w:tcPr>
          <w:p>
            <w:pPr>
              <w:ind w:left="40"/>
              <w:spacing w:after="0"/>
              <w:rPr>
                <w:sz w:val="20"/>
                <w:szCs w:val="20"/>
                <w:color w:val="auto"/>
              </w:rPr>
            </w:pPr>
            <w:r>
              <w:rPr>
                <w:rFonts w:ascii="Arial" w:cs="Arial" w:eastAsia="Arial" w:hAnsi="Arial"/>
                <w:sz w:val="11"/>
                <w:szCs w:val="11"/>
                <w:b w:val="1"/>
                <w:bCs w:val="1"/>
                <w:color w:val="auto"/>
              </w:rPr>
              <w:t>Research/Academic Experience</w:t>
            </w:r>
          </w:p>
        </w:tc>
        <w:tc>
          <w:tcPr>
            <w:tcW w:w="580" w:type="dxa"/>
            <w:vAlign w:val="bottom"/>
            <w:shd w:val="clear" w:color="auto" w:fill="ECEDED"/>
          </w:tcPr>
          <w:p>
            <w:pPr>
              <w:ind w:left="18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860" w:type="dxa"/>
            <w:vAlign w:val="bottom"/>
            <w:shd w:val="clear" w:color="auto" w:fill="ECEDED"/>
          </w:tcPr>
          <w:p>
            <w:pPr>
              <w:ind w:left="320"/>
              <w:spacing w:after="0" w:line="149" w:lineRule="exact"/>
              <w:rPr>
                <w:sz w:val="20"/>
                <w:szCs w:val="20"/>
                <w:color w:val="auto"/>
              </w:rPr>
            </w:pPr>
            <w:r>
              <w:rPr>
                <w:rFonts w:ascii="Arial" w:cs="Arial" w:eastAsia="Arial" w:hAnsi="Arial"/>
                <w:sz w:val="17"/>
                <w:szCs w:val="17"/>
                <w:color w:val="D61C5A"/>
              </w:rPr>
              <w:t>•</w:t>
            </w:r>
          </w:p>
        </w:tc>
        <w:tc>
          <w:tcPr>
            <w:tcW w:w="480" w:type="dxa"/>
            <w:vAlign w:val="bottom"/>
            <w:shd w:val="clear" w:color="auto" w:fill="ECEDED"/>
          </w:tcPr>
          <w:p>
            <w:pPr>
              <w:ind w:left="120"/>
              <w:spacing w:after="0" w:line="149" w:lineRule="exact"/>
              <w:rPr>
                <w:sz w:val="20"/>
                <w:szCs w:val="20"/>
                <w:color w:val="auto"/>
              </w:rPr>
            </w:pPr>
            <w:r>
              <w:rPr>
                <w:rFonts w:ascii="Arial" w:cs="Arial" w:eastAsia="Arial" w:hAnsi="Arial"/>
                <w:sz w:val="17"/>
                <w:szCs w:val="17"/>
                <w:color w:val="D61C5A"/>
              </w:rPr>
              <w:t>•</w:t>
            </w:r>
          </w:p>
        </w:tc>
        <w:tc>
          <w:tcPr>
            <w:tcW w:w="56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540" w:type="dxa"/>
            <w:vAlign w:val="bottom"/>
            <w:shd w:val="clear" w:color="auto" w:fill="ECEDED"/>
          </w:tcPr>
          <w:p>
            <w:pPr>
              <w:spacing w:after="0"/>
              <w:rPr>
                <w:sz w:val="12"/>
                <w:szCs w:val="12"/>
                <w:color w:val="auto"/>
              </w:rPr>
            </w:pPr>
          </w:p>
        </w:tc>
        <w:tc>
          <w:tcPr>
            <w:tcW w:w="58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620" w:type="dxa"/>
            <w:vAlign w:val="bottom"/>
            <w:shd w:val="clear" w:color="auto" w:fill="ECEDED"/>
          </w:tcPr>
          <w:p>
            <w:pPr>
              <w:spacing w:after="0"/>
              <w:rPr>
                <w:sz w:val="12"/>
                <w:szCs w:val="12"/>
                <w:color w:val="auto"/>
              </w:rPr>
            </w:pP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shd w:val="clear" w:color="auto" w:fill="ECEDED"/>
          </w:tcPr>
          <w:p>
            <w:pPr>
              <w:ind w:left="280"/>
              <w:spacing w:after="0" w:line="149" w:lineRule="exact"/>
              <w:rPr>
                <w:sz w:val="20"/>
                <w:szCs w:val="20"/>
                <w:color w:val="auto"/>
              </w:rPr>
            </w:pPr>
            <w:r>
              <w:rPr>
                <w:rFonts w:ascii="Arial" w:cs="Arial" w:eastAsia="Arial" w:hAnsi="Arial"/>
                <w:sz w:val="17"/>
                <w:szCs w:val="17"/>
                <w:color w:val="D61C5A"/>
              </w:rPr>
              <w:t>•</w:t>
            </w:r>
          </w:p>
        </w:tc>
        <w:tc>
          <w:tcPr>
            <w:tcW w:w="800" w:type="dxa"/>
            <w:vAlign w:val="bottom"/>
            <w:shd w:val="clear" w:color="auto" w:fill="ECEDED"/>
          </w:tcPr>
          <w:p>
            <w:pPr>
              <w:ind w:left="360"/>
              <w:spacing w:after="0" w:line="149" w:lineRule="exact"/>
              <w:rPr>
                <w:sz w:val="20"/>
                <w:szCs w:val="20"/>
                <w:color w:val="auto"/>
              </w:rPr>
            </w:pPr>
            <w:r>
              <w:rPr>
                <w:rFonts w:ascii="Arial" w:cs="Arial" w:eastAsia="Arial" w:hAnsi="Arial"/>
                <w:sz w:val="17"/>
                <w:szCs w:val="17"/>
                <w:color w:val="D61C5A"/>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860" w:type="dxa"/>
            <w:vAlign w:val="bottom"/>
            <w:shd w:val="clear" w:color="auto" w:fill="ECEDED"/>
          </w:tcPr>
          <w:p>
            <w:pPr>
              <w:spacing w:after="0"/>
              <w:rPr>
                <w:sz w:val="2"/>
                <w:szCs w:val="2"/>
                <w:color w:val="auto"/>
              </w:rPr>
            </w:pPr>
          </w:p>
        </w:tc>
        <w:tc>
          <w:tcPr>
            <w:tcW w:w="480" w:type="dxa"/>
            <w:vAlign w:val="bottom"/>
            <w:shd w:val="clear" w:color="auto" w:fill="ECEDED"/>
          </w:tcPr>
          <w:p>
            <w:pPr>
              <w:spacing w:after="0"/>
              <w:rPr>
                <w:sz w:val="2"/>
                <w:szCs w:val="2"/>
                <w:color w:val="auto"/>
              </w:rPr>
            </w:pPr>
          </w:p>
        </w:tc>
        <w:tc>
          <w:tcPr>
            <w:tcW w:w="560" w:type="dxa"/>
            <w:vAlign w:val="bottom"/>
            <w:shd w:val="clear" w:color="auto" w:fill="ECEDED"/>
          </w:tcPr>
          <w:p>
            <w:pPr>
              <w:spacing w:after="0"/>
              <w:rPr>
                <w:sz w:val="2"/>
                <w:szCs w:val="2"/>
                <w:color w:val="auto"/>
              </w:rPr>
            </w:pPr>
          </w:p>
        </w:tc>
        <w:tc>
          <w:tcPr>
            <w:tcW w:w="540" w:type="dxa"/>
            <w:vAlign w:val="bottom"/>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62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40" w:type="dxa"/>
            <w:vAlign w:val="bottom"/>
            <w:shd w:val="clear" w:color="auto" w:fill="ECEDED"/>
          </w:tcPr>
          <w:p>
            <w:pPr>
              <w:spacing w:after="0"/>
              <w:rPr>
                <w:sz w:val="2"/>
                <w:szCs w:val="2"/>
                <w:color w:val="auto"/>
              </w:rPr>
            </w:pPr>
          </w:p>
        </w:tc>
        <w:tc>
          <w:tcPr>
            <w:tcW w:w="800" w:type="dxa"/>
            <w:vAlign w:val="bottom"/>
            <w:shd w:val="clear" w:color="auto" w:fill="ECEDED"/>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shd w:val="clear" w:color="auto" w:fill="ECEDED"/>
          </w:tcPr>
          <w:p>
            <w:pPr>
              <w:spacing w:after="0"/>
              <w:rPr>
                <w:sz w:val="20"/>
                <w:szCs w:val="20"/>
                <w:color w:val="auto"/>
              </w:rPr>
            </w:pPr>
          </w:p>
        </w:tc>
        <w:tc>
          <w:tcPr>
            <w:tcW w:w="58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860" w:type="dxa"/>
            <w:vAlign w:val="bottom"/>
            <w:tcBorders>
              <w:bottom w:val="single" w:sz="8" w:color="808080"/>
            </w:tcBorders>
            <w:shd w:val="clear" w:color="auto" w:fill="ECEDED"/>
          </w:tcPr>
          <w:p>
            <w:pPr>
              <w:spacing w:after="0"/>
              <w:rPr>
                <w:sz w:val="20"/>
                <w:szCs w:val="20"/>
                <w:color w:val="auto"/>
              </w:rPr>
            </w:pPr>
          </w:p>
        </w:tc>
        <w:tc>
          <w:tcPr>
            <w:tcW w:w="480" w:type="dxa"/>
            <w:vAlign w:val="bottom"/>
            <w:tcBorders>
              <w:bottom w:val="single" w:sz="8" w:color="808080"/>
            </w:tcBorders>
            <w:shd w:val="clear" w:color="auto" w:fill="ECEDED"/>
          </w:tcPr>
          <w:p>
            <w:pPr>
              <w:spacing w:after="0"/>
              <w:rPr>
                <w:sz w:val="20"/>
                <w:szCs w:val="20"/>
                <w:color w:val="auto"/>
              </w:rPr>
            </w:pPr>
          </w:p>
        </w:tc>
        <w:tc>
          <w:tcPr>
            <w:tcW w:w="560" w:type="dxa"/>
            <w:vAlign w:val="bottom"/>
            <w:tcBorders>
              <w:bottom w:val="single" w:sz="8" w:color="808080"/>
            </w:tcBorders>
            <w:shd w:val="clear" w:color="auto" w:fill="ECEDED"/>
          </w:tcPr>
          <w:p>
            <w:pPr>
              <w:spacing w:after="0"/>
              <w:rPr>
                <w:sz w:val="20"/>
                <w:szCs w:val="20"/>
                <w:color w:val="auto"/>
              </w:rPr>
            </w:pPr>
          </w:p>
        </w:tc>
        <w:tc>
          <w:tcPr>
            <w:tcW w:w="540" w:type="dxa"/>
            <w:vAlign w:val="bottom"/>
            <w:tcBorders>
              <w:bottom w:val="single" w:sz="8" w:color="808080"/>
            </w:tcBorders>
            <w:shd w:val="clear" w:color="auto" w:fill="ECEDED"/>
          </w:tcPr>
          <w:p>
            <w:pPr>
              <w:spacing w:after="0"/>
              <w:rPr>
                <w:sz w:val="20"/>
                <w:szCs w:val="20"/>
                <w:color w:val="auto"/>
              </w:rPr>
            </w:pPr>
          </w:p>
        </w:tc>
        <w:tc>
          <w:tcPr>
            <w:tcW w:w="580" w:type="dxa"/>
            <w:vAlign w:val="bottom"/>
            <w:tcBorders>
              <w:bottom w:val="single" w:sz="8" w:color="808080"/>
            </w:tcBorders>
            <w:shd w:val="clear" w:color="auto" w:fill="ECEDED"/>
          </w:tcPr>
          <w:p>
            <w:pPr>
              <w:spacing w:after="0"/>
              <w:rPr>
                <w:sz w:val="20"/>
                <w:szCs w:val="20"/>
                <w:color w:val="auto"/>
              </w:rPr>
            </w:pPr>
          </w:p>
        </w:tc>
        <w:tc>
          <w:tcPr>
            <w:tcW w:w="62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740" w:type="dxa"/>
            <w:vAlign w:val="bottom"/>
            <w:tcBorders>
              <w:bottom w:val="single" w:sz="8" w:color="808080"/>
            </w:tcBorders>
            <w:shd w:val="clear" w:color="auto" w:fill="ECEDED"/>
          </w:tcPr>
          <w:p>
            <w:pPr>
              <w:spacing w:after="0"/>
              <w:rPr>
                <w:sz w:val="20"/>
                <w:szCs w:val="20"/>
                <w:color w:val="auto"/>
              </w:rPr>
            </w:pPr>
          </w:p>
        </w:tc>
        <w:tc>
          <w:tcPr>
            <w:tcW w:w="800" w:type="dxa"/>
            <w:vAlign w:val="bottom"/>
            <w:tcBorders>
              <w:bottom w:val="single" w:sz="8" w:color="808080"/>
            </w:tcBorders>
            <w:shd w:val="clear" w:color="auto" w:fill="ECEDED"/>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Business Strategy/Operations Experience</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ind w:left="320"/>
              <w:spacing w:after="0" w:line="149" w:lineRule="exact"/>
              <w:rPr>
                <w:sz w:val="20"/>
                <w:szCs w:val="20"/>
                <w:color w:val="auto"/>
              </w:rPr>
            </w:pPr>
            <w:r>
              <w:rPr>
                <w:rFonts w:ascii="Arial" w:cs="Arial" w:eastAsia="Arial" w:hAnsi="Arial"/>
                <w:sz w:val="17"/>
                <w:szCs w:val="17"/>
                <w:color w:val="D61C5A"/>
              </w:rPr>
              <w:t>•</w:t>
            </w:r>
          </w:p>
        </w:tc>
        <w:tc>
          <w:tcPr>
            <w:tcW w:w="480" w:type="dxa"/>
            <w:vAlign w:val="bottom"/>
          </w:tcPr>
          <w:p>
            <w:pPr>
              <w:spacing w:after="0"/>
              <w:rPr>
                <w:sz w:val="12"/>
                <w:szCs w:val="12"/>
                <w:color w:val="auto"/>
              </w:rPr>
            </w:pPr>
          </w:p>
        </w:tc>
        <w:tc>
          <w:tcPr>
            <w:tcW w:w="56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540" w:type="dxa"/>
            <w:vAlign w:val="bottom"/>
          </w:tcPr>
          <w:p>
            <w:pPr>
              <w:ind w:left="200"/>
              <w:spacing w:after="0" w:line="149" w:lineRule="exact"/>
              <w:rPr>
                <w:sz w:val="20"/>
                <w:szCs w:val="20"/>
                <w:color w:val="auto"/>
              </w:rPr>
            </w:pPr>
            <w:r>
              <w:rPr>
                <w:rFonts w:ascii="Arial" w:cs="Arial" w:eastAsia="Arial" w:hAnsi="Arial"/>
                <w:sz w:val="17"/>
                <w:szCs w:val="17"/>
                <w:color w:val="D61C5A"/>
              </w:rPr>
              <w:t>•</w:t>
            </w:r>
          </w:p>
        </w:tc>
        <w:tc>
          <w:tcPr>
            <w:tcW w:w="58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62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700" w:type="dxa"/>
            <w:vAlign w:val="bottom"/>
          </w:tcPr>
          <w:p>
            <w:pPr>
              <w:ind w:left="300"/>
              <w:spacing w:after="0" w:line="149" w:lineRule="exact"/>
              <w:rPr>
                <w:sz w:val="20"/>
                <w:szCs w:val="20"/>
                <w:color w:val="auto"/>
              </w:rPr>
            </w:pPr>
            <w:r>
              <w:rPr>
                <w:rFonts w:ascii="Arial" w:cs="Arial" w:eastAsia="Arial" w:hAnsi="Arial"/>
                <w:sz w:val="17"/>
                <w:szCs w:val="17"/>
                <w:color w:val="D61C5A"/>
              </w:rPr>
              <w:t>•</w:t>
            </w:r>
          </w:p>
        </w:tc>
        <w:tc>
          <w:tcPr>
            <w:tcW w:w="700" w:type="dxa"/>
            <w:vAlign w:val="bottom"/>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tcPr>
          <w:p>
            <w:pPr>
              <w:ind w:left="280"/>
              <w:spacing w:after="0" w:line="149" w:lineRule="exact"/>
              <w:rPr>
                <w:sz w:val="20"/>
                <w:szCs w:val="20"/>
                <w:color w:val="auto"/>
              </w:rPr>
            </w:pPr>
            <w:r>
              <w:rPr>
                <w:rFonts w:ascii="Arial" w:cs="Arial" w:eastAsia="Arial" w:hAnsi="Arial"/>
                <w:sz w:val="17"/>
                <w:szCs w:val="17"/>
                <w:color w:val="D61C5A"/>
              </w:rPr>
              <w:t>•</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shd w:val="clear" w:color="auto" w:fill="ECEDED"/>
          </w:tcPr>
          <w:p>
            <w:pPr>
              <w:ind w:left="40"/>
              <w:spacing w:after="0"/>
              <w:rPr>
                <w:sz w:val="20"/>
                <w:szCs w:val="20"/>
                <w:color w:val="auto"/>
              </w:rPr>
            </w:pPr>
            <w:r>
              <w:rPr>
                <w:rFonts w:ascii="Arial" w:cs="Arial" w:eastAsia="Arial" w:hAnsi="Arial"/>
                <w:sz w:val="11"/>
                <w:szCs w:val="11"/>
                <w:b w:val="1"/>
                <w:bCs w:val="1"/>
                <w:color w:val="auto"/>
              </w:rPr>
              <w:t>Financial Expertise</w:t>
            </w:r>
          </w:p>
        </w:tc>
        <w:tc>
          <w:tcPr>
            <w:tcW w:w="580" w:type="dxa"/>
            <w:vAlign w:val="bottom"/>
            <w:shd w:val="clear" w:color="auto" w:fill="ECEDED"/>
          </w:tcPr>
          <w:p>
            <w:pPr>
              <w:spacing w:after="0"/>
              <w:rPr>
                <w:sz w:val="12"/>
                <w:szCs w:val="12"/>
                <w:color w:val="auto"/>
              </w:rPr>
            </w:pPr>
          </w:p>
        </w:tc>
        <w:tc>
          <w:tcPr>
            <w:tcW w:w="700" w:type="dxa"/>
            <w:vAlign w:val="bottom"/>
            <w:shd w:val="clear" w:color="auto" w:fill="ECEDED"/>
          </w:tcPr>
          <w:p>
            <w:pPr>
              <w:spacing w:after="0"/>
              <w:rPr>
                <w:sz w:val="12"/>
                <w:szCs w:val="12"/>
                <w:color w:val="auto"/>
              </w:rPr>
            </w:pPr>
          </w:p>
        </w:tc>
        <w:tc>
          <w:tcPr>
            <w:tcW w:w="860" w:type="dxa"/>
            <w:vAlign w:val="bottom"/>
            <w:shd w:val="clear" w:color="auto" w:fill="ECEDED"/>
          </w:tcPr>
          <w:p>
            <w:pPr>
              <w:ind w:left="320"/>
              <w:spacing w:after="0" w:line="149" w:lineRule="exact"/>
              <w:rPr>
                <w:sz w:val="20"/>
                <w:szCs w:val="20"/>
                <w:color w:val="auto"/>
              </w:rPr>
            </w:pPr>
            <w:r>
              <w:rPr>
                <w:rFonts w:ascii="Arial" w:cs="Arial" w:eastAsia="Arial" w:hAnsi="Arial"/>
                <w:sz w:val="17"/>
                <w:szCs w:val="17"/>
                <w:color w:val="D61C5A"/>
              </w:rPr>
              <w:t>•</w:t>
            </w:r>
          </w:p>
        </w:tc>
        <w:tc>
          <w:tcPr>
            <w:tcW w:w="480" w:type="dxa"/>
            <w:vAlign w:val="bottom"/>
            <w:shd w:val="clear" w:color="auto" w:fill="ECEDED"/>
          </w:tcPr>
          <w:p>
            <w:pPr>
              <w:spacing w:after="0"/>
              <w:rPr>
                <w:sz w:val="12"/>
                <w:szCs w:val="12"/>
                <w:color w:val="auto"/>
              </w:rPr>
            </w:pPr>
          </w:p>
        </w:tc>
        <w:tc>
          <w:tcPr>
            <w:tcW w:w="56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540" w:type="dxa"/>
            <w:vAlign w:val="bottom"/>
            <w:shd w:val="clear" w:color="auto" w:fill="ECEDED"/>
          </w:tcPr>
          <w:p>
            <w:pPr>
              <w:ind w:left="200"/>
              <w:spacing w:after="0" w:line="149" w:lineRule="exact"/>
              <w:rPr>
                <w:sz w:val="20"/>
                <w:szCs w:val="20"/>
                <w:color w:val="auto"/>
              </w:rPr>
            </w:pPr>
            <w:r>
              <w:rPr>
                <w:rFonts w:ascii="Arial" w:cs="Arial" w:eastAsia="Arial" w:hAnsi="Arial"/>
                <w:sz w:val="17"/>
                <w:szCs w:val="17"/>
                <w:color w:val="D61C5A"/>
              </w:rPr>
              <w:t>•</w:t>
            </w:r>
          </w:p>
        </w:tc>
        <w:tc>
          <w:tcPr>
            <w:tcW w:w="58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620" w:type="dxa"/>
            <w:vAlign w:val="bottom"/>
            <w:shd w:val="clear" w:color="auto" w:fill="ECEDED"/>
          </w:tcPr>
          <w:p>
            <w:pPr>
              <w:ind w:left="24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spacing w:after="0"/>
              <w:rPr>
                <w:sz w:val="12"/>
                <w:szCs w:val="12"/>
                <w:color w:val="auto"/>
              </w:rPr>
            </w:pP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shd w:val="clear" w:color="auto" w:fill="ECEDED"/>
          </w:tcPr>
          <w:p>
            <w:pPr>
              <w:spacing w:after="0"/>
              <w:rPr>
                <w:sz w:val="12"/>
                <w:szCs w:val="12"/>
                <w:color w:val="auto"/>
              </w:rPr>
            </w:pPr>
          </w:p>
        </w:tc>
        <w:tc>
          <w:tcPr>
            <w:tcW w:w="800" w:type="dxa"/>
            <w:vAlign w:val="bottom"/>
            <w:shd w:val="clear" w:color="auto" w:fill="ECEDED"/>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860" w:type="dxa"/>
            <w:vAlign w:val="bottom"/>
            <w:shd w:val="clear" w:color="auto" w:fill="ECEDED"/>
          </w:tcPr>
          <w:p>
            <w:pPr>
              <w:spacing w:after="0"/>
              <w:rPr>
                <w:sz w:val="2"/>
                <w:szCs w:val="2"/>
                <w:color w:val="auto"/>
              </w:rPr>
            </w:pPr>
          </w:p>
        </w:tc>
        <w:tc>
          <w:tcPr>
            <w:tcW w:w="480" w:type="dxa"/>
            <w:vAlign w:val="bottom"/>
            <w:shd w:val="clear" w:color="auto" w:fill="ECEDED"/>
          </w:tcPr>
          <w:p>
            <w:pPr>
              <w:spacing w:after="0"/>
              <w:rPr>
                <w:sz w:val="2"/>
                <w:szCs w:val="2"/>
                <w:color w:val="auto"/>
              </w:rPr>
            </w:pPr>
          </w:p>
        </w:tc>
        <w:tc>
          <w:tcPr>
            <w:tcW w:w="560" w:type="dxa"/>
            <w:vAlign w:val="bottom"/>
            <w:shd w:val="clear" w:color="auto" w:fill="ECEDED"/>
          </w:tcPr>
          <w:p>
            <w:pPr>
              <w:spacing w:after="0"/>
              <w:rPr>
                <w:sz w:val="2"/>
                <w:szCs w:val="2"/>
                <w:color w:val="auto"/>
              </w:rPr>
            </w:pPr>
          </w:p>
        </w:tc>
        <w:tc>
          <w:tcPr>
            <w:tcW w:w="540" w:type="dxa"/>
            <w:vAlign w:val="bottom"/>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62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40" w:type="dxa"/>
            <w:vAlign w:val="bottom"/>
            <w:shd w:val="clear" w:color="auto" w:fill="ECEDED"/>
          </w:tcPr>
          <w:p>
            <w:pPr>
              <w:spacing w:after="0"/>
              <w:rPr>
                <w:sz w:val="2"/>
                <w:szCs w:val="2"/>
                <w:color w:val="auto"/>
              </w:rPr>
            </w:pPr>
          </w:p>
        </w:tc>
        <w:tc>
          <w:tcPr>
            <w:tcW w:w="800" w:type="dxa"/>
            <w:vAlign w:val="bottom"/>
            <w:shd w:val="clear" w:color="auto" w:fill="ECEDED"/>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shd w:val="clear" w:color="auto" w:fill="ECEDED"/>
          </w:tcPr>
          <w:p>
            <w:pPr>
              <w:spacing w:after="0"/>
              <w:rPr>
                <w:sz w:val="20"/>
                <w:szCs w:val="20"/>
                <w:color w:val="auto"/>
              </w:rPr>
            </w:pPr>
          </w:p>
        </w:tc>
        <w:tc>
          <w:tcPr>
            <w:tcW w:w="58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860" w:type="dxa"/>
            <w:vAlign w:val="bottom"/>
            <w:tcBorders>
              <w:bottom w:val="single" w:sz="8" w:color="808080"/>
            </w:tcBorders>
            <w:shd w:val="clear" w:color="auto" w:fill="ECEDED"/>
          </w:tcPr>
          <w:p>
            <w:pPr>
              <w:spacing w:after="0"/>
              <w:rPr>
                <w:sz w:val="20"/>
                <w:szCs w:val="20"/>
                <w:color w:val="auto"/>
              </w:rPr>
            </w:pPr>
          </w:p>
        </w:tc>
        <w:tc>
          <w:tcPr>
            <w:tcW w:w="480" w:type="dxa"/>
            <w:vAlign w:val="bottom"/>
            <w:tcBorders>
              <w:bottom w:val="single" w:sz="8" w:color="808080"/>
            </w:tcBorders>
            <w:shd w:val="clear" w:color="auto" w:fill="ECEDED"/>
          </w:tcPr>
          <w:p>
            <w:pPr>
              <w:spacing w:after="0"/>
              <w:rPr>
                <w:sz w:val="20"/>
                <w:szCs w:val="20"/>
                <w:color w:val="auto"/>
              </w:rPr>
            </w:pPr>
          </w:p>
        </w:tc>
        <w:tc>
          <w:tcPr>
            <w:tcW w:w="560" w:type="dxa"/>
            <w:vAlign w:val="bottom"/>
            <w:tcBorders>
              <w:bottom w:val="single" w:sz="8" w:color="808080"/>
            </w:tcBorders>
            <w:shd w:val="clear" w:color="auto" w:fill="ECEDED"/>
          </w:tcPr>
          <w:p>
            <w:pPr>
              <w:spacing w:after="0"/>
              <w:rPr>
                <w:sz w:val="20"/>
                <w:szCs w:val="20"/>
                <w:color w:val="auto"/>
              </w:rPr>
            </w:pPr>
          </w:p>
        </w:tc>
        <w:tc>
          <w:tcPr>
            <w:tcW w:w="540" w:type="dxa"/>
            <w:vAlign w:val="bottom"/>
            <w:tcBorders>
              <w:bottom w:val="single" w:sz="8" w:color="808080"/>
            </w:tcBorders>
            <w:shd w:val="clear" w:color="auto" w:fill="ECEDED"/>
          </w:tcPr>
          <w:p>
            <w:pPr>
              <w:spacing w:after="0"/>
              <w:rPr>
                <w:sz w:val="20"/>
                <w:szCs w:val="20"/>
                <w:color w:val="auto"/>
              </w:rPr>
            </w:pPr>
          </w:p>
        </w:tc>
        <w:tc>
          <w:tcPr>
            <w:tcW w:w="580" w:type="dxa"/>
            <w:vAlign w:val="bottom"/>
            <w:tcBorders>
              <w:bottom w:val="single" w:sz="8" w:color="808080"/>
            </w:tcBorders>
            <w:shd w:val="clear" w:color="auto" w:fill="ECEDED"/>
          </w:tcPr>
          <w:p>
            <w:pPr>
              <w:spacing w:after="0"/>
              <w:rPr>
                <w:sz w:val="20"/>
                <w:szCs w:val="20"/>
                <w:color w:val="auto"/>
              </w:rPr>
            </w:pPr>
          </w:p>
        </w:tc>
        <w:tc>
          <w:tcPr>
            <w:tcW w:w="62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700" w:type="dxa"/>
            <w:vAlign w:val="bottom"/>
            <w:tcBorders>
              <w:bottom w:val="single" w:sz="8" w:color="808080"/>
            </w:tcBorders>
            <w:shd w:val="clear" w:color="auto" w:fill="ECEDED"/>
          </w:tcPr>
          <w:p>
            <w:pPr>
              <w:spacing w:after="0"/>
              <w:rPr>
                <w:sz w:val="20"/>
                <w:szCs w:val="20"/>
                <w:color w:val="auto"/>
              </w:rPr>
            </w:pPr>
          </w:p>
        </w:tc>
        <w:tc>
          <w:tcPr>
            <w:tcW w:w="740" w:type="dxa"/>
            <w:vAlign w:val="bottom"/>
            <w:tcBorders>
              <w:bottom w:val="single" w:sz="8" w:color="808080"/>
            </w:tcBorders>
            <w:shd w:val="clear" w:color="auto" w:fill="ECEDED"/>
          </w:tcPr>
          <w:p>
            <w:pPr>
              <w:spacing w:after="0"/>
              <w:rPr>
                <w:sz w:val="20"/>
                <w:szCs w:val="20"/>
                <w:color w:val="auto"/>
              </w:rPr>
            </w:pPr>
          </w:p>
        </w:tc>
        <w:tc>
          <w:tcPr>
            <w:tcW w:w="800" w:type="dxa"/>
            <w:vAlign w:val="bottom"/>
            <w:tcBorders>
              <w:bottom w:val="single" w:sz="8" w:color="808080"/>
            </w:tcBorders>
            <w:shd w:val="clear" w:color="auto" w:fill="ECEDED"/>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Public Company CEO Experience</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ind w:left="320"/>
              <w:spacing w:after="0" w:line="149" w:lineRule="exact"/>
              <w:rPr>
                <w:sz w:val="20"/>
                <w:szCs w:val="20"/>
                <w:color w:val="auto"/>
              </w:rPr>
            </w:pPr>
            <w:r>
              <w:rPr>
                <w:rFonts w:ascii="Arial" w:cs="Arial" w:eastAsia="Arial" w:hAnsi="Arial"/>
                <w:sz w:val="17"/>
                <w:szCs w:val="17"/>
                <w:color w:val="D61C5A"/>
              </w:rPr>
              <w:t>•</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ind w:left="200"/>
              <w:spacing w:after="0" w:line="149" w:lineRule="exact"/>
              <w:rPr>
                <w:sz w:val="20"/>
                <w:szCs w:val="20"/>
                <w:color w:val="auto"/>
              </w:rPr>
            </w:pPr>
            <w:r>
              <w:rPr>
                <w:rFonts w:ascii="Arial" w:cs="Arial" w:eastAsia="Arial" w:hAnsi="Arial"/>
                <w:sz w:val="17"/>
                <w:szCs w:val="17"/>
                <w:color w:val="D61C5A"/>
              </w:rPr>
              <w:t>•</w:t>
            </w:r>
          </w:p>
        </w:tc>
        <w:tc>
          <w:tcPr>
            <w:tcW w:w="580" w:type="dxa"/>
            <w:vAlign w:val="bottom"/>
          </w:tcPr>
          <w:p>
            <w:pPr>
              <w:ind w:left="240"/>
              <w:spacing w:after="0" w:line="149" w:lineRule="exact"/>
              <w:rPr>
                <w:sz w:val="20"/>
                <w:szCs w:val="20"/>
                <w:color w:val="auto"/>
              </w:rPr>
            </w:pPr>
            <w:r>
              <w:rPr>
                <w:rFonts w:ascii="Arial" w:cs="Arial" w:eastAsia="Arial" w:hAnsi="Arial"/>
                <w:sz w:val="17"/>
                <w:szCs w:val="17"/>
                <w:color w:val="D61C5A"/>
              </w:rPr>
              <w:t>•</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2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40" w:type="dxa"/>
            <w:vAlign w:val="bottom"/>
            <w:vMerge w:val="restart"/>
            <w:shd w:val="clear" w:color="auto" w:fill="ECEDED"/>
          </w:tcPr>
          <w:p>
            <w:pPr>
              <w:ind w:left="40"/>
              <w:spacing w:after="0"/>
              <w:rPr>
                <w:sz w:val="20"/>
                <w:szCs w:val="20"/>
                <w:color w:val="auto"/>
              </w:rPr>
            </w:pPr>
            <w:r>
              <w:rPr>
                <w:rFonts w:ascii="Arial" w:cs="Arial" w:eastAsia="Arial" w:hAnsi="Arial"/>
                <w:sz w:val="11"/>
                <w:szCs w:val="11"/>
                <w:b w:val="1"/>
                <w:bCs w:val="1"/>
                <w:color w:val="auto"/>
              </w:rPr>
              <w:t>National Academy of Sciences Membership</w:t>
            </w:r>
          </w:p>
        </w:tc>
        <w:tc>
          <w:tcPr>
            <w:tcW w:w="580" w:type="dxa"/>
            <w:vAlign w:val="bottom"/>
            <w:shd w:val="clear" w:color="auto" w:fill="ECEDED"/>
          </w:tcPr>
          <w:p>
            <w:pPr>
              <w:ind w:left="18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860" w:type="dxa"/>
            <w:vAlign w:val="bottom"/>
            <w:shd w:val="clear" w:color="auto" w:fill="ECEDED"/>
          </w:tcPr>
          <w:p>
            <w:pPr>
              <w:spacing w:after="0"/>
              <w:rPr>
                <w:sz w:val="12"/>
                <w:szCs w:val="12"/>
                <w:color w:val="auto"/>
              </w:rPr>
            </w:pPr>
          </w:p>
        </w:tc>
        <w:tc>
          <w:tcPr>
            <w:tcW w:w="480" w:type="dxa"/>
            <w:vAlign w:val="bottom"/>
            <w:shd w:val="clear" w:color="auto" w:fill="ECEDED"/>
          </w:tcPr>
          <w:p>
            <w:pPr>
              <w:ind w:left="120"/>
              <w:spacing w:after="0" w:line="149" w:lineRule="exact"/>
              <w:rPr>
                <w:sz w:val="20"/>
                <w:szCs w:val="20"/>
                <w:color w:val="auto"/>
              </w:rPr>
            </w:pPr>
            <w:r>
              <w:rPr>
                <w:rFonts w:ascii="Arial" w:cs="Arial" w:eastAsia="Arial" w:hAnsi="Arial"/>
                <w:sz w:val="17"/>
                <w:szCs w:val="17"/>
                <w:color w:val="D61C5A"/>
              </w:rPr>
              <w:t>•</w:t>
            </w:r>
          </w:p>
        </w:tc>
        <w:tc>
          <w:tcPr>
            <w:tcW w:w="560" w:type="dxa"/>
            <w:vAlign w:val="bottom"/>
            <w:shd w:val="clear" w:color="auto" w:fill="ECEDED"/>
          </w:tcPr>
          <w:p>
            <w:pPr>
              <w:spacing w:after="0"/>
              <w:rPr>
                <w:sz w:val="12"/>
                <w:szCs w:val="12"/>
                <w:color w:val="auto"/>
              </w:rPr>
            </w:pPr>
          </w:p>
        </w:tc>
        <w:tc>
          <w:tcPr>
            <w:tcW w:w="540" w:type="dxa"/>
            <w:vAlign w:val="bottom"/>
            <w:shd w:val="clear" w:color="auto" w:fill="ECEDED"/>
          </w:tcPr>
          <w:p>
            <w:pPr>
              <w:spacing w:after="0"/>
              <w:rPr>
                <w:sz w:val="12"/>
                <w:szCs w:val="12"/>
                <w:color w:val="auto"/>
              </w:rPr>
            </w:pPr>
          </w:p>
        </w:tc>
        <w:tc>
          <w:tcPr>
            <w:tcW w:w="580" w:type="dxa"/>
            <w:vAlign w:val="bottom"/>
            <w:shd w:val="clear" w:color="auto" w:fill="ECEDED"/>
          </w:tcPr>
          <w:p>
            <w:pPr>
              <w:spacing w:after="0"/>
              <w:rPr>
                <w:sz w:val="12"/>
                <w:szCs w:val="12"/>
                <w:color w:val="auto"/>
              </w:rPr>
            </w:pPr>
          </w:p>
        </w:tc>
        <w:tc>
          <w:tcPr>
            <w:tcW w:w="620" w:type="dxa"/>
            <w:vAlign w:val="bottom"/>
            <w:shd w:val="clear" w:color="auto" w:fill="ECEDED"/>
          </w:tcPr>
          <w:p>
            <w:pPr>
              <w:spacing w:after="0"/>
              <w:rPr>
                <w:sz w:val="12"/>
                <w:szCs w:val="12"/>
                <w:color w:val="auto"/>
              </w:rPr>
            </w:pP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00" w:type="dxa"/>
            <w:vAlign w:val="bottom"/>
            <w:shd w:val="clear" w:color="auto" w:fill="ECEDED"/>
          </w:tcPr>
          <w:p>
            <w:pPr>
              <w:ind w:left="300"/>
              <w:spacing w:after="0" w:line="149" w:lineRule="exact"/>
              <w:rPr>
                <w:sz w:val="20"/>
                <w:szCs w:val="20"/>
                <w:color w:val="auto"/>
              </w:rPr>
            </w:pPr>
            <w:r>
              <w:rPr>
                <w:rFonts w:ascii="Arial" w:cs="Arial" w:eastAsia="Arial" w:hAnsi="Arial"/>
                <w:sz w:val="17"/>
                <w:szCs w:val="17"/>
                <w:color w:val="D61C5A"/>
              </w:rPr>
              <w:t>•</w:t>
            </w:r>
          </w:p>
        </w:tc>
        <w:tc>
          <w:tcPr>
            <w:tcW w:w="740" w:type="dxa"/>
            <w:vAlign w:val="bottom"/>
            <w:shd w:val="clear" w:color="auto" w:fill="ECEDED"/>
          </w:tcPr>
          <w:p>
            <w:pPr>
              <w:ind w:left="280"/>
              <w:spacing w:after="0" w:line="149" w:lineRule="exact"/>
              <w:rPr>
                <w:sz w:val="20"/>
                <w:szCs w:val="20"/>
                <w:color w:val="auto"/>
              </w:rPr>
            </w:pPr>
            <w:r>
              <w:rPr>
                <w:rFonts w:ascii="Arial" w:cs="Arial" w:eastAsia="Arial" w:hAnsi="Arial"/>
                <w:sz w:val="17"/>
                <w:szCs w:val="17"/>
                <w:color w:val="D61C5A"/>
              </w:rPr>
              <w:t>•</w:t>
            </w:r>
          </w:p>
        </w:tc>
        <w:tc>
          <w:tcPr>
            <w:tcW w:w="800" w:type="dxa"/>
            <w:vAlign w:val="bottom"/>
            <w:shd w:val="clear" w:color="auto" w:fill="ECEDED"/>
          </w:tcPr>
          <w:p>
            <w:pPr>
              <w:ind w:left="360"/>
              <w:spacing w:after="0" w:line="149" w:lineRule="exact"/>
              <w:rPr>
                <w:sz w:val="20"/>
                <w:szCs w:val="20"/>
                <w:color w:val="auto"/>
              </w:rPr>
            </w:pPr>
            <w:r>
              <w:rPr>
                <w:rFonts w:ascii="Arial" w:cs="Arial" w:eastAsia="Arial" w:hAnsi="Arial"/>
                <w:sz w:val="17"/>
                <w:szCs w:val="17"/>
                <w:color w:val="D61C5A"/>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2540" w:type="dxa"/>
            <w:vAlign w:val="bottom"/>
            <w:vMerge w:val="continue"/>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860" w:type="dxa"/>
            <w:vAlign w:val="bottom"/>
            <w:shd w:val="clear" w:color="auto" w:fill="ECEDED"/>
          </w:tcPr>
          <w:p>
            <w:pPr>
              <w:spacing w:after="0"/>
              <w:rPr>
                <w:sz w:val="2"/>
                <w:szCs w:val="2"/>
                <w:color w:val="auto"/>
              </w:rPr>
            </w:pPr>
          </w:p>
        </w:tc>
        <w:tc>
          <w:tcPr>
            <w:tcW w:w="480" w:type="dxa"/>
            <w:vAlign w:val="bottom"/>
            <w:shd w:val="clear" w:color="auto" w:fill="ECEDED"/>
          </w:tcPr>
          <w:p>
            <w:pPr>
              <w:spacing w:after="0"/>
              <w:rPr>
                <w:sz w:val="2"/>
                <w:szCs w:val="2"/>
                <w:color w:val="auto"/>
              </w:rPr>
            </w:pPr>
          </w:p>
        </w:tc>
        <w:tc>
          <w:tcPr>
            <w:tcW w:w="560" w:type="dxa"/>
            <w:vAlign w:val="bottom"/>
            <w:shd w:val="clear" w:color="auto" w:fill="ECEDED"/>
          </w:tcPr>
          <w:p>
            <w:pPr>
              <w:spacing w:after="0"/>
              <w:rPr>
                <w:sz w:val="2"/>
                <w:szCs w:val="2"/>
                <w:color w:val="auto"/>
              </w:rPr>
            </w:pPr>
          </w:p>
        </w:tc>
        <w:tc>
          <w:tcPr>
            <w:tcW w:w="540" w:type="dxa"/>
            <w:vAlign w:val="bottom"/>
            <w:shd w:val="clear" w:color="auto" w:fill="ECEDED"/>
          </w:tcPr>
          <w:p>
            <w:pPr>
              <w:spacing w:after="0"/>
              <w:rPr>
                <w:sz w:val="2"/>
                <w:szCs w:val="2"/>
                <w:color w:val="auto"/>
              </w:rPr>
            </w:pPr>
          </w:p>
        </w:tc>
        <w:tc>
          <w:tcPr>
            <w:tcW w:w="580" w:type="dxa"/>
            <w:vAlign w:val="bottom"/>
            <w:shd w:val="clear" w:color="auto" w:fill="ECEDED"/>
          </w:tcPr>
          <w:p>
            <w:pPr>
              <w:spacing w:after="0"/>
              <w:rPr>
                <w:sz w:val="2"/>
                <w:szCs w:val="2"/>
                <w:color w:val="auto"/>
              </w:rPr>
            </w:pPr>
          </w:p>
        </w:tc>
        <w:tc>
          <w:tcPr>
            <w:tcW w:w="62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00" w:type="dxa"/>
            <w:vAlign w:val="bottom"/>
            <w:shd w:val="clear" w:color="auto" w:fill="ECEDED"/>
          </w:tcPr>
          <w:p>
            <w:pPr>
              <w:spacing w:after="0"/>
              <w:rPr>
                <w:sz w:val="2"/>
                <w:szCs w:val="2"/>
                <w:color w:val="auto"/>
              </w:rPr>
            </w:pPr>
          </w:p>
        </w:tc>
        <w:tc>
          <w:tcPr>
            <w:tcW w:w="740" w:type="dxa"/>
            <w:vAlign w:val="bottom"/>
            <w:shd w:val="clear" w:color="auto" w:fill="ECEDED"/>
          </w:tcPr>
          <w:p>
            <w:pPr>
              <w:spacing w:after="0"/>
              <w:rPr>
                <w:sz w:val="2"/>
                <w:szCs w:val="2"/>
                <w:color w:val="auto"/>
              </w:rPr>
            </w:pPr>
          </w:p>
        </w:tc>
        <w:tc>
          <w:tcPr>
            <w:tcW w:w="800" w:type="dxa"/>
            <w:vAlign w:val="bottom"/>
            <w:shd w:val="clear" w:color="auto" w:fill="ECEDED"/>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20" w:type="dxa"/>
            <w:vAlign w:val="bottom"/>
          </w:tcPr>
          <w:p>
            <w:pPr>
              <w:spacing w:after="0"/>
              <w:rPr>
                <w:sz w:val="21"/>
                <w:szCs w:val="21"/>
                <w:color w:val="auto"/>
              </w:rPr>
            </w:pPr>
          </w:p>
        </w:tc>
        <w:tc>
          <w:tcPr>
            <w:tcW w:w="4680" w:type="dxa"/>
            <w:vAlign w:val="bottom"/>
            <w:tcBorders>
              <w:bottom w:val="single" w:sz="8" w:color="205BA8"/>
            </w:tcBorders>
            <w:gridSpan w:val="4"/>
            <w:shd w:val="clear" w:color="auto" w:fill="ECEDED"/>
          </w:tcPr>
          <w:p>
            <w:pPr>
              <w:spacing w:after="0"/>
              <w:rPr>
                <w:sz w:val="21"/>
                <w:szCs w:val="21"/>
                <w:color w:val="auto"/>
              </w:rPr>
            </w:pPr>
          </w:p>
        </w:tc>
        <w:tc>
          <w:tcPr>
            <w:tcW w:w="480" w:type="dxa"/>
            <w:vAlign w:val="bottom"/>
            <w:tcBorders>
              <w:bottom w:val="single" w:sz="8" w:color="205BA8"/>
            </w:tcBorders>
            <w:shd w:val="clear" w:color="auto" w:fill="ECEDED"/>
          </w:tcPr>
          <w:p>
            <w:pPr>
              <w:spacing w:after="0"/>
              <w:rPr>
                <w:sz w:val="21"/>
                <w:szCs w:val="21"/>
                <w:color w:val="auto"/>
              </w:rPr>
            </w:pPr>
          </w:p>
        </w:tc>
        <w:tc>
          <w:tcPr>
            <w:tcW w:w="560" w:type="dxa"/>
            <w:vAlign w:val="bottom"/>
            <w:tcBorders>
              <w:bottom w:val="single" w:sz="8" w:color="205BA8"/>
            </w:tcBorders>
            <w:shd w:val="clear" w:color="auto" w:fill="ECEDED"/>
          </w:tcPr>
          <w:p>
            <w:pPr>
              <w:spacing w:after="0"/>
              <w:rPr>
                <w:sz w:val="21"/>
                <w:szCs w:val="21"/>
                <w:color w:val="auto"/>
              </w:rPr>
            </w:pPr>
          </w:p>
        </w:tc>
        <w:tc>
          <w:tcPr>
            <w:tcW w:w="540" w:type="dxa"/>
            <w:vAlign w:val="bottom"/>
            <w:tcBorders>
              <w:bottom w:val="single" w:sz="8" w:color="205BA8"/>
            </w:tcBorders>
            <w:shd w:val="clear" w:color="auto" w:fill="ECEDED"/>
          </w:tcPr>
          <w:p>
            <w:pPr>
              <w:spacing w:after="0"/>
              <w:rPr>
                <w:sz w:val="21"/>
                <w:szCs w:val="21"/>
                <w:color w:val="auto"/>
              </w:rPr>
            </w:pPr>
          </w:p>
        </w:tc>
        <w:tc>
          <w:tcPr>
            <w:tcW w:w="580" w:type="dxa"/>
            <w:vAlign w:val="bottom"/>
            <w:tcBorders>
              <w:bottom w:val="single" w:sz="8" w:color="205BA8"/>
            </w:tcBorders>
            <w:shd w:val="clear" w:color="auto" w:fill="ECEDED"/>
          </w:tcPr>
          <w:p>
            <w:pPr>
              <w:spacing w:after="0"/>
              <w:rPr>
                <w:sz w:val="21"/>
                <w:szCs w:val="21"/>
                <w:color w:val="auto"/>
              </w:rPr>
            </w:pPr>
          </w:p>
        </w:tc>
        <w:tc>
          <w:tcPr>
            <w:tcW w:w="620" w:type="dxa"/>
            <w:vAlign w:val="bottom"/>
            <w:tcBorders>
              <w:bottom w:val="single" w:sz="8" w:color="205BA8"/>
            </w:tcBorders>
            <w:shd w:val="clear" w:color="auto" w:fill="ECEDED"/>
          </w:tcPr>
          <w:p>
            <w:pPr>
              <w:spacing w:after="0"/>
              <w:rPr>
                <w:sz w:val="21"/>
                <w:szCs w:val="21"/>
                <w:color w:val="auto"/>
              </w:rPr>
            </w:pPr>
          </w:p>
        </w:tc>
        <w:tc>
          <w:tcPr>
            <w:tcW w:w="700" w:type="dxa"/>
            <w:vAlign w:val="bottom"/>
            <w:tcBorders>
              <w:bottom w:val="single" w:sz="8" w:color="205BA8"/>
            </w:tcBorders>
            <w:shd w:val="clear" w:color="auto" w:fill="ECEDED"/>
          </w:tcPr>
          <w:p>
            <w:pPr>
              <w:spacing w:after="0"/>
              <w:rPr>
                <w:sz w:val="21"/>
                <w:szCs w:val="21"/>
                <w:color w:val="auto"/>
              </w:rPr>
            </w:pPr>
          </w:p>
        </w:tc>
        <w:tc>
          <w:tcPr>
            <w:tcW w:w="700" w:type="dxa"/>
            <w:vAlign w:val="bottom"/>
            <w:tcBorders>
              <w:bottom w:val="single" w:sz="8" w:color="205BA8"/>
            </w:tcBorders>
            <w:shd w:val="clear" w:color="auto" w:fill="ECEDED"/>
          </w:tcPr>
          <w:p>
            <w:pPr>
              <w:spacing w:after="0"/>
              <w:rPr>
                <w:sz w:val="21"/>
                <w:szCs w:val="21"/>
                <w:color w:val="auto"/>
              </w:rPr>
            </w:pPr>
          </w:p>
        </w:tc>
        <w:tc>
          <w:tcPr>
            <w:tcW w:w="740" w:type="dxa"/>
            <w:vAlign w:val="bottom"/>
            <w:tcBorders>
              <w:bottom w:val="single" w:sz="8" w:color="205BA8"/>
            </w:tcBorders>
            <w:shd w:val="clear" w:color="auto" w:fill="ECEDED"/>
          </w:tcPr>
          <w:p>
            <w:pPr>
              <w:spacing w:after="0"/>
              <w:rPr>
                <w:sz w:val="21"/>
                <w:szCs w:val="21"/>
                <w:color w:val="auto"/>
              </w:rPr>
            </w:pPr>
          </w:p>
        </w:tc>
        <w:tc>
          <w:tcPr>
            <w:tcW w:w="800" w:type="dxa"/>
            <w:vAlign w:val="bottom"/>
            <w:tcBorders>
              <w:bottom w:val="single" w:sz="8" w:color="205BA8"/>
            </w:tcBorders>
            <w:shd w:val="clear" w:color="auto" w:fill="ECEDED"/>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5200" w:type="dxa"/>
            <w:vAlign w:val="bottom"/>
            <w:gridSpan w:val="5"/>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4"/>
                <w:szCs w:val="14"/>
                <w:b w:val="1"/>
                <w:bCs w:val="1"/>
                <w:color w:val="205BA8"/>
              </w:rPr>
              <w:t>/  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 w:type="dxa"/>
            <w:vAlign w:val="bottom"/>
            <w:tcBorders>
              <w:bottom w:val="single" w:sz="8" w:color="C0C0C0"/>
            </w:tcBorders>
          </w:tcPr>
          <w:p>
            <w:pPr>
              <w:spacing w:after="0"/>
              <w:rPr>
                <w:sz w:val="21"/>
                <w:szCs w:val="21"/>
                <w:color w:val="auto"/>
              </w:rPr>
            </w:pPr>
          </w:p>
        </w:tc>
        <w:tc>
          <w:tcPr>
            <w:tcW w:w="254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-280035</wp:posOffset>
            </wp:positionV>
            <wp:extent cx="717550" cy="82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ind w:left="3"/>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60019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5"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auto"/>
        </w:rPr>
        <w:t>NOMINEES FOR CLASS I DIRECTORS</w:t>
      </w:r>
    </w:p>
    <w:p>
      <w:pPr>
        <w:spacing w:after="0" w:line="53" w:lineRule="exact"/>
        <w:rPr>
          <w:sz w:val="20"/>
          <w:szCs w:val="20"/>
          <w:color w:val="auto"/>
        </w:rPr>
      </w:pPr>
    </w:p>
    <w:p>
      <w:pPr>
        <w:ind w:left="3" w:right="200"/>
        <w:spacing w:after="0" w:line="265" w:lineRule="auto"/>
        <w:rPr>
          <w:sz w:val="20"/>
          <w:szCs w:val="20"/>
          <w:color w:val="auto"/>
        </w:rPr>
      </w:pPr>
      <w:r>
        <w:rPr>
          <w:rFonts w:ascii="Arial" w:cs="Arial" w:eastAsia="Arial" w:hAnsi="Arial"/>
          <w:sz w:val="29"/>
          <w:szCs w:val="29"/>
          <w:b w:val="1"/>
          <w:bCs w:val="1"/>
          <w:color w:val="auto"/>
        </w:rPr>
        <w:t>FOR ELECTION AT THE 2019 ANNUAL MEETING FOR A TERM EXPIRING AT THE 2022 ANNUAL MEETING</w:t>
      </w:r>
      <w:r>
        <w:rPr>
          <w:rFonts w:ascii="Arial" w:cs="Arial" w:eastAsia="Arial" w:hAnsi="Arial"/>
          <w:sz w:val="49"/>
          <w:szCs w:val="4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6600190" cy="280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1" w:lineRule="exact"/>
        <w:rPr>
          <w:sz w:val="20"/>
          <w:szCs w:val="20"/>
          <w:color w:val="auto"/>
        </w:rPr>
      </w:pPr>
    </w:p>
    <w:p>
      <w:pPr>
        <w:ind w:left="83"/>
        <w:spacing w:after="0"/>
        <w:rPr>
          <w:sz w:val="20"/>
          <w:szCs w:val="20"/>
          <w:color w:val="auto"/>
        </w:rPr>
      </w:pPr>
      <w:r>
        <w:rPr>
          <w:rFonts w:ascii="Arial" w:cs="Arial" w:eastAsia="Arial" w:hAnsi="Arial"/>
          <w:sz w:val="24"/>
          <w:szCs w:val="24"/>
          <w:b w:val="1"/>
          <w:bCs w:val="1"/>
          <w:color w:val="FFFFFF"/>
        </w:rPr>
        <w:t>BONNIE L. BASSLER,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1361440" cy="1361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2016</w:t>
      </w:r>
    </w:p>
    <w:p>
      <w:pPr>
        <w:spacing w:after="0" w:line="47"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56</w:t>
      </w:r>
    </w:p>
    <w:p>
      <w:pPr>
        <w:spacing w:after="0" w:line="47"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Scientific Society Memberships</w:t>
      </w:r>
    </w:p>
    <w:p>
      <w:pPr>
        <w:spacing w:after="0" w:line="65" w:lineRule="exact"/>
        <w:rPr>
          <w:sz w:val="20"/>
          <w:szCs w:val="20"/>
          <w:color w:val="auto"/>
        </w:rPr>
      </w:pPr>
    </w:p>
    <w:p>
      <w:pPr>
        <w:ind w:left="203" w:hanging="203"/>
        <w:spacing w:after="0"/>
        <w:tabs>
          <w:tab w:leader="none" w:pos="203" w:val="left"/>
        </w:tabs>
        <w:numPr>
          <w:ilvl w:val="0"/>
          <w:numId w:val="16"/>
        </w:numPr>
        <w:rPr>
          <w:rFonts w:ascii="Arial" w:cs="Arial" w:eastAsia="Arial" w:hAnsi="Arial"/>
          <w:sz w:val="14"/>
          <w:szCs w:val="14"/>
          <w:color w:val="205BA8"/>
        </w:rPr>
      </w:pPr>
      <w:r>
        <w:rPr>
          <w:rFonts w:ascii="Arial" w:cs="Arial" w:eastAsia="Arial" w:hAnsi="Arial"/>
          <w:sz w:val="14"/>
          <w:szCs w:val="14"/>
          <w:color w:val="auto"/>
        </w:rPr>
        <w:t>The National Academy of Sciences</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16"/>
        </w:numPr>
        <w:rPr>
          <w:rFonts w:ascii="Arial" w:cs="Arial" w:eastAsia="Arial" w:hAnsi="Arial"/>
          <w:sz w:val="14"/>
          <w:szCs w:val="14"/>
          <w:color w:val="205BA8"/>
        </w:rPr>
      </w:pPr>
      <w:r>
        <w:rPr>
          <w:rFonts w:ascii="Arial" w:cs="Arial" w:eastAsia="Arial" w:hAnsi="Arial"/>
          <w:sz w:val="14"/>
          <w:szCs w:val="14"/>
          <w:color w:val="auto"/>
        </w:rPr>
        <w:t>The American Academy of Arts and Sciences</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16"/>
        </w:numPr>
        <w:rPr>
          <w:rFonts w:ascii="Arial" w:cs="Arial" w:eastAsia="Arial" w:hAnsi="Arial"/>
          <w:sz w:val="14"/>
          <w:szCs w:val="14"/>
          <w:color w:val="205BA8"/>
        </w:rPr>
      </w:pPr>
      <w:r>
        <w:rPr>
          <w:rFonts w:ascii="Arial" w:cs="Arial" w:eastAsia="Arial" w:hAnsi="Arial"/>
          <w:sz w:val="14"/>
          <w:szCs w:val="14"/>
          <w:color w:val="auto"/>
        </w:rPr>
        <w:t>The Royal Society of London</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16"/>
        </w:numPr>
        <w:rPr>
          <w:rFonts w:ascii="Arial" w:cs="Arial" w:eastAsia="Arial" w:hAnsi="Arial"/>
          <w:sz w:val="14"/>
          <w:szCs w:val="14"/>
          <w:color w:val="205BA8"/>
        </w:rPr>
      </w:pPr>
      <w:r>
        <w:rPr>
          <w:rFonts w:ascii="Arial" w:cs="Arial" w:eastAsia="Arial" w:hAnsi="Arial"/>
          <w:sz w:val="14"/>
          <w:szCs w:val="14"/>
          <w:color w:val="auto"/>
        </w:rPr>
        <w:t>The American Philosophical Society</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Other Public Boards</w:t>
      </w:r>
    </w:p>
    <w:p>
      <w:pPr>
        <w:spacing w:after="0" w:line="65" w:lineRule="exact"/>
        <w:rPr>
          <w:sz w:val="20"/>
          <w:szCs w:val="20"/>
          <w:color w:val="auto"/>
        </w:rPr>
      </w:pPr>
    </w:p>
    <w:p>
      <w:pPr>
        <w:ind w:left="203" w:hanging="203"/>
        <w:spacing w:after="0"/>
        <w:tabs>
          <w:tab w:leader="none" w:pos="203" w:val="left"/>
        </w:tabs>
        <w:numPr>
          <w:ilvl w:val="0"/>
          <w:numId w:val="17"/>
        </w:numPr>
        <w:rPr>
          <w:rFonts w:ascii="Arial" w:cs="Arial" w:eastAsia="Arial" w:hAnsi="Arial"/>
          <w:sz w:val="14"/>
          <w:szCs w:val="14"/>
          <w:color w:val="205BA8"/>
        </w:rPr>
      </w:pPr>
      <w:r>
        <w:rPr>
          <w:rFonts w:ascii="Arial" w:cs="Arial" w:eastAsia="Arial" w:hAnsi="Arial"/>
          <w:sz w:val="14"/>
          <w:szCs w:val="14"/>
          <w:color w:val="auto"/>
        </w:rPr>
        <w:t>Kaleido Biosciences, Inc.</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17"/>
        </w:numPr>
        <w:rPr>
          <w:rFonts w:ascii="Arial" w:cs="Arial" w:eastAsia="Arial" w:hAnsi="Arial"/>
          <w:sz w:val="14"/>
          <w:szCs w:val="14"/>
          <w:color w:val="205BA8"/>
        </w:rPr>
      </w:pPr>
      <w:r>
        <w:rPr>
          <w:rFonts w:ascii="Arial" w:cs="Arial" w:eastAsia="Arial" w:hAnsi="Arial"/>
          <w:sz w:val="14"/>
          <w:szCs w:val="14"/>
          <w:color w:val="auto"/>
        </w:rPr>
        <w:t>Sanofi (until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Dr. Bassler is currently the Chair of the Department of Molecular Biology and the Squibb Professor in Molecular Biology at Princeton University, and a Howard Hughes Medical Institute Investigator. Dr. Bassler has previously served as the President of the American Society for Microbiology, as well as on the boards for the American Association for the Advancement of Science, the National Science Foundation, and the American Academy of Microbiology. She has been elected to the National Academy of Sciences, the American Academy of Arts and Sciences, the Royal Society of London, and the American Philosophical Society, and has received many scientific honors, including a MacArthur Foundation Fellowship, the Lounsbery Award, and the Shaw Prize for Life Science and Medicine. Dr. Bassler received her B.Sc. from the University of California, Davis, and her Ph.D. in Biochemistry from Johns Hopkins University. She served as a Postdoctoral Fellow and Research Scientist at the Agouron Institute in La Jolla, California, before becoming a faculty member at Princeton University. Dr. Bassler served as a director of Sanofi from November 2014 to July 2016 and currently serves on the board of directors of Kaleido Biosciences, Inc.</w:t>
      </w:r>
    </w:p>
    <w:p>
      <w:pPr>
        <w:spacing w:after="0" w:line="160"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Dr. Bassler’s extensive research experience and her scientific and academic career and accomplishments, as well as her experience as a corporate director, led to the board’s decision to nominate Dr. Bassler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2240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80" w:type="dxa"/>
            <w:vAlign w:val="bottom"/>
          </w:tcPr>
          <w:p>
            <w:pPr>
              <w:spacing w:after="0"/>
              <w:rPr>
                <w:sz w:val="20"/>
                <w:szCs w:val="20"/>
                <w:color w:val="auto"/>
              </w:rPr>
            </w:pPr>
            <w:r>
              <w:rPr>
                <w:rFonts w:ascii="Arial" w:cs="Arial" w:eastAsia="Arial" w:hAnsi="Arial"/>
                <w:sz w:val="15"/>
                <w:szCs w:val="15"/>
                <w:color w:val="auto"/>
              </w:rPr>
              <w:t>Board of Directors</w:t>
            </w:r>
          </w:p>
        </w:tc>
        <w:tc>
          <w:tcPr>
            <w:tcW w:w="2340" w:type="dxa"/>
            <w:vAlign w:val="bottom"/>
          </w:tcPr>
          <w:p>
            <w:pPr>
              <w:spacing w:after="0"/>
              <w:rPr>
                <w:sz w:val="17"/>
                <w:szCs w:val="17"/>
                <w:color w:val="auto"/>
              </w:rPr>
            </w:pPr>
          </w:p>
        </w:tc>
        <w:tc>
          <w:tcPr>
            <w:tcW w:w="2940" w:type="dxa"/>
            <w:vAlign w:val="bottom"/>
          </w:tcPr>
          <w:p>
            <w:pPr>
              <w:jc w:val="right"/>
              <w:ind w:right="2364"/>
              <w:spacing w:after="0"/>
              <w:rPr>
                <w:sz w:val="20"/>
                <w:szCs w:val="20"/>
                <w:color w:val="auto"/>
              </w:rPr>
            </w:pPr>
            <w:r>
              <w:rPr>
                <w:rFonts w:ascii="Arial" w:cs="Arial" w:eastAsia="Arial" w:hAnsi="Arial"/>
                <w:sz w:val="15"/>
                <w:szCs w:val="15"/>
                <w:b w:val="1"/>
                <w:bCs w:val="1"/>
                <w:color w:val="205BA8"/>
              </w:rPr>
              <w:t>6/6</w:t>
            </w:r>
          </w:p>
        </w:tc>
      </w:tr>
      <w:tr>
        <w:trPr>
          <w:trHeight w:val="221"/>
        </w:trPr>
        <w:tc>
          <w:tcPr>
            <w:tcW w:w="3720" w:type="dxa"/>
            <w:vAlign w:val="bottom"/>
            <w:gridSpan w:val="2"/>
          </w:tcPr>
          <w:p>
            <w:pPr>
              <w:spacing w:after="0"/>
              <w:rPr>
                <w:sz w:val="20"/>
                <w:szCs w:val="20"/>
                <w:color w:val="auto"/>
              </w:rPr>
            </w:pPr>
            <w:r>
              <w:rPr>
                <w:rFonts w:ascii="Arial" w:cs="Arial" w:eastAsia="Arial" w:hAnsi="Arial"/>
                <w:sz w:val="15"/>
                <w:szCs w:val="15"/>
                <w:color w:val="auto"/>
              </w:rPr>
              <w:t>Corporate Governance and Compliance Committee</w:t>
            </w:r>
          </w:p>
        </w:tc>
        <w:tc>
          <w:tcPr>
            <w:tcW w:w="2940" w:type="dxa"/>
            <w:vAlign w:val="bottom"/>
          </w:tcPr>
          <w:p>
            <w:pPr>
              <w:jc w:val="right"/>
              <w:ind w:right="2364"/>
              <w:spacing w:after="0"/>
              <w:rPr>
                <w:sz w:val="20"/>
                <w:szCs w:val="20"/>
                <w:color w:val="auto"/>
              </w:rPr>
            </w:pPr>
            <w:r>
              <w:rPr>
                <w:rFonts w:ascii="Arial" w:cs="Arial" w:eastAsia="Arial" w:hAnsi="Arial"/>
                <w:sz w:val="15"/>
                <w:szCs w:val="15"/>
                <w:b w:val="1"/>
                <w:bCs w:val="1"/>
                <w:color w:val="205BA8"/>
              </w:rPr>
              <w:t>5/5</w:t>
            </w:r>
          </w:p>
        </w:tc>
      </w:tr>
      <w:tr>
        <w:trPr>
          <w:trHeight w:val="221"/>
        </w:trPr>
        <w:tc>
          <w:tcPr>
            <w:tcW w:w="3720" w:type="dxa"/>
            <w:vAlign w:val="bottom"/>
            <w:gridSpan w:val="2"/>
          </w:tcPr>
          <w:p>
            <w:pPr>
              <w:spacing w:after="0"/>
              <w:rPr>
                <w:sz w:val="20"/>
                <w:szCs w:val="20"/>
                <w:color w:val="auto"/>
              </w:rPr>
            </w:pPr>
            <w:r>
              <w:rPr>
                <w:rFonts w:ascii="Arial" w:cs="Arial" w:eastAsia="Arial" w:hAnsi="Arial"/>
                <w:sz w:val="15"/>
                <w:szCs w:val="15"/>
                <w:color w:val="auto"/>
              </w:rPr>
              <w:t>Technology Committee</w:t>
            </w:r>
          </w:p>
        </w:tc>
        <w:tc>
          <w:tcPr>
            <w:tcW w:w="2940" w:type="dxa"/>
            <w:vAlign w:val="bottom"/>
          </w:tcPr>
          <w:p>
            <w:pPr>
              <w:jc w:val="right"/>
              <w:ind w:right="2364"/>
              <w:spacing w:after="0"/>
              <w:rPr>
                <w:sz w:val="20"/>
                <w:szCs w:val="20"/>
                <w:color w:val="auto"/>
              </w:rPr>
            </w:pPr>
            <w:r>
              <w:rPr>
                <w:rFonts w:ascii="Arial" w:cs="Arial" w:eastAsia="Arial" w:hAnsi="Arial"/>
                <w:sz w:val="15"/>
                <w:szCs w:val="15"/>
                <w:b w:val="1"/>
                <w:bCs w:val="1"/>
                <w:color w:val="205BA8"/>
              </w:rPr>
              <w:t>3/3</w:t>
            </w:r>
          </w:p>
        </w:tc>
      </w:tr>
      <w:tr>
        <w:trPr>
          <w:trHeight w:val="177"/>
        </w:trPr>
        <w:tc>
          <w:tcPr>
            <w:tcW w:w="3720" w:type="dxa"/>
            <w:vAlign w:val="bottom"/>
            <w:tcBorders>
              <w:bottom w:val="single" w:sz="8" w:color="auto"/>
            </w:tcBorders>
            <w:gridSpan w:val="2"/>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r>
      <w:tr>
        <w:trPr>
          <w:trHeight w:val="358"/>
        </w:trPr>
        <w:tc>
          <w:tcPr>
            <w:tcW w:w="3720" w:type="dxa"/>
            <w:vAlign w:val="bottom"/>
            <w:gridSpan w:val="2"/>
          </w:tcPr>
          <w:p>
            <w:pPr>
              <w:spacing w:after="0"/>
              <w:rPr>
                <w:sz w:val="20"/>
                <w:szCs w:val="20"/>
                <w:color w:val="auto"/>
              </w:rPr>
            </w:pPr>
            <w:r>
              <w:rPr>
                <w:rFonts w:ascii="Arial" w:cs="Arial" w:eastAsia="Arial" w:hAnsi="Arial"/>
                <w:sz w:val="14"/>
                <w:szCs w:val="14"/>
                <w:b w:val="1"/>
                <w:bCs w:val="1"/>
                <w:color w:val="D61C5A"/>
              </w:rPr>
              <w:t>Prior Voting Results — 2017</w:t>
            </w:r>
          </w:p>
        </w:tc>
        <w:tc>
          <w:tcPr>
            <w:tcW w:w="2940" w:type="dxa"/>
            <w:vAlign w:val="bottom"/>
          </w:tcPr>
          <w:p>
            <w:pPr>
              <w:spacing w:after="0"/>
              <w:rPr>
                <w:sz w:val="24"/>
                <w:szCs w:val="24"/>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color w:val="auto"/>
              </w:rPr>
              <w:t>For</w:t>
            </w:r>
          </w:p>
        </w:tc>
        <w:tc>
          <w:tcPr>
            <w:tcW w:w="2340" w:type="dxa"/>
            <w:vAlign w:val="bottom"/>
          </w:tcPr>
          <w:p>
            <w:pPr>
              <w:ind w:left="160"/>
              <w:spacing w:after="0"/>
              <w:rPr>
                <w:sz w:val="20"/>
                <w:szCs w:val="20"/>
                <w:color w:val="auto"/>
              </w:rPr>
            </w:pPr>
            <w:r>
              <w:rPr>
                <w:rFonts w:ascii="Arial" w:cs="Arial" w:eastAsia="Arial" w:hAnsi="Arial"/>
                <w:sz w:val="15"/>
                <w:szCs w:val="15"/>
                <w:b w:val="1"/>
                <w:bCs w:val="1"/>
                <w:color w:val="205BA8"/>
              </w:rPr>
              <w:t>99.6%</w:t>
            </w:r>
          </w:p>
        </w:tc>
        <w:tc>
          <w:tcPr>
            <w:tcW w:w="2940" w:type="dxa"/>
            <w:vAlign w:val="bottom"/>
          </w:tcPr>
          <w:p>
            <w:pPr>
              <w:spacing w:after="0"/>
              <w:rPr>
                <w:sz w:val="19"/>
                <w:szCs w:val="19"/>
                <w:color w:val="auto"/>
              </w:rPr>
            </w:pPr>
          </w:p>
        </w:tc>
      </w:tr>
      <w:tr>
        <w:trPr>
          <w:trHeight w:val="221"/>
        </w:trPr>
        <w:tc>
          <w:tcPr>
            <w:tcW w:w="1380" w:type="dxa"/>
            <w:vAlign w:val="bottom"/>
          </w:tcPr>
          <w:p>
            <w:pPr>
              <w:spacing w:after="0"/>
              <w:rPr>
                <w:sz w:val="20"/>
                <w:szCs w:val="20"/>
                <w:color w:val="auto"/>
              </w:rPr>
            </w:pPr>
            <w:r>
              <w:rPr>
                <w:rFonts w:ascii="Arial" w:cs="Arial" w:eastAsia="Arial" w:hAnsi="Arial"/>
                <w:sz w:val="15"/>
                <w:szCs w:val="15"/>
                <w:color w:val="auto"/>
              </w:rPr>
              <w:t>Against</w:t>
            </w:r>
          </w:p>
        </w:tc>
        <w:tc>
          <w:tcPr>
            <w:tcW w:w="2340" w:type="dxa"/>
            <w:vAlign w:val="bottom"/>
          </w:tcPr>
          <w:p>
            <w:pPr>
              <w:ind w:left="160"/>
              <w:spacing w:after="0"/>
              <w:rPr>
                <w:sz w:val="20"/>
                <w:szCs w:val="20"/>
                <w:color w:val="auto"/>
              </w:rPr>
            </w:pPr>
            <w:r>
              <w:rPr>
                <w:rFonts w:ascii="Arial" w:cs="Arial" w:eastAsia="Arial" w:hAnsi="Arial"/>
                <w:sz w:val="15"/>
                <w:szCs w:val="15"/>
                <w:b w:val="1"/>
                <w:bCs w:val="1"/>
                <w:color w:val="205BA8"/>
              </w:rPr>
              <w:t>0.4%</w:t>
            </w: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3" w:space="420"/>
            <w:col w:w="6660"/>
          </w:cols>
          <w:pgMar w:left="757" w:top="396" w:right="739" w:bottom="1440" w:gutter="0" w:footer="0" w:header="0"/>
          <w:type w:val="continuous"/>
        </w:sectPr>
      </w:pPr>
    </w:p>
    <w:p>
      <w:pPr>
        <w:spacing w:after="0" w:line="173" w:lineRule="exact"/>
        <w:rPr>
          <w:sz w:val="20"/>
          <w:szCs w:val="20"/>
          <w:color w:val="auto"/>
        </w:rPr>
      </w:pPr>
    </w:p>
    <w:p>
      <w:pPr>
        <w:ind w:left="3743"/>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3743" w:type="dxa"/>
        <w:tblCellMar>
          <w:top w:w="0" w:type="dxa"/>
          <w:left w:w="0" w:type="dxa"/>
          <w:bottom w:w="0" w:type="dxa"/>
          <w:right w:w="0" w:type="dxa"/>
        </w:tblCellMar>
      </w:tblPr>
      <w:tr>
        <w:trPr>
          <w:trHeight w:val="199"/>
        </w:trPr>
        <w:tc>
          <w:tcPr>
            <w:tcW w:w="1320" w:type="dxa"/>
            <w:vAlign w:val="bottom"/>
          </w:tcPr>
          <w:p>
            <w:pPr>
              <w:spacing w:after="0"/>
              <w:rPr>
                <w:sz w:val="20"/>
                <w:szCs w:val="20"/>
                <w:color w:val="auto"/>
              </w:rPr>
            </w:pPr>
            <w:r>
              <w:rPr>
                <w:rFonts w:ascii="Arial" w:cs="Arial" w:eastAsia="Arial" w:hAnsi="Arial"/>
                <w:sz w:val="15"/>
                <w:szCs w:val="15"/>
                <w:color w:val="auto"/>
              </w:rPr>
              <w:t>Options</w:t>
            </w:r>
          </w:p>
        </w:tc>
        <w:tc>
          <w:tcPr>
            <w:tcW w:w="680" w:type="dxa"/>
            <w:vAlign w:val="bottom"/>
          </w:tcPr>
          <w:p>
            <w:pPr>
              <w:ind w:left="220"/>
              <w:spacing w:after="0"/>
              <w:rPr>
                <w:sz w:val="20"/>
                <w:szCs w:val="20"/>
                <w:color w:val="auto"/>
              </w:rPr>
            </w:pPr>
            <w:r>
              <w:rPr>
                <w:rFonts w:ascii="Arial" w:cs="Arial" w:eastAsia="Arial" w:hAnsi="Arial"/>
                <w:sz w:val="15"/>
                <w:szCs w:val="15"/>
                <w:b w:val="1"/>
                <w:bCs w:val="1"/>
                <w:color w:val="205BA8"/>
                <w:w w:val="95"/>
              </w:rPr>
              <w:t>16,042</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5"/>
                <w:szCs w:val="15"/>
                <w:color w:val="auto"/>
              </w:rPr>
              <w:t>Restricted Stock</w:t>
            </w:r>
          </w:p>
        </w:tc>
        <w:tc>
          <w:tcPr>
            <w:tcW w:w="680" w:type="dxa"/>
            <w:vAlign w:val="bottom"/>
            <w:vMerge w:val="restart"/>
          </w:tcPr>
          <w:p>
            <w:pPr>
              <w:ind w:left="220"/>
              <w:spacing w:after="0"/>
              <w:rPr>
                <w:sz w:val="20"/>
                <w:szCs w:val="20"/>
                <w:color w:val="auto"/>
              </w:rPr>
            </w:pPr>
            <w:r>
              <w:rPr>
                <w:rFonts w:ascii="Arial" w:cs="Arial" w:eastAsia="Arial" w:hAnsi="Arial"/>
                <w:sz w:val="15"/>
                <w:szCs w:val="15"/>
                <w:b w:val="1"/>
                <w:bCs w:val="1"/>
                <w:color w:val="205BA8"/>
              </w:rPr>
              <w:t>145</w:t>
            </w:r>
          </w:p>
        </w:tc>
        <w:tc>
          <w:tcPr>
            <w:tcW w:w="0" w:type="dxa"/>
            <w:vAlign w:val="bottom"/>
          </w:tcPr>
          <w:p>
            <w:pPr>
              <w:spacing w:after="0"/>
              <w:rPr>
                <w:sz w:val="1"/>
                <w:szCs w:val="1"/>
                <w:color w:val="auto"/>
              </w:rPr>
            </w:pPr>
          </w:p>
        </w:tc>
      </w:tr>
      <w:tr>
        <w:trPr>
          <w:trHeight w:val="181"/>
        </w:trPr>
        <w:tc>
          <w:tcPr>
            <w:tcW w:w="1320" w:type="dxa"/>
            <w:vAlign w:val="bottom"/>
          </w:tcPr>
          <w:p>
            <w:pPr>
              <w:spacing w:after="0"/>
              <w:rPr>
                <w:sz w:val="20"/>
                <w:szCs w:val="20"/>
                <w:color w:val="auto"/>
              </w:rPr>
            </w:pPr>
            <w:r>
              <w:rPr>
                <w:rFonts w:ascii="Arial" w:cs="Arial" w:eastAsia="Arial" w:hAnsi="Arial"/>
                <w:sz w:val="15"/>
                <w:szCs w:val="15"/>
                <w:color w:val="auto"/>
              </w:rPr>
              <w:t>Units (“RSUs”)</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66001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65" w:lineRule="exact"/>
        <w:rPr>
          <w:sz w:val="20"/>
          <w:szCs w:val="20"/>
          <w:color w:val="auto"/>
        </w:rPr>
      </w:pPr>
    </w:p>
    <w:p>
      <w:pPr>
        <w:ind w:left="203" w:right="100" w:hanging="203"/>
        <w:spacing w:after="0" w:line="237" w:lineRule="auto"/>
        <w:tabs>
          <w:tab w:leader="none" w:pos="203" w:val="left"/>
        </w:tabs>
        <w:numPr>
          <w:ilvl w:val="0"/>
          <w:numId w:val="18"/>
        </w:numPr>
        <w:rPr>
          <w:rFonts w:ascii="Arial" w:cs="Arial" w:eastAsia="Arial" w:hAnsi="Arial"/>
          <w:sz w:val="14"/>
          <w:szCs w:val="14"/>
          <w:b w:val="1"/>
          <w:bCs w:val="1"/>
          <w:color w:val="205BA8"/>
        </w:rPr>
      </w:pPr>
      <w:r>
        <w:rPr>
          <w:rFonts w:ascii="Arial" w:cs="Arial" w:eastAsia="Arial" w:hAnsi="Arial"/>
          <w:sz w:val="14"/>
          <w:szCs w:val="14"/>
          <w:color w:val="auto"/>
        </w:rPr>
        <w:t>Biographical information is given, as of April 17, 2019, for each nominee for Class I Director and for each of the other directors whose term of office will continue after the 2019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8  /  </w:t>
      </w:r>
      <w:r>
        <w:rPr>
          <w:sz w:val="1"/>
          <w:szCs w:val="1"/>
          <w:color w:val="auto"/>
        </w:rPr>
        <w:drawing>
          <wp:inline distT="0" distB="0" distL="0" distR="0">
            <wp:extent cx="717550" cy="825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type w:val="continuous"/>
        </w:sectPr>
      </w:pPr>
    </w:p>
    <w:bookmarkStart w:id="21" w:name="page22"/>
    <w:bookmarkEnd w:id="21"/>
    <w:p>
      <w:pPr>
        <w:ind w:left="742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280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307" w:lineRule="exact"/>
        <w:rPr>
          <w:sz w:val="20"/>
          <w:szCs w:val="20"/>
          <w:color w:val="auto"/>
        </w:rPr>
      </w:pPr>
    </w:p>
    <w:p>
      <w:pPr>
        <w:jc w:val="center"/>
        <w:ind w:left="600"/>
        <w:spacing w:after="0"/>
        <w:rPr>
          <w:sz w:val="20"/>
          <w:szCs w:val="20"/>
          <w:color w:val="auto"/>
        </w:rPr>
      </w:pPr>
      <w:r>
        <w:rPr>
          <w:rFonts w:ascii="Arial" w:cs="Arial" w:eastAsia="Arial" w:hAnsi="Arial"/>
          <w:sz w:val="24"/>
          <w:szCs w:val="24"/>
          <w:b w:val="1"/>
          <w:bCs w:val="1"/>
          <w:color w:val="FFFFFF"/>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197485</wp:posOffset>
            </wp:positionV>
            <wp:extent cx="1361440" cy="13614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1991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78</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Scientific Society Memberships</w:t>
      </w:r>
    </w:p>
    <w:p>
      <w:pPr>
        <w:spacing w:after="0" w:line="65" w:lineRule="exact"/>
        <w:rPr>
          <w:sz w:val="20"/>
          <w:szCs w:val="20"/>
          <w:color w:val="auto"/>
        </w:rPr>
      </w:pPr>
    </w:p>
    <w:p>
      <w:pPr>
        <w:ind w:left="720" w:hanging="203"/>
        <w:spacing w:after="0"/>
        <w:tabs>
          <w:tab w:leader="none" w:pos="720" w:val="left"/>
        </w:tabs>
        <w:numPr>
          <w:ilvl w:val="0"/>
          <w:numId w:val="19"/>
        </w:numPr>
        <w:rPr>
          <w:rFonts w:ascii="Arial" w:cs="Arial" w:eastAsia="Arial" w:hAnsi="Arial"/>
          <w:sz w:val="14"/>
          <w:szCs w:val="14"/>
          <w:color w:val="205BA8"/>
        </w:rPr>
      </w:pPr>
      <w:r>
        <w:rPr>
          <w:rFonts w:ascii="Arial" w:cs="Arial" w:eastAsia="Arial" w:hAnsi="Arial"/>
          <w:sz w:val="14"/>
          <w:szCs w:val="14"/>
          <w:color w:val="auto"/>
        </w:rPr>
        <w:t>The National Academy of Sciences</w:t>
      </w:r>
    </w:p>
    <w:p>
      <w:pPr>
        <w:spacing w:after="0" w:line="46" w:lineRule="exact"/>
        <w:rPr>
          <w:rFonts w:ascii="Arial" w:cs="Arial" w:eastAsia="Arial" w:hAnsi="Arial"/>
          <w:sz w:val="14"/>
          <w:szCs w:val="14"/>
          <w:color w:val="205BA8"/>
        </w:rPr>
      </w:pPr>
    </w:p>
    <w:p>
      <w:pPr>
        <w:ind w:left="720" w:hanging="203"/>
        <w:spacing w:after="0"/>
        <w:tabs>
          <w:tab w:leader="none" w:pos="720" w:val="left"/>
        </w:tabs>
        <w:numPr>
          <w:ilvl w:val="0"/>
          <w:numId w:val="19"/>
        </w:numPr>
        <w:rPr>
          <w:rFonts w:ascii="Arial" w:cs="Arial" w:eastAsia="Arial" w:hAnsi="Arial"/>
          <w:sz w:val="14"/>
          <w:szCs w:val="14"/>
          <w:color w:val="205BA8"/>
        </w:rPr>
      </w:pPr>
      <w:r>
        <w:rPr>
          <w:rFonts w:ascii="Arial" w:cs="Arial" w:eastAsia="Arial" w:hAnsi="Arial"/>
          <w:sz w:val="14"/>
          <w:szCs w:val="14"/>
          <w:color w:val="auto"/>
        </w:rPr>
        <w:t>The National Academy of Medicine</w:t>
      </w:r>
    </w:p>
    <w:p>
      <w:pPr>
        <w:spacing w:after="0" w:line="46" w:lineRule="exact"/>
        <w:rPr>
          <w:rFonts w:ascii="Arial" w:cs="Arial" w:eastAsia="Arial" w:hAnsi="Arial"/>
          <w:sz w:val="14"/>
          <w:szCs w:val="14"/>
          <w:color w:val="205BA8"/>
        </w:rPr>
      </w:pPr>
    </w:p>
    <w:p>
      <w:pPr>
        <w:ind w:left="720" w:hanging="203"/>
        <w:spacing w:after="0"/>
        <w:tabs>
          <w:tab w:leader="none" w:pos="720" w:val="left"/>
        </w:tabs>
        <w:numPr>
          <w:ilvl w:val="0"/>
          <w:numId w:val="19"/>
        </w:numPr>
        <w:rPr>
          <w:rFonts w:ascii="Arial" w:cs="Arial" w:eastAsia="Arial" w:hAnsi="Arial"/>
          <w:sz w:val="14"/>
          <w:szCs w:val="14"/>
          <w:color w:val="205BA8"/>
        </w:rPr>
      </w:pPr>
      <w:r>
        <w:rPr>
          <w:rFonts w:ascii="Arial" w:cs="Arial" w:eastAsia="Arial" w:hAnsi="Arial"/>
          <w:sz w:val="14"/>
          <w:szCs w:val="14"/>
          <w:color w:val="auto"/>
        </w:rPr>
        <w:t>The Royal Society of London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520"/>
        <w:spacing w:after="0" w:line="237" w:lineRule="auto"/>
        <w:rPr>
          <w:sz w:val="20"/>
          <w:szCs w:val="20"/>
          <w:color w:val="auto"/>
        </w:rPr>
      </w:pPr>
      <w:r>
        <w:rPr>
          <w:rFonts w:ascii="Arial" w:cs="Arial" w:eastAsia="Arial" w:hAnsi="Arial"/>
          <w:sz w:val="15"/>
          <w:szCs w:val="15"/>
          <w:color w:val="auto"/>
        </w:rPr>
        <w:t>Dr. Brown holds the Distinguished Chair in Biomedical Sciences, a position he has held since 1989, and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National Academy of Medicine, and Foreign Member of the Royal Society of London. Dr. Brown retired as a member of the board of directors of Pfizer Inc. in 2012.</w:t>
      </w:r>
    </w:p>
    <w:p>
      <w:pPr>
        <w:spacing w:after="0" w:line="157" w:lineRule="exact"/>
        <w:rPr>
          <w:sz w:val="20"/>
          <w:szCs w:val="20"/>
          <w:color w:val="auto"/>
        </w:rPr>
      </w:pPr>
    </w:p>
    <w:p>
      <w:pPr>
        <w:ind w:right="520"/>
        <w:spacing w:after="0" w:line="239" w:lineRule="auto"/>
        <w:rPr>
          <w:sz w:val="20"/>
          <w:szCs w:val="20"/>
          <w:color w:val="auto"/>
        </w:rPr>
      </w:pPr>
      <w:r>
        <w:rPr>
          <w:rFonts w:ascii="Arial" w:cs="Arial" w:eastAsia="Arial" w:hAnsi="Arial"/>
          <w:sz w:val="15"/>
          <w:szCs w:val="15"/>
          <w:color w:val="auto"/>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to the board’s decision to nominate Dr. Brown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2240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80" w:type="dxa"/>
            <w:vAlign w:val="bottom"/>
          </w:tcPr>
          <w:p>
            <w:pPr>
              <w:spacing w:after="0"/>
              <w:rPr>
                <w:sz w:val="20"/>
                <w:szCs w:val="20"/>
                <w:color w:val="auto"/>
              </w:rPr>
            </w:pPr>
            <w:r>
              <w:rPr>
                <w:rFonts w:ascii="Arial" w:cs="Arial" w:eastAsia="Arial" w:hAnsi="Arial"/>
                <w:sz w:val="15"/>
                <w:szCs w:val="15"/>
                <w:color w:val="auto"/>
              </w:rPr>
              <w:t>Board of Directors</w:t>
            </w:r>
          </w:p>
        </w:tc>
        <w:tc>
          <w:tcPr>
            <w:tcW w:w="2340" w:type="dxa"/>
            <w:vAlign w:val="bottom"/>
          </w:tcPr>
          <w:p>
            <w:pPr>
              <w:spacing w:after="0"/>
              <w:rPr>
                <w:sz w:val="17"/>
                <w:szCs w:val="17"/>
                <w:color w:val="auto"/>
              </w:rPr>
            </w:pPr>
          </w:p>
        </w:tc>
        <w:tc>
          <w:tcPr>
            <w:tcW w:w="2940" w:type="dxa"/>
            <w:vAlign w:val="bottom"/>
          </w:tcPr>
          <w:p>
            <w:pPr>
              <w:jc w:val="right"/>
              <w:ind w:right="2364"/>
              <w:spacing w:after="0"/>
              <w:rPr>
                <w:sz w:val="20"/>
                <w:szCs w:val="20"/>
                <w:color w:val="auto"/>
              </w:rPr>
            </w:pPr>
            <w:r>
              <w:rPr>
                <w:rFonts w:ascii="Arial" w:cs="Arial" w:eastAsia="Arial" w:hAnsi="Arial"/>
                <w:sz w:val="15"/>
                <w:szCs w:val="15"/>
                <w:b w:val="1"/>
                <w:bCs w:val="1"/>
                <w:color w:val="205BA8"/>
              </w:rPr>
              <w:t>6/6</w:t>
            </w:r>
          </w:p>
        </w:tc>
      </w:tr>
      <w:tr>
        <w:trPr>
          <w:trHeight w:val="221"/>
        </w:trPr>
        <w:tc>
          <w:tcPr>
            <w:tcW w:w="3720" w:type="dxa"/>
            <w:vAlign w:val="bottom"/>
            <w:gridSpan w:val="2"/>
          </w:tcPr>
          <w:p>
            <w:pPr>
              <w:spacing w:after="0"/>
              <w:rPr>
                <w:sz w:val="20"/>
                <w:szCs w:val="20"/>
                <w:color w:val="auto"/>
              </w:rPr>
            </w:pPr>
            <w:r>
              <w:rPr>
                <w:rFonts w:ascii="Arial" w:cs="Arial" w:eastAsia="Arial" w:hAnsi="Arial"/>
                <w:sz w:val="15"/>
                <w:szCs w:val="15"/>
                <w:color w:val="auto"/>
              </w:rPr>
              <w:t>Corporate Governance and Compliance Committee</w:t>
            </w:r>
          </w:p>
        </w:tc>
        <w:tc>
          <w:tcPr>
            <w:tcW w:w="2940" w:type="dxa"/>
            <w:vAlign w:val="bottom"/>
          </w:tcPr>
          <w:p>
            <w:pPr>
              <w:jc w:val="right"/>
              <w:ind w:right="2364"/>
              <w:spacing w:after="0"/>
              <w:rPr>
                <w:sz w:val="20"/>
                <w:szCs w:val="20"/>
                <w:color w:val="auto"/>
              </w:rPr>
            </w:pPr>
            <w:r>
              <w:rPr>
                <w:rFonts w:ascii="Arial" w:cs="Arial" w:eastAsia="Arial" w:hAnsi="Arial"/>
                <w:sz w:val="15"/>
                <w:szCs w:val="15"/>
                <w:b w:val="1"/>
                <w:bCs w:val="1"/>
                <w:color w:val="205BA8"/>
              </w:rPr>
              <w:t>5/5</w:t>
            </w:r>
          </w:p>
        </w:tc>
      </w:tr>
      <w:tr>
        <w:trPr>
          <w:trHeight w:val="221"/>
        </w:trPr>
        <w:tc>
          <w:tcPr>
            <w:tcW w:w="3720" w:type="dxa"/>
            <w:vAlign w:val="bottom"/>
            <w:gridSpan w:val="2"/>
          </w:tcPr>
          <w:p>
            <w:pPr>
              <w:spacing w:after="0"/>
              <w:rPr>
                <w:sz w:val="20"/>
                <w:szCs w:val="20"/>
                <w:color w:val="auto"/>
              </w:rPr>
            </w:pPr>
            <w:r>
              <w:rPr>
                <w:rFonts w:ascii="Arial" w:cs="Arial" w:eastAsia="Arial" w:hAnsi="Arial"/>
                <w:sz w:val="15"/>
                <w:szCs w:val="15"/>
                <w:color w:val="auto"/>
              </w:rPr>
              <w:t>Technology Committee (Chairman)</w:t>
            </w:r>
          </w:p>
        </w:tc>
        <w:tc>
          <w:tcPr>
            <w:tcW w:w="2940" w:type="dxa"/>
            <w:vAlign w:val="bottom"/>
          </w:tcPr>
          <w:p>
            <w:pPr>
              <w:jc w:val="right"/>
              <w:ind w:right="2364"/>
              <w:spacing w:after="0"/>
              <w:rPr>
                <w:sz w:val="20"/>
                <w:szCs w:val="20"/>
                <w:color w:val="auto"/>
              </w:rPr>
            </w:pPr>
            <w:r>
              <w:rPr>
                <w:rFonts w:ascii="Arial" w:cs="Arial" w:eastAsia="Arial" w:hAnsi="Arial"/>
                <w:sz w:val="15"/>
                <w:szCs w:val="15"/>
                <w:b w:val="1"/>
                <w:bCs w:val="1"/>
                <w:color w:val="205BA8"/>
              </w:rPr>
              <w:t>3/3</w:t>
            </w:r>
          </w:p>
        </w:tc>
      </w:tr>
      <w:tr>
        <w:trPr>
          <w:trHeight w:val="177"/>
        </w:trPr>
        <w:tc>
          <w:tcPr>
            <w:tcW w:w="3720" w:type="dxa"/>
            <w:vAlign w:val="bottom"/>
            <w:tcBorders>
              <w:bottom w:val="single" w:sz="8" w:color="auto"/>
            </w:tcBorders>
            <w:gridSpan w:val="2"/>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r>
      <w:tr>
        <w:trPr>
          <w:trHeight w:val="358"/>
        </w:trPr>
        <w:tc>
          <w:tcPr>
            <w:tcW w:w="3720" w:type="dxa"/>
            <w:vAlign w:val="bottom"/>
            <w:gridSpan w:val="2"/>
          </w:tcPr>
          <w:p>
            <w:pPr>
              <w:spacing w:after="0"/>
              <w:rPr>
                <w:sz w:val="20"/>
                <w:szCs w:val="20"/>
                <w:color w:val="auto"/>
              </w:rPr>
            </w:pPr>
            <w:r>
              <w:rPr>
                <w:rFonts w:ascii="Arial" w:cs="Arial" w:eastAsia="Arial" w:hAnsi="Arial"/>
                <w:sz w:val="14"/>
                <w:szCs w:val="14"/>
                <w:b w:val="1"/>
                <w:bCs w:val="1"/>
                <w:color w:val="D61C5A"/>
              </w:rPr>
              <w:t>Prior Voting Results — 2016</w:t>
            </w:r>
          </w:p>
        </w:tc>
        <w:tc>
          <w:tcPr>
            <w:tcW w:w="2940" w:type="dxa"/>
            <w:vAlign w:val="bottom"/>
          </w:tcPr>
          <w:p>
            <w:pPr>
              <w:spacing w:after="0"/>
              <w:rPr>
                <w:sz w:val="24"/>
                <w:szCs w:val="24"/>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color w:val="auto"/>
              </w:rPr>
              <w:t>For</w:t>
            </w:r>
          </w:p>
        </w:tc>
        <w:tc>
          <w:tcPr>
            <w:tcW w:w="2340" w:type="dxa"/>
            <w:vAlign w:val="bottom"/>
          </w:tcPr>
          <w:p>
            <w:pPr>
              <w:ind w:left="160"/>
              <w:spacing w:after="0"/>
              <w:rPr>
                <w:sz w:val="20"/>
                <w:szCs w:val="20"/>
                <w:color w:val="auto"/>
              </w:rPr>
            </w:pPr>
            <w:r>
              <w:rPr>
                <w:rFonts w:ascii="Arial" w:cs="Arial" w:eastAsia="Arial" w:hAnsi="Arial"/>
                <w:sz w:val="15"/>
                <w:szCs w:val="15"/>
                <w:b w:val="1"/>
                <w:bCs w:val="1"/>
                <w:color w:val="205BA8"/>
              </w:rPr>
              <w:t>90.8%</w:t>
            </w:r>
          </w:p>
        </w:tc>
        <w:tc>
          <w:tcPr>
            <w:tcW w:w="2940" w:type="dxa"/>
            <w:vAlign w:val="bottom"/>
          </w:tcPr>
          <w:p>
            <w:pPr>
              <w:spacing w:after="0"/>
              <w:rPr>
                <w:sz w:val="19"/>
                <w:szCs w:val="19"/>
                <w:color w:val="auto"/>
              </w:rPr>
            </w:pPr>
          </w:p>
        </w:tc>
      </w:tr>
      <w:tr>
        <w:trPr>
          <w:trHeight w:val="221"/>
        </w:trPr>
        <w:tc>
          <w:tcPr>
            <w:tcW w:w="1380" w:type="dxa"/>
            <w:vAlign w:val="bottom"/>
          </w:tcPr>
          <w:p>
            <w:pPr>
              <w:spacing w:after="0"/>
              <w:rPr>
                <w:sz w:val="20"/>
                <w:szCs w:val="20"/>
                <w:color w:val="auto"/>
              </w:rPr>
            </w:pPr>
            <w:r>
              <w:rPr>
                <w:rFonts w:ascii="Arial" w:cs="Arial" w:eastAsia="Arial" w:hAnsi="Arial"/>
                <w:sz w:val="15"/>
                <w:szCs w:val="15"/>
                <w:color w:val="auto"/>
              </w:rPr>
              <w:t>Against</w:t>
            </w:r>
          </w:p>
        </w:tc>
        <w:tc>
          <w:tcPr>
            <w:tcW w:w="2340" w:type="dxa"/>
            <w:vAlign w:val="bottom"/>
          </w:tcPr>
          <w:p>
            <w:pPr>
              <w:ind w:left="160"/>
              <w:spacing w:after="0"/>
              <w:rPr>
                <w:sz w:val="20"/>
                <w:szCs w:val="20"/>
                <w:color w:val="auto"/>
              </w:rPr>
            </w:pPr>
            <w:r>
              <w:rPr>
                <w:rFonts w:ascii="Arial" w:cs="Arial" w:eastAsia="Arial" w:hAnsi="Arial"/>
                <w:sz w:val="15"/>
                <w:szCs w:val="15"/>
                <w:b w:val="1"/>
                <w:bCs w:val="1"/>
                <w:color w:val="205BA8"/>
              </w:rPr>
              <w:t>9.2%</w:t>
            </w: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600"/>
            <w:col w:w="7160"/>
          </w:cols>
          <w:pgMar w:left="240" w:top="396" w:right="239" w:bottom="1440" w:gutter="0" w:footer="0" w:header="0"/>
          <w:type w:val="continuous"/>
        </w:sectPr>
      </w:pPr>
    </w:p>
    <w:p>
      <w:pPr>
        <w:spacing w:after="0" w:line="17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ind w:left="4260"/>
              <w:spacing w:after="0"/>
              <w:rPr>
                <w:sz w:val="20"/>
                <w:szCs w:val="20"/>
                <w:color w:val="auto"/>
              </w:rPr>
            </w:pPr>
            <w:r>
              <w:rPr>
                <w:rFonts w:ascii="Arial" w:cs="Arial" w:eastAsia="Arial" w:hAnsi="Arial"/>
                <w:sz w:val="15"/>
                <w:szCs w:val="15"/>
                <w:color w:val="auto"/>
              </w:rPr>
              <w:t>Common Stock</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21,099</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Options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40,200</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RSUs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145</w:t>
            </w:r>
          </w:p>
        </w:tc>
      </w:tr>
      <w:tr>
        <w:trPr>
          <w:trHeight w:val="347"/>
        </w:trPr>
        <w:tc>
          <w:tcPr>
            <w:tcW w:w="55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880" w:type="dxa"/>
            <w:vAlign w:val="bottom"/>
          </w:tcPr>
          <w:p>
            <w:pPr>
              <w:jc w:val="right"/>
              <w:ind w:right="426"/>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9</w:t>
            </w:r>
          </w:p>
        </w:tc>
      </w:tr>
      <w:tr>
        <w:trPr>
          <w:trHeight w:val="252"/>
        </w:trPr>
        <w:tc>
          <w:tcPr>
            <w:tcW w:w="5540" w:type="dxa"/>
            <w:vAlign w:val="bottom"/>
            <w:tcBorders>
              <w:bottom w:val="single" w:sz="8" w:color="C0C0C0"/>
            </w:tcBorders>
          </w:tcPr>
          <w:p>
            <w:pPr>
              <w:spacing w:after="0"/>
              <w:rPr>
                <w:sz w:val="21"/>
                <w:szCs w:val="21"/>
                <w:color w:val="auto"/>
              </w:rPr>
            </w:pPr>
          </w:p>
        </w:tc>
        <w:tc>
          <w:tcPr>
            <w:tcW w:w="58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-280035</wp:posOffset>
            </wp:positionV>
            <wp:extent cx="717550" cy="825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2" w:name="page23"/>
    <w:bookmarkEnd w:id="22"/>
    <w:p>
      <w:pPr>
        <w:ind w:left="520"/>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149225</wp:posOffset>
            </wp:positionV>
            <wp:extent cx="6600190" cy="280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FFFFFF"/>
        </w:rPr>
        <w:t>LEONARD S. SCHLEIFER, M.D., PH.D.</w:t>
      </w:r>
    </w:p>
    <w:p>
      <w:pPr>
        <w:spacing w:after="0" w:line="300"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-94615</wp:posOffset>
            </wp:positionV>
            <wp:extent cx="1361440" cy="13614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83" w:lineRule="exact"/>
        <w:rPr>
          <w:sz w:val="20"/>
          <w:szCs w:val="20"/>
          <w:color w:val="auto"/>
        </w:rPr>
      </w:pPr>
    </w:p>
    <w:p>
      <w:pPr>
        <w:ind w:left="4260" w:right="560"/>
        <w:spacing w:after="0" w:line="236" w:lineRule="auto"/>
        <w:rPr>
          <w:sz w:val="20"/>
          <w:szCs w:val="20"/>
          <w:color w:val="auto"/>
        </w:rPr>
      </w:pPr>
      <w:r>
        <w:rPr>
          <w:rFonts w:ascii="Arial" w:cs="Arial" w:eastAsia="Arial" w:hAnsi="Arial"/>
          <w:sz w:val="15"/>
          <w:szCs w:val="15"/>
          <w:color w:val="auto"/>
        </w:rPr>
        <w:t>Dr. Schleifer founded the Company in 1988, has been a Director and its President and Chief Executive Officer since its inception, and served as Chairman of the Board from 1990 through 1994. Dr. Schleifer, together with Regeneron’s founding scientist, Dr. Yancopoulos, built and has managed the Company over the past 31 years. Dr. Schleifer is a licensed physician and is certified in Neurology by the American Board of Psychiatry and Neurology. With over 30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w:t>
      </w:r>
    </w:p>
    <w:p>
      <w:pPr>
        <w:spacing w:after="0" w:line="163" w:lineRule="exact"/>
        <w:rPr>
          <w:sz w:val="20"/>
          <w:szCs w:val="20"/>
          <w:color w:val="auto"/>
        </w:rPr>
      </w:pPr>
    </w:p>
    <w:p>
      <w:pPr>
        <w:ind w:left="4260" w:right="520"/>
        <w:spacing w:after="0" w:line="246" w:lineRule="auto"/>
        <w:rPr>
          <w:sz w:val="20"/>
          <w:szCs w:val="20"/>
          <w:color w:val="auto"/>
        </w:rPr>
      </w:pPr>
      <w:r>
        <w:rPr>
          <w:rFonts w:ascii="Arial" w:cs="Arial" w:eastAsia="Arial" w:hAnsi="Arial"/>
          <w:sz w:val="15"/>
          <w:szCs w:val="15"/>
          <w:color w:val="auto"/>
        </w:rPr>
        <w:t>Dr. Schleifer’s significant industry and leadership experience, as well as his extensive knowledge of the Company, led to the board’s decision to nominate Dr. Schleifer for reelection to the board.</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-8255</wp:posOffset>
            </wp:positionV>
            <wp:extent cx="42240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66</w:t>
      </w:r>
    </w:p>
    <w:p>
      <w:pPr>
        <w:ind w:left="4260"/>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30" w:lineRule="exact"/>
        <w:rPr>
          <w:sz w:val="20"/>
          <w:szCs w:val="20"/>
          <w:color w:val="auto"/>
        </w:rPr>
      </w:pPr>
    </w:p>
    <w:tbl>
      <w:tblPr>
        <w:tblLayout w:type="fixed"/>
        <w:tblInd w:w="426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5"/>
                <w:szCs w:val="15"/>
                <w:color w:val="auto"/>
              </w:rPr>
              <w:t>Board of Directors</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205BA8"/>
                <w:w w:val="89"/>
              </w:rPr>
              <w:t>5/5*</w:t>
            </w:r>
          </w:p>
        </w:tc>
      </w:tr>
      <w:tr>
        <w:trPr>
          <w:trHeight w:val="221"/>
        </w:trPr>
        <w:tc>
          <w:tcPr>
            <w:tcW w:w="1760" w:type="dxa"/>
            <w:vAlign w:val="bottom"/>
          </w:tcPr>
          <w:p>
            <w:pPr>
              <w:spacing w:after="0"/>
              <w:rPr>
                <w:sz w:val="20"/>
                <w:szCs w:val="20"/>
                <w:color w:val="auto"/>
              </w:rPr>
            </w:pPr>
            <w:r>
              <w:rPr>
                <w:rFonts w:ascii="Arial" w:cs="Arial" w:eastAsia="Arial" w:hAnsi="Arial"/>
                <w:sz w:val="15"/>
                <w:szCs w:val="15"/>
                <w:color w:val="auto"/>
              </w:rPr>
              <w:t>Technology Committee</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205BA8"/>
              </w:rPr>
              <w:t>3/3</w:t>
            </w:r>
          </w:p>
        </w:tc>
      </w:tr>
    </w:tbl>
    <w:p>
      <w:pPr>
        <w:spacing w:after="0" w:line="181" w:lineRule="exact"/>
        <w:rPr>
          <w:sz w:val="20"/>
          <w:szCs w:val="20"/>
          <w:color w:val="auto"/>
        </w:rPr>
      </w:pPr>
    </w:p>
    <w:p>
      <w:pPr>
        <w:ind w:left="4400" w:hanging="141"/>
        <w:spacing w:after="0"/>
        <w:tabs>
          <w:tab w:leader="none" w:pos="4400" w:val="left"/>
        </w:tabs>
        <w:numPr>
          <w:ilvl w:val="0"/>
          <w:numId w:val="20"/>
        </w:numPr>
        <w:rPr>
          <w:rFonts w:ascii="Arial" w:cs="Arial" w:eastAsia="Arial" w:hAnsi="Arial"/>
          <w:sz w:val="14"/>
          <w:szCs w:val="14"/>
          <w:color w:val="205BA8"/>
        </w:rPr>
      </w:pPr>
      <w:r>
        <w:rPr>
          <w:rFonts w:ascii="Arial" w:cs="Arial" w:eastAsia="Arial" w:hAnsi="Arial"/>
          <w:sz w:val="14"/>
          <w:szCs w:val="14"/>
          <w:color w:val="auto"/>
        </w:rPr>
        <w:t>Excludes one board meeting held solely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117475</wp:posOffset>
            </wp:positionV>
            <wp:extent cx="42240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62"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Prior Voting Results —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6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For</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05BA8"/>
              </w:rPr>
              <w:t>99.4%</w:t>
            </w:r>
          </w:p>
        </w:tc>
        <w:tc>
          <w:tcPr>
            <w:tcW w:w="500" w:type="dxa"/>
            <w:vAlign w:val="bottom"/>
          </w:tcPr>
          <w:p>
            <w:pPr>
              <w:spacing w:after="0"/>
              <w:rPr>
                <w:sz w:val="17"/>
                <w:szCs w:val="17"/>
                <w:color w:val="auto"/>
              </w:rPr>
            </w:pPr>
          </w:p>
        </w:tc>
      </w:tr>
      <w:tr>
        <w:trPr>
          <w:trHeight w:val="221"/>
        </w:trPr>
        <w:tc>
          <w:tcPr>
            <w:tcW w:w="426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Against</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05BA8"/>
              </w:rPr>
              <w:t>0.6%</w:t>
            </w:r>
          </w:p>
        </w:tc>
        <w:tc>
          <w:tcPr>
            <w:tcW w:w="500" w:type="dxa"/>
            <w:vAlign w:val="bottom"/>
          </w:tcPr>
          <w:p>
            <w:pPr>
              <w:spacing w:after="0"/>
              <w:rPr>
                <w:sz w:val="19"/>
                <w:szCs w:val="19"/>
                <w:color w:val="auto"/>
              </w:rPr>
            </w:pPr>
          </w:p>
        </w:tc>
      </w:tr>
      <w:tr>
        <w:trPr>
          <w:trHeight w:val="177"/>
        </w:trPr>
        <w:tc>
          <w:tcPr>
            <w:tcW w:w="4260" w:type="dxa"/>
            <w:vAlign w:val="bottom"/>
          </w:tcPr>
          <w:p>
            <w:pPr>
              <w:spacing w:after="0"/>
              <w:rPr>
                <w:sz w:val="15"/>
                <w:szCs w:val="15"/>
                <w:color w:val="auto"/>
              </w:rPr>
            </w:pPr>
          </w:p>
        </w:tc>
        <w:tc>
          <w:tcPr>
            <w:tcW w:w="6660" w:type="dxa"/>
            <w:vAlign w:val="bottom"/>
            <w:tcBorders>
              <w:bottom w:val="single" w:sz="8" w:color="auto"/>
            </w:tcBorders>
            <w:gridSpan w:val="2"/>
          </w:tcPr>
          <w:p>
            <w:pPr>
              <w:spacing w:after="0"/>
              <w:rPr>
                <w:sz w:val="15"/>
                <w:szCs w:val="15"/>
                <w:color w:val="auto"/>
              </w:rPr>
            </w:pPr>
          </w:p>
        </w:tc>
        <w:tc>
          <w:tcPr>
            <w:tcW w:w="500" w:type="dxa"/>
            <w:vAlign w:val="bottom"/>
          </w:tcPr>
          <w:p>
            <w:pPr>
              <w:spacing w:after="0"/>
              <w:rPr>
                <w:sz w:val="15"/>
                <w:szCs w:val="15"/>
                <w:color w:val="auto"/>
              </w:rPr>
            </w:pPr>
          </w:p>
        </w:tc>
      </w:tr>
      <w:tr>
        <w:trPr>
          <w:trHeight w:val="358"/>
        </w:trPr>
        <w:tc>
          <w:tcPr>
            <w:tcW w:w="4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Arial" w:cs="Arial" w:eastAsia="Arial" w:hAnsi="Arial"/>
                <w:sz w:val="14"/>
                <w:szCs w:val="14"/>
                <w:b w:val="1"/>
                <w:bCs w:val="1"/>
                <w:color w:val="D61C5A"/>
              </w:rPr>
              <w:t>Regeneron Securities Beneficially Owned as of April 17, 2019</w:t>
            </w:r>
          </w:p>
        </w:tc>
      </w:tr>
      <w:tr>
        <w:trPr>
          <w:trHeight w:val="225"/>
        </w:trPr>
        <w:tc>
          <w:tcPr>
            <w:tcW w:w="426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Class A Stock</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05BA8"/>
              </w:rPr>
              <w:t>1,726,565</w:t>
            </w:r>
          </w:p>
        </w:tc>
        <w:tc>
          <w:tcPr>
            <w:tcW w:w="500" w:type="dxa"/>
            <w:vAlign w:val="bottom"/>
          </w:tcPr>
          <w:p>
            <w:pPr>
              <w:spacing w:after="0"/>
              <w:rPr>
                <w:sz w:val="19"/>
                <w:szCs w:val="19"/>
                <w:color w:val="auto"/>
              </w:rPr>
            </w:pPr>
          </w:p>
        </w:tc>
      </w:tr>
      <w:tr>
        <w:trPr>
          <w:trHeight w:val="221"/>
        </w:trPr>
        <w:tc>
          <w:tcPr>
            <w:tcW w:w="426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Common Stock</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05BA8"/>
              </w:rPr>
              <w:t>429,878</w:t>
            </w:r>
          </w:p>
        </w:tc>
        <w:tc>
          <w:tcPr>
            <w:tcW w:w="500" w:type="dxa"/>
            <w:vAlign w:val="bottom"/>
          </w:tcPr>
          <w:p>
            <w:pPr>
              <w:spacing w:after="0"/>
              <w:rPr>
                <w:sz w:val="19"/>
                <w:szCs w:val="19"/>
                <w:color w:val="auto"/>
              </w:rPr>
            </w:pPr>
          </w:p>
        </w:tc>
      </w:tr>
      <w:tr>
        <w:trPr>
          <w:trHeight w:val="221"/>
        </w:trPr>
        <w:tc>
          <w:tcPr>
            <w:tcW w:w="426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Options</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05BA8"/>
              </w:rPr>
              <w:t>1,986,237</w:t>
            </w:r>
          </w:p>
        </w:tc>
        <w:tc>
          <w:tcPr>
            <w:tcW w:w="500" w:type="dxa"/>
            <w:vAlign w:val="bottom"/>
          </w:tcPr>
          <w:p>
            <w:pPr>
              <w:spacing w:after="0"/>
              <w:rPr>
                <w:sz w:val="19"/>
                <w:szCs w:val="19"/>
                <w:color w:val="auto"/>
              </w:rPr>
            </w:pPr>
          </w:p>
        </w:tc>
      </w:tr>
      <w:tr>
        <w:trPr>
          <w:trHeight w:val="347"/>
        </w:trPr>
        <w:tc>
          <w:tcPr>
            <w:tcW w:w="4260" w:type="dxa"/>
            <w:vAlign w:val="bottom"/>
          </w:tcPr>
          <w:p>
            <w:pPr>
              <w:jc w:val="right"/>
              <w:ind w:right="3371"/>
              <w:spacing w:after="0"/>
              <w:rPr>
                <w:sz w:val="20"/>
                <w:szCs w:val="20"/>
                <w:color w:val="auto"/>
              </w:rPr>
            </w:pPr>
            <w:r>
              <w:rPr>
                <w:rFonts w:ascii="Arial" w:cs="Arial" w:eastAsia="Arial" w:hAnsi="Arial"/>
                <w:sz w:val="14"/>
                <w:szCs w:val="14"/>
                <w:b w:val="1"/>
                <w:bCs w:val="1"/>
                <w:color w:val="205BA8"/>
              </w:rPr>
              <w:t>10  /</w:t>
            </w:r>
          </w:p>
        </w:tc>
        <w:tc>
          <w:tcPr>
            <w:tcW w:w="1280" w:type="dxa"/>
            <w:vAlign w:val="bottom"/>
          </w:tcPr>
          <w:p>
            <w:pPr>
              <w:spacing w:after="0"/>
              <w:rPr>
                <w:sz w:val="24"/>
                <w:szCs w:val="24"/>
                <w:color w:val="auto"/>
              </w:rPr>
            </w:pPr>
          </w:p>
        </w:tc>
        <w:tc>
          <w:tcPr>
            <w:tcW w:w="5880" w:type="dxa"/>
            <w:vAlign w:val="bottom"/>
            <w:gridSpan w:val="2"/>
          </w:tcPr>
          <w:p>
            <w:pPr>
              <w:ind w:left="80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r>
      <w:tr>
        <w:trPr>
          <w:trHeight w:val="252"/>
        </w:trPr>
        <w:tc>
          <w:tcPr>
            <w:tcW w:w="4260" w:type="dxa"/>
            <w:vAlign w:val="bottom"/>
            <w:tcBorders>
              <w:bottom w:val="single" w:sz="8" w:color="C0C0C0"/>
            </w:tcBorders>
          </w:tcPr>
          <w:p>
            <w:pPr>
              <w:spacing w:after="0"/>
              <w:rPr>
                <w:sz w:val="21"/>
                <w:szCs w:val="21"/>
                <w:color w:val="auto"/>
              </w:rPr>
            </w:pPr>
          </w:p>
        </w:tc>
        <w:tc>
          <w:tcPr>
            <w:tcW w:w="1280" w:type="dxa"/>
            <w:vAlign w:val="bottom"/>
            <w:tcBorders>
              <w:bottom w:val="single" w:sz="8" w:color="C0C0C0"/>
            </w:tcBorders>
          </w:tcPr>
          <w:p>
            <w:pPr>
              <w:spacing w:after="0"/>
              <w:rPr>
                <w:sz w:val="21"/>
                <w:szCs w:val="21"/>
                <w:color w:val="auto"/>
              </w:rPr>
            </w:pPr>
          </w:p>
        </w:tc>
        <w:tc>
          <w:tcPr>
            <w:tcW w:w="538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-280035</wp:posOffset>
            </wp:positionV>
            <wp:extent cx="717550" cy="825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 w:name="page24"/>
    <w:bookmarkEnd w:id="23"/>
    <w:p>
      <w:pPr>
        <w:jc w:val="right"/>
        <w:ind w:right="500"/>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149225</wp:posOffset>
            </wp:positionV>
            <wp:extent cx="6600190" cy="280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FFFFFF"/>
        </w:rPr>
        <w:t>GEORGE D. YANCOPOULOS, M.D., PH.D.</w:t>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-1575435</wp:posOffset>
            </wp:positionV>
            <wp:extent cx="1361440" cy="13614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59</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Scientific Society Memberships</w:t>
      </w:r>
    </w:p>
    <w:p>
      <w:pPr>
        <w:spacing w:after="0" w:line="65" w:lineRule="exact"/>
        <w:rPr>
          <w:sz w:val="20"/>
          <w:szCs w:val="20"/>
          <w:color w:val="auto"/>
        </w:rPr>
      </w:pPr>
    </w:p>
    <w:p>
      <w:pPr>
        <w:ind w:left="720" w:hanging="203"/>
        <w:spacing w:after="0"/>
        <w:tabs>
          <w:tab w:leader="none" w:pos="720" w:val="left"/>
        </w:tabs>
        <w:numPr>
          <w:ilvl w:val="0"/>
          <w:numId w:val="21"/>
        </w:numPr>
        <w:rPr>
          <w:rFonts w:ascii="Arial" w:cs="Arial" w:eastAsia="Arial" w:hAnsi="Arial"/>
          <w:sz w:val="14"/>
          <w:szCs w:val="14"/>
          <w:color w:val="205BA8"/>
        </w:rPr>
      </w:pPr>
      <w:r>
        <w:rPr>
          <w:rFonts w:ascii="Arial" w:cs="Arial" w:eastAsia="Arial" w:hAnsi="Arial"/>
          <w:sz w:val="14"/>
          <w:szCs w:val="14"/>
          <w:color w:val="auto"/>
        </w:rPr>
        <w:t>The National Academy of Sciences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left="1" w:right="600"/>
        <w:spacing w:after="0" w:line="241" w:lineRule="auto"/>
        <w:rPr>
          <w:sz w:val="20"/>
          <w:szCs w:val="20"/>
          <w:color w:val="auto"/>
        </w:rPr>
      </w:pPr>
      <w:r>
        <w:rPr>
          <w:rFonts w:ascii="Arial" w:cs="Arial" w:eastAsia="Arial" w:hAnsi="Arial"/>
          <w:sz w:val="15"/>
          <w:szCs w:val="15"/>
          <w:color w:val="auto"/>
        </w:rPr>
        <w:t>Dr. Yancopoulos joined Dr. Schleifer in 1989 as founding scientist of the Company, and together they built and have managed the Company since then. Dr. Yancopoulos is currently President and Chief Scientific Officer, and has served on the board since 2001.</w:t>
      </w:r>
    </w:p>
    <w:p>
      <w:pPr>
        <w:spacing w:after="0" w:line="156" w:lineRule="exact"/>
        <w:rPr>
          <w:sz w:val="20"/>
          <w:szCs w:val="20"/>
          <w:color w:val="auto"/>
        </w:rPr>
      </w:pPr>
    </w:p>
    <w:p>
      <w:pPr>
        <w:ind w:left="1" w:right="520"/>
        <w:spacing w:after="0" w:line="233" w:lineRule="auto"/>
        <w:rPr>
          <w:sz w:val="20"/>
          <w:szCs w:val="20"/>
          <w:color w:val="auto"/>
        </w:rPr>
      </w:pPr>
      <w:r>
        <w:rPr>
          <w:rFonts w:ascii="Arial" w:cs="Arial" w:eastAsia="Arial" w:hAnsi="Arial"/>
          <w:sz w:val="15"/>
          <w:szCs w:val="15"/>
          <w:color w:val="auto"/>
        </w:rPr>
        <w:t>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seven FDA-approved drugs the Company has developed,</w:t>
      </w:r>
    </w:p>
    <w:p>
      <w:pPr>
        <w:spacing w:after="0" w:line="3" w:lineRule="exact"/>
        <w:rPr>
          <w:sz w:val="20"/>
          <w:szCs w:val="20"/>
          <w:color w:val="auto"/>
        </w:rPr>
      </w:pPr>
    </w:p>
    <w:p>
      <w:pPr>
        <w:ind w:left="1" w:right="520"/>
        <w:spacing w:after="0" w:line="180" w:lineRule="auto"/>
        <w:rPr>
          <w:sz w:val="20"/>
          <w:szCs w:val="20"/>
          <w:color w:val="auto"/>
        </w:rPr>
      </w:pPr>
      <w:r>
        <w:rPr>
          <w:rFonts w:ascii="Arial" w:cs="Arial" w:eastAsia="Arial" w:hAnsi="Arial"/>
          <w:sz w:val="15"/>
          <w:szCs w:val="15"/>
          <w:color w:val="auto"/>
        </w:rPr>
        <w:t>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(aflibercept) Injection, Praluent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(alirocumab) Injection, Dupixent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(dupilumab) Injection, Kevzara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(sarilumab) Injection, Libtayo</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(cemiplimab) Injection, ZALTRAP</w:t>
      </w:r>
      <w:r>
        <w:rPr>
          <w:rFonts w:ascii="Arial" w:cs="Arial" w:eastAsia="Arial" w:hAnsi="Arial"/>
          <w:sz w:val="24"/>
          <w:szCs w:val="24"/>
          <w:color w:val="auto"/>
          <w:vertAlign w:val="superscript"/>
        </w:rPr>
        <w:t>®</w:t>
      </w:r>
      <w:r>
        <w:rPr>
          <w:rFonts w:ascii="Arial" w:cs="Arial" w:eastAsia="Arial" w:hAnsi="Arial"/>
          <w:sz w:val="15"/>
          <w:szCs w:val="15"/>
          <w:color w:val="auto"/>
        </w:rPr>
        <w:t xml:space="preserve"> (ziv-aflibercept) Injection for Intravenous Infusion, and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(rilonacept) Injection for Subcutaneous Use, as well as of its foundation technologies, including the TRAP technology, </w:t>
      </w:r>
      <w:r>
        <w:rPr>
          <w:rFonts w:ascii="Arial" w:cs="Arial" w:eastAsia="Arial" w:hAnsi="Arial"/>
          <w:sz w:val="15"/>
          <w:szCs w:val="15"/>
          <w:i w:val="1"/>
          <w:iCs w:val="1"/>
          <w:color w:val="auto"/>
        </w:rPr>
        <w:t>VelociGene</w:t>
      </w:r>
      <w:r>
        <w:rPr>
          <w:rFonts w:ascii="Arial" w:cs="Arial" w:eastAsia="Arial" w:hAnsi="Arial"/>
          <w:sz w:val="24"/>
          <w:szCs w:val="24"/>
          <w:color w:val="auto"/>
          <w:vertAlign w:val="superscript"/>
        </w:rPr>
        <w:t>®</w:t>
      </w:r>
      <w:r>
        <w:rPr>
          <w:rFonts w:ascii="Arial" w:cs="Arial" w:eastAsia="Arial" w:hAnsi="Arial"/>
          <w:sz w:val="15"/>
          <w:szCs w:val="15"/>
          <w:color w:val="auto"/>
        </w:rPr>
        <w:t>, and</w:t>
      </w:r>
    </w:p>
    <w:p>
      <w:pPr>
        <w:spacing w:after="0" w:line="4" w:lineRule="exact"/>
        <w:rPr>
          <w:sz w:val="20"/>
          <w:szCs w:val="20"/>
          <w:color w:val="auto"/>
        </w:rPr>
      </w:pPr>
    </w:p>
    <w:p>
      <w:pPr>
        <w:ind w:left="1" w:right="540"/>
        <w:spacing w:after="0" w:line="222" w:lineRule="auto"/>
        <w:rPr>
          <w:sz w:val="20"/>
          <w:szCs w:val="20"/>
          <w:color w:val="auto"/>
        </w:rPr>
      </w:pPr>
      <w:r>
        <w:rPr>
          <w:rFonts w:ascii="Arial" w:cs="Arial" w:eastAsia="Arial" w:hAnsi="Arial"/>
          <w:sz w:val="15"/>
          <w:szCs w:val="15"/>
          <w:i w:val="1"/>
          <w:iCs w:val="1"/>
          <w:color w:val="auto"/>
        </w:rPr>
        <w:t>VelocImmune</w:t>
      </w:r>
      <w:r>
        <w:rPr>
          <w:rFonts w:ascii="Arial" w:cs="Arial" w:eastAsia="Arial" w:hAnsi="Arial"/>
          <w:sz w:val="25"/>
          <w:szCs w:val="25"/>
          <w:color w:val="auto"/>
          <w:vertAlign w:val="superscript"/>
        </w:rPr>
        <w:t>®</w:t>
      </w:r>
      <w:r>
        <w:rPr>
          <w:rFonts w:ascii="Arial" w:cs="Arial" w:eastAsia="Arial" w:hAnsi="Arial"/>
          <w:sz w:val="15"/>
          <w:szCs w:val="15"/>
          <w:color w:val="auto"/>
        </w:rPr>
        <w:t>. As one of the few members of the National Academy of Sciences from industry</w:t>
      </w:r>
      <w:r>
        <w:rPr>
          <w:rFonts w:ascii="Arial" w:cs="Arial" w:eastAsia="Arial" w:hAnsi="Arial"/>
          <w:sz w:val="15"/>
          <w:szCs w:val="15"/>
          <w:i w:val="1"/>
          <w:iCs w:val="1"/>
          <w:color w:val="auto"/>
        </w:rPr>
        <w:t xml:space="preserve"> </w:t>
      </w:r>
      <w:r>
        <w:rPr>
          <w:rFonts w:ascii="Arial" w:cs="Arial" w:eastAsia="Arial" w:hAnsi="Arial"/>
          <w:sz w:val="15"/>
          <w:szCs w:val="15"/>
          <w:color w:val="auto"/>
        </w:rPr>
        <w:t>and as an author of a substantial number of scientific publications, Dr. Yancopoulos has a distinguished record of scientific expertise. Dr. Yancopoulos also brings to the board his experience in building and managing the Company, his in-depth knowledge of the Company’s technologies and research and development programs, and his proven track-record for envisioning successful long-term strategic directions and opportunities.</w:t>
      </w:r>
    </w:p>
    <w:p>
      <w:pPr>
        <w:spacing w:after="0" w:line="161" w:lineRule="exact"/>
        <w:rPr>
          <w:sz w:val="20"/>
          <w:szCs w:val="20"/>
          <w:color w:val="auto"/>
        </w:rPr>
      </w:pPr>
    </w:p>
    <w:p>
      <w:pPr>
        <w:ind w:left="1" w:right="540"/>
        <w:spacing w:after="0" w:line="241" w:lineRule="auto"/>
        <w:rPr>
          <w:sz w:val="20"/>
          <w:szCs w:val="20"/>
          <w:color w:val="auto"/>
        </w:rPr>
      </w:pPr>
      <w:r>
        <w:rPr>
          <w:rFonts w:ascii="Arial" w:cs="Arial" w:eastAsia="Arial" w:hAnsi="Arial"/>
          <w:sz w:val="15"/>
          <w:szCs w:val="15"/>
          <w:color w:val="auto"/>
        </w:rPr>
        <w:t>Dr. Yancopoulos’s significant industry and scientific experience, as well as his extensive knowledge of the Company, led to the board’s decision to nominate Dr. Yancopoulos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42240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5"/>
                <w:szCs w:val="15"/>
                <w:color w:val="auto"/>
              </w:rPr>
              <w:t>Board of Directors</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205BA8"/>
                <w:w w:val="89"/>
              </w:rPr>
              <w:t>5/5*</w:t>
            </w:r>
          </w:p>
        </w:tc>
      </w:tr>
      <w:tr>
        <w:trPr>
          <w:trHeight w:val="221"/>
        </w:trPr>
        <w:tc>
          <w:tcPr>
            <w:tcW w:w="1760" w:type="dxa"/>
            <w:vAlign w:val="bottom"/>
          </w:tcPr>
          <w:p>
            <w:pPr>
              <w:spacing w:after="0"/>
              <w:rPr>
                <w:sz w:val="20"/>
                <w:szCs w:val="20"/>
                <w:color w:val="auto"/>
              </w:rPr>
            </w:pPr>
            <w:r>
              <w:rPr>
                <w:rFonts w:ascii="Arial" w:cs="Arial" w:eastAsia="Arial" w:hAnsi="Arial"/>
                <w:sz w:val="15"/>
                <w:szCs w:val="15"/>
                <w:color w:val="auto"/>
              </w:rPr>
              <w:t>Technology Committee</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205BA8"/>
              </w:rPr>
              <w:t>3/3</w:t>
            </w:r>
          </w:p>
        </w:tc>
      </w:tr>
    </w:tbl>
    <w:p>
      <w:pPr>
        <w:spacing w:after="0" w:line="181" w:lineRule="exact"/>
        <w:rPr>
          <w:sz w:val="20"/>
          <w:szCs w:val="20"/>
          <w:color w:val="auto"/>
        </w:rPr>
      </w:pPr>
    </w:p>
    <w:p>
      <w:pPr>
        <w:ind w:left="141" w:hanging="141"/>
        <w:spacing w:after="0"/>
        <w:tabs>
          <w:tab w:leader="none" w:pos="141" w:val="left"/>
        </w:tabs>
        <w:numPr>
          <w:ilvl w:val="0"/>
          <w:numId w:val="22"/>
        </w:numPr>
        <w:rPr>
          <w:rFonts w:ascii="Arial" w:cs="Arial" w:eastAsia="Arial" w:hAnsi="Arial"/>
          <w:sz w:val="14"/>
          <w:szCs w:val="14"/>
          <w:color w:val="205BA8"/>
        </w:rPr>
      </w:pPr>
      <w:r>
        <w:rPr>
          <w:rFonts w:ascii="Arial" w:cs="Arial" w:eastAsia="Arial" w:hAnsi="Arial"/>
          <w:sz w:val="14"/>
          <w:szCs w:val="14"/>
          <w:color w:val="auto"/>
        </w:rPr>
        <w:t>Excludes one board meeting held solely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42240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62"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D61C5A"/>
        </w:rPr>
        <w:t>Prior Voting Results — 2016</w:t>
      </w:r>
    </w:p>
    <w:p>
      <w:pPr>
        <w:spacing w:after="0" w:line="46" w:lineRule="exact"/>
        <w:rPr>
          <w:sz w:val="20"/>
          <w:szCs w:val="20"/>
          <w:color w:val="auto"/>
        </w:rPr>
      </w:pPr>
    </w:p>
    <w:p>
      <w:pPr>
        <w:ind w:left="1"/>
        <w:spacing w:after="0"/>
        <w:tabs>
          <w:tab w:leader="none" w:pos="1521" w:val="left"/>
        </w:tabs>
        <w:rPr>
          <w:sz w:val="20"/>
          <w:szCs w:val="20"/>
          <w:color w:val="auto"/>
        </w:rPr>
      </w:pPr>
      <w:r>
        <w:rPr>
          <w:rFonts w:ascii="Arial" w:cs="Arial" w:eastAsia="Arial" w:hAnsi="Arial"/>
          <w:sz w:val="15"/>
          <w:szCs w:val="15"/>
          <w:color w:val="auto"/>
        </w:rPr>
        <w:t>For</w:t>
      </w:r>
      <w:r>
        <w:rPr>
          <w:sz w:val="20"/>
          <w:szCs w:val="20"/>
          <w:color w:val="auto"/>
        </w:rPr>
        <w:tab/>
      </w:r>
      <w:r>
        <w:rPr>
          <w:rFonts w:ascii="Arial" w:cs="Arial" w:eastAsia="Arial" w:hAnsi="Arial"/>
          <w:sz w:val="15"/>
          <w:szCs w:val="15"/>
          <w:b w:val="1"/>
          <w:bCs w:val="1"/>
          <w:color w:val="205BA8"/>
        </w:rPr>
        <w:t>98.9%</w:t>
      </w:r>
    </w:p>
    <w:p>
      <w:pPr>
        <w:spacing w:after="0" w:line="48" w:lineRule="exact"/>
        <w:rPr>
          <w:sz w:val="20"/>
          <w:szCs w:val="20"/>
          <w:color w:val="auto"/>
        </w:rPr>
      </w:pPr>
    </w:p>
    <w:p>
      <w:pPr>
        <w:ind w:left="1"/>
        <w:spacing w:after="0"/>
        <w:tabs>
          <w:tab w:leader="none" w:pos="1521" w:val="left"/>
        </w:tabs>
        <w:rPr>
          <w:sz w:val="20"/>
          <w:szCs w:val="20"/>
          <w:color w:val="auto"/>
        </w:rPr>
      </w:pPr>
      <w:r>
        <w:rPr>
          <w:rFonts w:ascii="Arial" w:cs="Arial" w:eastAsia="Arial" w:hAnsi="Arial"/>
          <w:sz w:val="15"/>
          <w:szCs w:val="15"/>
          <w:color w:val="auto"/>
        </w:rPr>
        <w:t>Against</w:t>
      </w:r>
      <w:r>
        <w:rPr>
          <w:sz w:val="20"/>
          <w:szCs w:val="20"/>
          <w:color w:val="auto"/>
        </w:rPr>
        <w:tab/>
      </w:r>
      <w:r>
        <w:rPr>
          <w:rFonts w:ascii="Arial" w:cs="Arial" w:eastAsia="Arial" w:hAnsi="Arial"/>
          <w:sz w:val="15"/>
          <w:szCs w:val="15"/>
          <w:b w:val="1"/>
          <w:bCs w:val="1"/>
          <w:color w:val="205BA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42240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39" w:space="720"/>
            <w:col w:w="7161"/>
          </w:cols>
          <w:pgMar w:left="240" w:top="396" w:right="239" w:bottom="1440" w:gutter="0" w:footer="0" w:header="0"/>
          <w:type w:val="continuous"/>
        </w:sectPr>
      </w:pPr>
    </w:p>
    <w:p>
      <w:pPr>
        <w:spacing w:after="0" w:line="200"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ind w:left="4260"/>
              <w:spacing w:after="0"/>
              <w:rPr>
                <w:sz w:val="20"/>
                <w:szCs w:val="20"/>
                <w:color w:val="auto"/>
              </w:rPr>
            </w:pPr>
            <w:r>
              <w:rPr>
                <w:rFonts w:ascii="Arial" w:cs="Arial" w:eastAsia="Arial" w:hAnsi="Arial"/>
                <w:sz w:val="15"/>
                <w:szCs w:val="15"/>
                <w:color w:val="auto"/>
              </w:rPr>
              <w:t>Class A Stock</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42,750</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Common Stock</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1,108,059</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Options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1,723,489</w:t>
            </w:r>
          </w:p>
        </w:tc>
      </w:tr>
      <w:tr>
        <w:trPr>
          <w:trHeight w:val="347"/>
        </w:trPr>
        <w:tc>
          <w:tcPr>
            <w:tcW w:w="55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880" w:type="dxa"/>
            <w:vAlign w:val="bottom"/>
          </w:tcPr>
          <w:p>
            <w:pPr>
              <w:jc w:val="right"/>
              <w:ind w:right="426"/>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11</w:t>
            </w:r>
          </w:p>
        </w:tc>
      </w:tr>
      <w:tr>
        <w:trPr>
          <w:trHeight w:val="252"/>
        </w:trPr>
        <w:tc>
          <w:tcPr>
            <w:tcW w:w="5540" w:type="dxa"/>
            <w:vAlign w:val="bottom"/>
            <w:tcBorders>
              <w:bottom w:val="single" w:sz="8" w:color="C0C0C0"/>
            </w:tcBorders>
          </w:tcPr>
          <w:p>
            <w:pPr>
              <w:spacing w:after="0"/>
              <w:rPr>
                <w:sz w:val="21"/>
                <w:szCs w:val="21"/>
                <w:color w:val="auto"/>
              </w:rPr>
            </w:pPr>
          </w:p>
        </w:tc>
        <w:tc>
          <w:tcPr>
            <w:tcW w:w="58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4" w:name="page25"/>
    <w:bookmarkEnd w:id="24"/>
    <w:p>
      <w:pPr>
        <w:ind w:left="3"/>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60019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5" w:lineRule="exact"/>
        <w:rPr>
          <w:sz w:val="20"/>
          <w:szCs w:val="20"/>
          <w:color w:val="auto"/>
        </w:rPr>
      </w:pPr>
    </w:p>
    <w:p>
      <w:pPr>
        <w:ind w:left="3" w:right="3600"/>
        <w:spacing w:after="0" w:line="293" w:lineRule="auto"/>
        <w:rPr>
          <w:sz w:val="20"/>
          <w:szCs w:val="20"/>
          <w:color w:val="auto"/>
        </w:rPr>
      </w:pPr>
      <w:r>
        <w:rPr>
          <w:rFonts w:ascii="Arial" w:cs="Arial" w:eastAsia="Arial" w:hAnsi="Arial"/>
          <w:sz w:val="29"/>
          <w:szCs w:val="29"/>
          <w:b w:val="1"/>
          <w:bCs w:val="1"/>
          <w:color w:val="auto"/>
        </w:rPr>
        <w:t>CLASS II DIRECTORS CONTINUING IN OFFICE TERM EXPIRES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6600190" cy="2806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161" w:lineRule="exact"/>
        <w:rPr>
          <w:sz w:val="20"/>
          <w:szCs w:val="20"/>
          <w:color w:val="auto"/>
        </w:rPr>
      </w:pPr>
    </w:p>
    <w:p>
      <w:pPr>
        <w:ind w:left="83"/>
        <w:spacing w:after="0"/>
        <w:rPr>
          <w:sz w:val="20"/>
          <w:szCs w:val="20"/>
          <w:color w:val="auto"/>
        </w:rPr>
      </w:pPr>
      <w:r>
        <w:rPr>
          <w:rFonts w:ascii="Arial" w:cs="Arial" w:eastAsia="Arial" w:hAnsi="Arial"/>
          <w:sz w:val="24"/>
          <w:szCs w:val="24"/>
          <w:b w:val="1"/>
          <w:bCs w:val="1"/>
          <w:color w:val="FFFFFF"/>
        </w:rPr>
        <w:t>N. ANTHONY COLES,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1361440" cy="13449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61440"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2017</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58</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Other Public Boards</w:t>
      </w:r>
    </w:p>
    <w:p>
      <w:pPr>
        <w:spacing w:after="0" w:line="65" w:lineRule="exact"/>
        <w:rPr>
          <w:sz w:val="20"/>
          <w:szCs w:val="20"/>
          <w:color w:val="auto"/>
        </w:rPr>
      </w:pPr>
    </w:p>
    <w:p>
      <w:pPr>
        <w:ind w:left="203" w:hanging="203"/>
        <w:spacing w:after="0"/>
        <w:tabs>
          <w:tab w:leader="none" w:pos="203" w:val="left"/>
        </w:tabs>
        <w:numPr>
          <w:ilvl w:val="0"/>
          <w:numId w:val="23"/>
        </w:numPr>
        <w:rPr>
          <w:rFonts w:ascii="Arial" w:cs="Arial" w:eastAsia="Arial" w:hAnsi="Arial"/>
          <w:sz w:val="14"/>
          <w:szCs w:val="14"/>
          <w:color w:val="205BA8"/>
        </w:rPr>
      </w:pPr>
      <w:r>
        <w:rPr>
          <w:rFonts w:ascii="Arial" w:cs="Arial" w:eastAsia="Arial" w:hAnsi="Arial"/>
          <w:sz w:val="14"/>
          <w:szCs w:val="14"/>
          <w:color w:val="auto"/>
        </w:rPr>
        <w:t>McKesson Corporation</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23"/>
        </w:numPr>
        <w:rPr>
          <w:rFonts w:ascii="Arial" w:cs="Arial" w:eastAsia="Arial" w:hAnsi="Arial"/>
          <w:sz w:val="14"/>
          <w:szCs w:val="14"/>
          <w:color w:val="205BA8"/>
        </w:rPr>
      </w:pPr>
      <w:r>
        <w:rPr>
          <w:rFonts w:ascii="Arial" w:cs="Arial" w:eastAsia="Arial" w:hAnsi="Arial"/>
          <w:sz w:val="14"/>
          <w:szCs w:val="14"/>
          <w:color w:val="auto"/>
        </w:rPr>
        <w:t>CRISPR Therapeutics AG (until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Dr. Coles has served as Chairman and Chief Executive Officer of Yumanity Therapeutics, LLC, a private company focused on transforming drug discovery for neurodegenerative diseases, since 2014. Prior to this, from 2013, Dr. Coles served as Chairman and CEO of TRATE Enterprises LLC, a privately held company. Dr. Coles served as President, Chief Executive Officer and Chairman of the Board of Onyx Pharmaceuticals, Inc., a biopharmaceutical company, from 2012 until 2013, having served as its President, Chief Executive Officer, and a member of its board of directors from 2008 until 2012. Prior to joining Onyx in 2008, he was President, Chief Executive Officer, and a member of the board of directors of NPS Pharmaceuticals, Inc., a biopharmaceutical company. Before joining NPS in 2005, he served in various leadership positions in the biopharmaceutical and pharmaceutical industries, including at Merck &amp; Co., Inc., Bristol-Myers Squibb Company, and Vertex Pharmaceuticals Incorporated. In addition to having previously served as a director of Onyx and NPS, he was formerly a director of Laboratory Corporation of America Holdings, Campus Crest Communities, Inc., and CRISPR Therapeutics AG.</w:t>
      </w:r>
    </w:p>
    <w:p>
      <w:pPr>
        <w:spacing w:after="0" w:line="160" w:lineRule="exact"/>
        <w:rPr>
          <w:sz w:val="20"/>
          <w:szCs w:val="20"/>
          <w:color w:val="auto"/>
        </w:rPr>
      </w:pPr>
    </w:p>
    <w:p>
      <w:pPr>
        <w:ind w:right="580"/>
        <w:spacing w:after="0" w:line="246" w:lineRule="auto"/>
        <w:rPr>
          <w:sz w:val="20"/>
          <w:szCs w:val="20"/>
          <w:color w:val="auto"/>
        </w:rPr>
      </w:pPr>
      <w:r>
        <w:rPr>
          <w:rFonts w:ascii="Arial" w:cs="Arial" w:eastAsia="Arial" w:hAnsi="Arial"/>
          <w:sz w:val="15"/>
          <w:szCs w:val="15"/>
          <w:color w:val="auto"/>
        </w:rPr>
        <w:t>Dr. Coles has been a director of McKesson Corporation since April 2014 and serves on the Compensation Committee and the Finance Committee of its board of directors.</w:t>
      </w:r>
    </w:p>
    <w:p>
      <w:pPr>
        <w:spacing w:after="0" w:line="153"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The experience of Dr. Coles as a seasoned executive and corporate director with extensive knowledge of highly regulated biopharmaceutical and pharmaceutical companies, as well as his in-depth knowledge and understanding of the regulatory environment in which Regeneron operates, led the board to conclude that Dr. Coles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2240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spacing w:after="0"/>
              <w:rPr>
                <w:sz w:val="20"/>
                <w:szCs w:val="20"/>
                <w:color w:val="auto"/>
              </w:rPr>
            </w:pPr>
            <w:r>
              <w:rPr>
                <w:rFonts w:ascii="Arial" w:cs="Arial" w:eastAsia="Arial" w:hAnsi="Arial"/>
                <w:sz w:val="15"/>
                <w:szCs w:val="15"/>
                <w:color w:val="auto"/>
              </w:rPr>
              <w:t>Board of Directors</w:t>
            </w:r>
          </w:p>
        </w:tc>
        <w:tc>
          <w:tcPr>
            <w:tcW w:w="600" w:type="dxa"/>
            <w:vAlign w:val="bottom"/>
          </w:tcPr>
          <w:p>
            <w:pPr>
              <w:ind w:left="220"/>
              <w:spacing w:after="0"/>
              <w:rPr>
                <w:sz w:val="20"/>
                <w:szCs w:val="20"/>
                <w:color w:val="auto"/>
              </w:rPr>
            </w:pPr>
            <w:r>
              <w:rPr>
                <w:rFonts w:ascii="Arial" w:cs="Arial" w:eastAsia="Arial" w:hAnsi="Arial"/>
                <w:sz w:val="15"/>
                <w:szCs w:val="15"/>
                <w:b w:val="1"/>
                <w:bCs w:val="1"/>
                <w:color w:val="205BA8"/>
              </w:rPr>
              <w:t>6/6</w:t>
            </w:r>
          </w:p>
        </w:tc>
      </w:tr>
      <w:tr>
        <w:trPr>
          <w:trHeight w:val="221"/>
        </w:trPr>
        <w:tc>
          <w:tcPr>
            <w:tcW w:w="1440" w:type="dxa"/>
            <w:vAlign w:val="bottom"/>
          </w:tcPr>
          <w:p>
            <w:pPr>
              <w:spacing w:after="0"/>
              <w:rPr>
                <w:sz w:val="20"/>
                <w:szCs w:val="20"/>
                <w:color w:val="auto"/>
              </w:rPr>
            </w:pPr>
            <w:r>
              <w:rPr>
                <w:rFonts w:ascii="Arial" w:cs="Arial" w:eastAsia="Arial" w:hAnsi="Arial"/>
                <w:sz w:val="15"/>
                <w:szCs w:val="15"/>
                <w:color w:val="auto"/>
              </w:rPr>
              <w:t>Audit Committee</w:t>
            </w:r>
          </w:p>
        </w:tc>
        <w:tc>
          <w:tcPr>
            <w:tcW w:w="600" w:type="dxa"/>
            <w:vAlign w:val="bottom"/>
          </w:tcPr>
          <w:p>
            <w:pPr>
              <w:ind w:left="220"/>
              <w:spacing w:after="0"/>
              <w:rPr>
                <w:sz w:val="20"/>
                <w:szCs w:val="20"/>
                <w:color w:val="auto"/>
              </w:rPr>
            </w:pPr>
            <w:r>
              <w:rPr>
                <w:rFonts w:ascii="Arial" w:cs="Arial" w:eastAsia="Arial" w:hAnsi="Arial"/>
                <w:sz w:val="15"/>
                <w:szCs w:val="15"/>
                <w:b w:val="1"/>
                <w:bCs w:val="1"/>
                <w:color w:val="205BA8"/>
                <w:w w:val="95"/>
              </w:rPr>
              <w:t>10/11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3" w:space="600"/>
            <w:col w:w="6660"/>
          </w:cols>
          <w:pgMar w:left="757" w:top="396" w:right="739" w:bottom="1440" w:gutter="0" w:footer="0" w:header="0"/>
          <w:type w:val="continuous"/>
        </w:sectPr>
      </w:pPr>
    </w:p>
    <w:p>
      <w:pPr>
        <w:spacing w:after="0" w:line="173" w:lineRule="exact"/>
        <w:rPr>
          <w:sz w:val="20"/>
          <w:szCs w:val="20"/>
          <w:color w:val="auto"/>
        </w:rPr>
      </w:pPr>
    </w:p>
    <w:p>
      <w:pPr>
        <w:ind w:left="3743"/>
        <w:spacing w:after="0"/>
        <w:rPr>
          <w:sz w:val="20"/>
          <w:szCs w:val="20"/>
          <w:color w:val="auto"/>
        </w:rPr>
      </w:pPr>
      <w:r>
        <w:rPr>
          <w:rFonts w:ascii="Arial" w:cs="Arial" w:eastAsia="Arial" w:hAnsi="Arial"/>
          <w:sz w:val="14"/>
          <w:szCs w:val="14"/>
          <w:b w:val="1"/>
          <w:bCs w:val="1"/>
          <w:color w:val="D61C5A"/>
        </w:rPr>
        <w:t>Prior Voting Results — 2017</w:t>
      </w:r>
    </w:p>
    <w:p>
      <w:pPr>
        <w:spacing w:after="0" w:line="46" w:lineRule="exact"/>
        <w:rPr>
          <w:sz w:val="20"/>
          <w:szCs w:val="20"/>
          <w:color w:val="auto"/>
        </w:rPr>
      </w:pPr>
    </w:p>
    <w:p>
      <w:pPr>
        <w:ind w:left="3743"/>
        <w:spacing w:after="0"/>
        <w:tabs>
          <w:tab w:leader="none" w:pos="5262" w:val="left"/>
        </w:tabs>
        <w:rPr>
          <w:sz w:val="20"/>
          <w:szCs w:val="20"/>
          <w:color w:val="auto"/>
        </w:rPr>
      </w:pPr>
      <w:r>
        <w:rPr>
          <w:rFonts w:ascii="Arial" w:cs="Arial" w:eastAsia="Arial" w:hAnsi="Arial"/>
          <w:sz w:val="15"/>
          <w:szCs w:val="15"/>
          <w:color w:val="auto"/>
        </w:rPr>
        <w:t>For</w:t>
      </w:r>
      <w:r>
        <w:rPr>
          <w:sz w:val="20"/>
          <w:szCs w:val="20"/>
          <w:color w:val="auto"/>
        </w:rPr>
        <w:tab/>
      </w:r>
      <w:r>
        <w:rPr>
          <w:rFonts w:ascii="Arial" w:cs="Arial" w:eastAsia="Arial" w:hAnsi="Arial"/>
          <w:sz w:val="15"/>
          <w:szCs w:val="15"/>
          <w:b w:val="1"/>
          <w:bCs w:val="1"/>
          <w:color w:val="205BA8"/>
        </w:rPr>
        <w:t>99.7%</w:t>
      </w:r>
    </w:p>
    <w:p>
      <w:pPr>
        <w:spacing w:after="0" w:line="48" w:lineRule="exact"/>
        <w:rPr>
          <w:sz w:val="20"/>
          <w:szCs w:val="20"/>
          <w:color w:val="auto"/>
        </w:rPr>
      </w:pPr>
    </w:p>
    <w:p>
      <w:pPr>
        <w:ind w:left="3743"/>
        <w:spacing w:after="0"/>
        <w:tabs>
          <w:tab w:leader="none" w:pos="5262" w:val="left"/>
        </w:tabs>
        <w:rPr>
          <w:sz w:val="20"/>
          <w:szCs w:val="20"/>
          <w:color w:val="auto"/>
        </w:rPr>
      </w:pPr>
      <w:r>
        <w:rPr>
          <w:rFonts w:ascii="Arial" w:cs="Arial" w:eastAsia="Arial" w:hAnsi="Arial"/>
          <w:sz w:val="15"/>
          <w:szCs w:val="15"/>
          <w:color w:val="auto"/>
        </w:rPr>
        <w:t>Against</w:t>
      </w:r>
      <w:r>
        <w:rPr>
          <w:sz w:val="20"/>
          <w:szCs w:val="20"/>
          <w:color w:val="auto"/>
        </w:rPr>
        <w:tab/>
      </w:r>
      <w:r>
        <w:rPr>
          <w:rFonts w:ascii="Arial" w:cs="Arial" w:eastAsia="Arial" w:hAnsi="Arial"/>
          <w:sz w:val="15"/>
          <w:szCs w:val="15"/>
          <w:b w:val="1"/>
          <w:bCs w:val="1"/>
          <w:color w:val="205BA8"/>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128905</wp:posOffset>
            </wp:positionV>
            <wp:extent cx="42240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80" w:lineRule="exact"/>
        <w:rPr>
          <w:sz w:val="20"/>
          <w:szCs w:val="20"/>
          <w:color w:val="auto"/>
        </w:rPr>
      </w:pPr>
    </w:p>
    <w:p>
      <w:pPr>
        <w:ind w:left="3743"/>
        <w:spacing w:after="0"/>
        <w:rPr>
          <w:sz w:val="20"/>
          <w:szCs w:val="20"/>
          <w:color w:val="auto"/>
        </w:rPr>
      </w:pPr>
      <w:r>
        <w:rPr>
          <w:rFonts w:ascii="Arial" w:cs="Arial" w:eastAsia="Arial" w:hAnsi="Arial"/>
          <w:sz w:val="14"/>
          <w:szCs w:val="14"/>
          <w:b w:val="1"/>
          <w:bCs w:val="1"/>
          <w:color w:val="D61C5A"/>
        </w:rPr>
        <w:t>Regeneron Common Stock Beneficially Owned as of April 17, 2019</w:t>
      </w:r>
    </w:p>
    <w:p>
      <w:pPr>
        <w:spacing w:after="0" w:line="46" w:lineRule="exact"/>
        <w:rPr>
          <w:sz w:val="20"/>
          <w:szCs w:val="20"/>
          <w:color w:val="auto"/>
        </w:rPr>
      </w:pPr>
    </w:p>
    <w:p>
      <w:pPr>
        <w:ind w:left="3743"/>
        <w:spacing w:after="0"/>
        <w:tabs>
          <w:tab w:leader="none" w:pos="5262" w:val="left"/>
        </w:tabs>
        <w:rPr>
          <w:sz w:val="20"/>
          <w:szCs w:val="20"/>
          <w:color w:val="auto"/>
        </w:rPr>
      </w:pPr>
      <w:r>
        <w:rPr>
          <w:rFonts w:ascii="Arial" w:cs="Arial" w:eastAsia="Arial" w:hAnsi="Arial"/>
          <w:sz w:val="15"/>
          <w:szCs w:val="15"/>
          <w:color w:val="auto"/>
        </w:rPr>
        <w:t>Options</w:t>
      </w:r>
      <w:r>
        <w:rPr>
          <w:sz w:val="20"/>
          <w:szCs w:val="20"/>
          <w:color w:val="auto"/>
        </w:rPr>
        <w:tab/>
      </w:r>
      <w:r>
        <w:rPr>
          <w:rFonts w:ascii="Arial" w:cs="Arial" w:eastAsia="Arial" w:hAnsi="Arial"/>
          <w:sz w:val="15"/>
          <w:szCs w:val="15"/>
          <w:b w:val="1"/>
          <w:bCs w:val="1"/>
          <w:color w:val="205BA8"/>
        </w:rPr>
        <w:t>12,703</w:t>
      </w:r>
    </w:p>
    <w:p>
      <w:pPr>
        <w:spacing w:after="0" w:line="48" w:lineRule="exact"/>
        <w:rPr>
          <w:sz w:val="20"/>
          <w:szCs w:val="20"/>
          <w:color w:val="auto"/>
        </w:rPr>
      </w:pPr>
    </w:p>
    <w:p>
      <w:pPr>
        <w:ind w:left="3743"/>
        <w:spacing w:after="0"/>
        <w:tabs>
          <w:tab w:leader="none" w:pos="5262" w:val="left"/>
        </w:tabs>
        <w:rPr>
          <w:sz w:val="20"/>
          <w:szCs w:val="20"/>
          <w:color w:val="auto"/>
        </w:rPr>
      </w:pPr>
      <w:r>
        <w:rPr>
          <w:rFonts w:ascii="Arial" w:cs="Arial" w:eastAsia="Arial" w:hAnsi="Arial"/>
          <w:sz w:val="15"/>
          <w:szCs w:val="15"/>
          <w:color w:val="auto"/>
        </w:rPr>
        <w:t>RSUs</w:t>
      </w:r>
      <w:r>
        <w:rPr>
          <w:sz w:val="20"/>
          <w:szCs w:val="20"/>
          <w:color w:val="auto"/>
        </w:rPr>
        <w:tab/>
      </w:r>
      <w:r>
        <w:rPr>
          <w:rFonts w:ascii="Arial" w:cs="Arial" w:eastAsia="Arial" w:hAnsi="Arial"/>
          <w:sz w:val="15"/>
          <w:szCs w:val="15"/>
          <w:b w:val="1"/>
          <w:bCs w:val="1"/>
          <w:color w:val="205BA8"/>
        </w:rPr>
        <w:t>145</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12  /  </w:t>
      </w:r>
      <w:r>
        <w:rPr>
          <w:sz w:val="1"/>
          <w:szCs w:val="1"/>
          <w:color w:val="auto"/>
        </w:rPr>
        <w:drawing>
          <wp:inline distT="0" distB="0" distL="0" distR="0">
            <wp:extent cx="717550" cy="8255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type w:val="continuous"/>
        </w:sectPr>
      </w:pPr>
    </w:p>
    <w:bookmarkStart w:id="25" w:name="page26"/>
    <w:bookmarkEnd w:id="25"/>
    <w:p>
      <w:pPr>
        <w:ind w:left="742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280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307"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FFFFFF"/>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197485</wp:posOffset>
            </wp:positionV>
            <wp:extent cx="1361440" cy="13531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61440" cy="135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1991</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78</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Scientific Society Memberships</w:t>
      </w:r>
    </w:p>
    <w:p>
      <w:pPr>
        <w:spacing w:after="0" w:line="65" w:lineRule="exact"/>
        <w:rPr>
          <w:sz w:val="20"/>
          <w:szCs w:val="20"/>
          <w:color w:val="auto"/>
        </w:rPr>
      </w:pPr>
    </w:p>
    <w:p>
      <w:pPr>
        <w:ind w:left="720" w:hanging="203"/>
        <w:spacing w:after="0"/>
        <w:tabs>
          <w:tab w:leader="none" w:pos="720" w:val="left"/>
        </w:tabs>
        <w:numPr>
          <w:ilvl w:val="0"/>
          <w:numId w:val="24"/>
        </w:numPr>
        <w:rPr>
          <w:rFonts w:ascii="Arial" w:cs="Arial" w:eastAsia="Arial" w:hAnsi="Arial"/>
          <w:sz w:val="14"/>
          <w:szCs w:val="14"/>
          <w:color w:val="205BA8"/>
        </w:rPr>
      </w:pPr>
      <w:r>
        <w:rPr>
          <w:rFonts w:ascii="Arial" w:cs="Arial" w:eastAsia="Arial" w:hAnsi="Arial"/>
          <w:sz w:val="14"/>
          <w:szCs w:val="14"/>
          <w:color w:val="auto"/>
        </w:rPr>
        <w:t>The National Academy of Sciences</w:t>
      </w:r>
    </w:p>
    <w:p>
      <w:pPr>
        <w:spacing w:after="0" w:line="46" w:lineRule="exact"/>
        <w:rPr>
          <w:rFonts w:ascii="Arial" w:cs="Arial" w:eastAsia="Arial" w:hAnsi="Arial"/>
          <w:sz w:val="14"/>
          <w:szCs w:val="14"/>
          <w:color w:val="205BA8"/>
        </w:rPr>
      </w:pPr>
    </w:p>
    <w:p>
      <w:pPr>
        <w:ind w:left="720" w:hanging="203"/>
        <w:spacing w:after="0"/>
        <w:tabs>
          <w:tab w:leader="none" w:pos="720" w:val="left"/>
        </w:tabs>
        <w:numPr>
          <w:ilvl w:val="0"/>
          <w:numId w:val="24"/>
        </w:numPr>
        <w:rPr>
          <w:rFonts w:ascii="Arial" w:cs="Arial" w:eastAsia="Arial" w:hAnsi="Arial"/>
          <w:sz w:val="14"/>
          <w:szCs w:val="14"/>
          <w:color w:val="205BA8"/>
        </w:rPr>
      </w:pPr>
      <w:r>
        <w:rPr>
          <w:rFonts w:ascii="Arial" w:cs="Arial" w:eastAsia="Arial" w:hAnsi="Arial"/>
          <w:sz w:val="14"/>
          <w:szCs w:val="14"/>
          <w:color w:val="auto"/>
        </w:rPr>
        <w:t>The National Academy of Medicine</w:t>
      </w:r>
    </w:p>
    <w:p>
      <w:pPr>
        <w:spacing w:after="0" w:line="46" w:lineRule="exact"/>
        <w:rPr>
          <w:rFonts w:ascii="Arial" w:cs="Arial" w:eastAsia="Arial" w:hAnsi="Arial"/>
          <w:sz w:val="14"/>
          <w:szCs w:val="14"/>
          <w:color w:val="205BA8"/>
        </w:rPr>
      </w:pPr>
    </w:p>
    <w:p>
      <w:pPr>
        <w:ind w:left="720" w:hanging="203"/>
        <w:spacing w:after="0"/>
        <w:tabs>
          <w:tab w:leader="none" w:pos="720" w:val="left"/>
        </w:tabs>
        <w:numPr>
          <w:ilvl w:val="0"/>
          <w:numId w:val="24"/>
        </w:numPr>
        <w:rPr>
          <w:rFonts w:ascii="Arial" w:cs="Arial" w:eastAsia="Arial" w:hAnsi="Arial"/>
          <w:sz w:val="14"/>
          <w:szCs w:val="14"/>
          <w:color w:val="205BA8"/>
        </w:rPr>
      </w:pPr>
      <w:r>
        <w:rPr>
          <w:rFonts w:ascii="Arial" w:cs="Arial" w:eastAsia="Arial" w:hAnsi="Arial"/>
          <w:sz w:val="14"/>
          <w:szCs w:val="14"/>
          <w:color w:val="auto"/>
        </w:rPr>
        <w:t>The Royal Society of London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jc w:val="both"/>
        <w:ind w:right="560"/>
        <w:spacing w:after="0" w:line="237" w:lineRule="auto"/>
        <w:rPr>
          <w:sz w:val="20"/>
          <w:szCs w:val="20"/>
          <w:color w:val="auto"/>
        </w:rPr>
      </w:pPr>
      <w:r>
        <w:rPr>
          <w:rFonts w:ascii="Arial" w:cs="Arial" w:eastAsia="Arial" w:hAnsi="Arial"/>
          <w:sz w:val="15"/>
          <w:szCs w:val="15"/>
          <w:color w:val="auto"/>
        </w:rPr>
        <w:t>Dr. Goldstein has been a Professor of Molecular Genetics and Internal Medicine and the Chairman of the Department of Molecular Genetics at The University of Texas Southwestern Medical Center at Dallas since 1977. Dr. Goldstein is a member of the National Academy of Sciences, the National Academy of Medicine, and the Royal Society of London. He also serves on the Boards of Trustees of The Rockefeller University and the Howard Hughes Medical Institute. Drs. Goldstein and Brown jointly received the Nobel Prize for Physiology or Medicine in 1985 and the U.S. National Medal of Science in 1988.</w:t>
      </w:r>
    </w:p>
    <w:p>
      <w:pPr>
        <w:spacing w:after="0" w:line="159" w:lineRule="exact"/>
        <w:rPr>
          <w:sz w:val="20"/>
          <w:szCs w:val="20"/>
          <w:color w:val="auto"/>
        </w:rPr>
      </w:pPr>
    </w:p>
    <w:p>
      <w:pPr>
        <w:ind w:right="580"/>
        <w:spacing w:after="0" w:line="239" w:lineRule="auto"/>
        <w:rPr>
          <w:sz w:val="20"/>
          <w:szCs w:val="20"/>
          <w:color w:val="auto"/>
        </w:rPr>
      </w:pPr>
      <w:r>
        <w:rPr>
          <w:rFonts w:ascii="Arial" w:cs="Arial" w:eastAsia="Arial" w:hAnsi="Arial"/>
          <w:sz w:val="15"/>
          <w:szCs w:val="15"/>
          <w:color w:val="auto"/>
        </w:rPr>
        <w:t>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the board to conclude that Dr. Goldstein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2240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00" w:type="dxa"/>
            <w:vAlign w:val="bottom"/>
          </w:tcPr>
          <w:p>
            <w:pPr>
              <w:spacing w:after="0"/>
              <w:rPr>
                <w:sz w:val="20"/>
                <w:szCs w:val="20"/>
                <w:color w:val="auto"/>
              </w:rPr>
            </w:pPr>
            <w:r>
              <w:rPr>
                <w:rFonts w:ascii="Arial" w:cs="Arial" w:eastAsia="Arial" w:hAnsi="Arial"/>
                <w:sz w:val="15"/>
                <w:szCs w:val="15"/>
                <w:color w:val="auto"/>
              </w:rPr>
              <w:t>Board of Directors</w:t>
            </w:r>
          </w:p>
        </w:tc>
        <w:tc>
          <w:tcPr>
            <w:tcW w:w="840" w:type="dxa"/>
            <w:vAlign w:val="bottom"/>
          </w:tcPr>
          <w:p>
            <w:pPr>
              <w:ind w:left="460"/>
              <w:spacing w:after="0"/>
              <w:rPr>
                <w:sz w:val="20"/>
                <w:szCs w:val="20"/>
                <w:color w:val="auto"/>
              </w:rPr>
            </w:pPr>
            <w:r>
              <w:rPr>
                <w:rFonts w:ascii="Arial" w:cs="Arial" w:eastAsia="Arial" w:hAnsi="Arial"/>
                <w:sz w:val="15"/>
                <w:szCs w:val="15"/>
                <w:b w:val="1"/>
                <w:bCs w:val="1"/>
                <w:color w:val="205BA8"/>
              </w:rPr>
              <w:t>6/6</w:t>
            </w:r>
          </w:p>
        </w:tc>
      </w:tr>
      <w:tr>
        <w:trPr>
          <w:trHeight w:val="221"/>
        </w:trPr>
        <w:tc>
          <w:tcPr>
            <w:tcW w:w="2200" w:type="dxa"/>
            <w:vAlign w:val="bottom"/>
          </w:tcPr>
          <w:p>
            <w:pPr>
              <w:spacing w:after="0"/>
              <w:rPr>
                <w:sz w:val="20"/>
                <w:szCs w:val="20"/>
                <w:color w:val="auto"/>
              </w:rPr>
            </w:pPr>
            <w:r>
              <w:rPr>
                <w:rFonts w:ascii="Arial" w:cs="Arial" w:eastAsia="Arial" w:hAnsi="Arial"/>
                <w:sz w:val="15"/>
                <w:szCs w:val="15"/>
                <w:color w:val="auto"/>
              </w:rPr>
              <w:t>Compensation Committee</w:t>
            </w:r>
          </w:p>
        </w:tc>
        <w:tc>
          <w:tcPr>
            <w:tcW w:w="840" w:type="dxa"/>
            <w:vAlign w:val="bottom"/>
          </w:tcPr>
          <w:p>
            <w:pPr>
              <w:ind w:left="460"/>
              <w:spacing w:after="0"/>
              <w:rPr>
                <w:sz w:val="20"/>
                <w:szCs w:val="20"/>
                <w:color w:val="auto"/>
              </w:rPr>
            </w:pPr>
            <w:r>
              <w:rPr>
                <w:rFonts w:ascii="Arial" w:cs="Arial" w:eastAsia="Arial" w:hAnsi="Arial"/>
                <w:sz w:val="15"/>
                <w:szCs w:val="15"/>
                <w:b w:val="1"/>
                <w:bCs w:val="1"/>
                <w:color w:val="205BA8"/>
                <w:w w:val="95"/>
              </w:rPr>
              <w:t>10/10</w:t>
            </w:r>
          </w:p>
        </w:tc>
      </w:tr>
      <w:tr>
        <w:trPr>
          <w:trHeight w:val="221"/>
        </w:trPr>
        <w:tc>
          <w:tcPr>
            <w:tcW w:w="2200" w:type="dxa"/>
            <w:vAlign w:val="bottom"/>
          </w:tcPr>
          <w:p>
            <w:pPr>
              <w:spacing w:after="0"/>
              <w:rPr>
                <w:sz w:val="20"/>
                <w:szCs w:val="20"/>
                <w:color w:val="auto"/>
              </w:rPr>
            </w:pPr>
            <w:r>
              <w:rPr>
                <w:rFonts w:ascii="Arial" w:cs="Arial" w:eastAsia="Arial" w:hAnsi="Arial"/>
                <w:sz w:val="15"/>
                <w:szCs w:val="15"/>
                <w:color w:val="auto"/>
              </w:rPr>
              <w:t>Technology Committee</w:t>
            </w:r>
          </w:p>
        </w:tc>
        <w:tc>
          <w:tcPr>
            <w:tcW w:w="840" w:type="dxa"/>
            <w:vAlign w:val="bottom"/>
          </w:tcPr>
          <w:p>
            <w:pPr>
              <w:ind w:left="460"/>
              <w:spacing w:after="0"/>
              <w:rPr>
                <w:sz w:val="20"/>
                <w:szCs w:val="20"/>
                <w:color w:val="auto"/>
              </w:rPr>
            </w:pPr>
            <w:r>
              <w:rPr>
                <w:rFonts w:ascii="Arial" w:cs="Arial" w:eastAsia="Arial" w:hAnsi="Arial"/>
                <w:sz w:val="15"/>
                <w:szCs w:val="15"/>
                <w:b w:val="1"/>
                <w:bCs w:val="1"/>
                <w:color w:val="205BA8"/>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Prior Voting Results —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20" w:type="dxa"/>
            <w:vAlign w:val="bottom"/>
          </w:tcPr>
          <w:p>
            <w:pPr>
              <w:spacing w:after="0"/>
              <w:rPr>
                <w:sz w:val="20"/>
                <w:szCs w:val="20"/>
                <w:color w:val="auto"/>
              </w:rPr>
            </w:pPr>
            <w:r>
              <w:rPr>
                <w:rFonts w:ascii="Arial" w:cs="Arial" w:eastAsia="Arial" w:hAnsi="Arial"/>
                <w:sz w:val="15"/>
                <w:szCs w:val="15"/>
                <w:color w:val="auto"/>
              </w:rPr>
              <w:t>For</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205BA8"/>
              </w:rPr>
              <w:t>84.6%</w:t>
            </w:r>
          </w:p>
        </w:tc>
      </w:tr>
      <w:tr>
        <w:trPr>
          <w:trHeight w:val="221"/>
        </w:trPr>
        <w:tc>
          <w:tcPr>
            <w:tcW w:w="1020" w:type="dxa"/>
            <w:vAlign w:val="bottom"/>
          </w:tcPr>
          <w:p>
            <w:pPr>
              <w:spacing w:after="0"/>
              <w:rPr>
                <w:sz w:val="20"/>
                <w:szCs w:val="20"/>
                <w:color w:val="auto"/>
              </w:rPr>
            </w:pPr>
            <w:r>
              <w:rPr>
                <w:rFonts w:ascii="Arial" w:cs="Arial" w:eastAsia="Arial" w:hAnsi="Arial"/>
                <w:sz w:val="15"/>
                <w:szCs w:val="15"/>
                <w:color w:val="auto"/>
              </w:rPr>
              <w:t>Against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205BA8"/>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260"/>
            <w:col w:w="7160"/>
          </w:cols>
          <w:pgMar w:left="240" w:top="396" w:right="239" w:bottom="1440" w:gutter="0" w:footer="0" w:header="0"/>
          <w:type w:val="continuous"/>
        </w:sectPr>
      </w:pPr>
    </w:p>
    <w:p>
      <w:pPr>
        <w:spacing w:after="0" w:line="17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ind w:left="4260"/>
              <w:spacing w:after="0"/>
              <w:rPr>
                <w:sz w:val="20"/>
                <w:szCs w:val="20"/>
                <w:color w:val="auto"/>
              </w:rPr>
            </w:pPr>
            <w:r>
              <w:rPr>
                <w:rFonts w:ascii="Arial" w:cs="Arial" w:eastAsia="Arial" w:hAnsi="Arial"/>
                <w:sz w:val="15"/>
                <w:szCs w:val="15"/>
                <w:color w:val="auto"/>
              </w:rPr>
              <w:t>Common Stock</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12,000</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Options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34,450</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RSUs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145</w:t>
            </w:r>
          </w:p>
        </w:tc>
      </w:tr>
      <w:tr>
        <w:trPr>
          <w:trHeight w:val="347"/>
        </w:trPr>
        <w:tc>
          <w:tcPr>
            <w:tcW w:w="55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880" w:type="dxa"/>
            <w:vAlign w:val="bottom"/>
          </w:tcPr>
          <w:p>
            <w:pPr>
              <w:jc w:val="right"/>
              <w:ind w:right="426"/>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13</w:t>
            </w:r>
          </w:p>
        </w:tc>
      </w:tr>
      <w:tr>
        <w:trPr>
          <w:trHeight w:val="252"/>
        </w:trPr>
        <w:tc>
          <w:tcPr>
            <w:tcW w:w="5540" w:type="dxa"/>
            <w:vAlign w:val="bottom"/>
            <w:tcBorders>
              <w:bottom w:val="single" w:sz="8" w:color="C0C0C0"/>
            </w:tcBorders>
          </w:tcPr>
          <w:p>
            <w:pPr>
              <w:spacing w:after="0"/>
              <w:rPr>
                <w:sz w:val="21"/>
                <w:szCs w:val="21"/>
                <w:color w:val="auto"/>
              </w:rPr>
            </w:pPr>
          </w:p>
        </w:tc>
        <w:tc>
          <w:tcPr>
            <w:tcW w:w="58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6" w:name="page27"/>
    <w:bookmarkEnd w:id="26"/>
    <w:p>
      <w:pPr>
        <w:ind w:left="3"/>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660019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163830</wp:posOffset>
            </wp:positionV>
            <wp:extent cx="6600190" cy="2806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307" w:lineRule="exact"/>
        <w:rPr>
          <w:sz w:val="20"/>
          <w:szCs w:val="20"/>
          <w:color w:val="auto"/>
        </w:rPr>
      </w:pPr>
    </w:p>
    <w:p>
      <w:pPr>
        <w:ind w:left="83"/>
        <w:spacing w:after="0"/>
        <w:rPr>
          <w:sz w:val="20"/>
          <w:szCs w:val="20"/>
          <w:color w:val="auto"/>
        </w:rPr>
      </w:pPr>
      <w:r>
        <w:rPr>
          <w:rFonts w:ascii="Arial" w:cs="Arial" w:eastAsia="Arial" w:hAnsi="Arial"/>
          <w:sz w:val="24"/>
          <w:szCs w:val="24"/>
          <w:b w:val="1"/>
          <w:bCs w:val="1"/>
          <w:color w:val="FFFFFF"/>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1361440" cy="1361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2010</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66</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Other Public Boards</w:t>
      </w:r>
    </w:p>
    <w:p>
      <w:pPr>
        <w:spacing w:after="0" w:line="65" w:lineRule="exact"/>
        <w:rPr>
          <w:sz w:val="20"/>
          <w:szCs w:val="20"/>
          <w:color w:val="auto"/>
        </w:rPr>
      </w:pPr>
    </w:p>
    <w:p>
      <w:pPr>
        <w:ind w:left="203" w:hanging="203"/>
        <w:spacing w:after="0"/>
        <w:tabs>
          <w:tab w:leader="none" w:pos="203" w:val="left"/>
        </w:tabs>
        <w:numPr>
          <w:ilvl w:val="0"/>
          <w:numId w:val="25"/>
        </w:numPr>
        <w:rPr>
          <w:rFonts w:ascii="Arial" w:cs="Arial" w:eastAsia="Arial" w:hAnsi="Arial"/>
          <w:sz w:val="14"/>
          <w:szCs w:val="14"/>
          <w:color w:val="205BA8"/>
        </w:rPr>
      </w:pPr>
      <w:r>
        <w:rPr>
          <w:rFonts w:ascii="Arial" w:cs="Arial" w:eastAsia="Arial" w:hAnsi="Arial"/>
          <w:sz w:val="14"/>
          <w:szCs w:val="14"/>
          <w:color w:val="auto"/>
        </w:rPr>
        <w:t>Prudential Financial, Inc.</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25"/>
        </w:numPr>
        <w:rPr>
          <w:rFonts w:ascii="Arial" w:cs="Arial" w:eastAsia="Arial" w:hAnsi="Arial"/>
          <w:sz w:val="14"/>
          <w:szCs w:val="14"/>
          <w:color w:val="205BA8"/>
        </w:rPr>
      </w:pPr>
      <w:r>
        <w:rPr>
          <w:rFonts w:ascii="Arial" w:cs="Arial" w:eastAsia="Arial" w:hAnsi="Arial"/>
          <w:sz w:val="14"/>
          <w:szCs w:val="14"/>
          <w:color w:val="auto"/>
        </w:rPr>
        <w:t>The Sherwin-Williams Company</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25"/>
        </w:numPr>
        <w:rPr>
          <w:rFonts w:ascii="Arial" w:cs="Arial" w:eastAsia="Arial" w:hAnsi="Arial"/>
          <w:sz w:val="14"/>
          <w:szCs w:val="14"/>
          <w:color w:val="205BA8"/>
        </w:rPr>
      </w:pPr>
      <w:r>
        <w:rPr>
          <w:rFonts w:ascii="Arial" w:cs="Arial" w:eastAsia="Arial" w:hAnsi="Arial"/>
          <w:sz w:val="14"/>
          <w:szCs w:val="14"/>
          <w:color w:val="auto"/>
        </w:rPr>
        <w:t>Royal Philips Electronics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-94615</wp:posOffset>
            </wp:positionV>
            <wp:extent cx="717550" cy="82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Ms. Poon is an Executive-in-Residence in the Department of Management and Human Resources at The Max M. Fisher College of Business at The Ohio State University, where she served as Dean and the John W. Berry, Sr. Chair in Business from 2009 to 2014.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 Ms. Poon serves on the boards of directors of Prudential Financial, Inc. and The Sherwin-Williams Company and the Supervisory Board of Royal Philips Electronics.</w:t>
      </w:r>
    </w:p>
    <w:p>
      <w:pPr>
        <w:spacing w:after="0" w:line="161"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2240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80" w:type="dxa"/>
            <w:vAlign w:val="bottom"/>
          </w:tcPr>
          <w:p>
            <w:pPr>
              <w:spacing w:after="0"/>
              <w:rPr>
                <w:sz w:val="20"/>
                <w:szCs w:val="20"/>
                <w:color w:val="auto"/>
              </w:rPr>
            </w:pPr>
            <w:r>
              <w:rPr>
                <w:rFonts w:ascii="Arial" w:cs="Arial" w:eastAsia="Arial" w:hAnsi="Arial"/>
                <w:sz w:val="15"/>
                <w:szCs w:val="15"/>
                <w:color w:val="auto"/>
              </w:rPr>
              <w:t>Board of Directors</w:t>
            </w:r>
          </w:p>
        </w:tc>
        <w:tc>
          <w:tcPr>
            <w:tcW w:w="2340" w:type="dxa"/>
            <w:vAlign w:val="bottom"/>
          </w:tcPr>
          <w:p>
            <w:pPr>
              <w:spacing w:after="0"/>
              <w:rPr>
                <w:sz w:val="17"/>
                <w:szCs w:val="17"/>
                <w:color w:val="auto"/>
              </w:rPr>
            </w:pPr>
          </w:p>
        </w:tc>
        <w:tc>
          <w:tcPr>
            <w:tcW w:w="2940" w:type="dxa"/>
            <w:vAlign w:val="bottom"/>
          </w:tcPr>
          <w:p>
            <w:pPr>
              <w:ind w:left="280"/>
              <w:spacing w:after="0"/>
              <w:rPr>
                <w:sz w:val="20"/>
                <w:szCs w:val="20"/>
                <w:color w:val="auto"/>
              </w:rPr>
            </w:pPr>
            <w:r>
              <w:rPr>
                <w:rFonts w:ascii="Arial" w:cs="Arial" w:eastAsia="Arial" w:hAnsi="Arial"/>
                <w:sz w:val="15"/>
                <w:szCs w:val="15"/>
                <w:b w:val="1"/>
                <w:bCs w:val="1"/>
                <w:color w:val="205BA8"/>
              </w:rPr>
              <w:t>6/6</w:t>
            </w:r>
          </w:p>
        </w:tc>
      </w:tr>
      <w:tr>
        <w:trPr>
          <w:trHeight w:val="221"/>
        </w:trPr>
        <w:tc>
          <w:tcPr>
            <w:tcW w:w="3720" w:type="dxa"/>
            <w:vAlign w:val="bottom"/>
            <w:gridSpan w:val="2"/>
          </w:tcPr>
          <w:p>
            <w:pPr>
              <w:spacing w:after="0"/>
              <w:rPr>
                <w:sz w:val="20"/>
                <w:szCs w:val="20"/>
                <w:color w:val="auto"/>
              </w:rPr>
            </w:pPr>
            <w:r>
              <w:rPr>
                <w:rFonts w:ascii="Arial" w:cs="Arial" w:eastAsia="Arial" w:hAnsi="Arial"/>
                <w:sz w:val="15"/>
                <w:szCs w:val="15"/>
                <w:color w:val="auto"/>
              </w:rPr>
              <w:t>Compensation Committee (Chairperson)</w:t>
            </w:r>
          </w:p>
        </w:tc>
        <w:tc>
          <w:tcPr>
            <w:tcW w:w="2940" w:type="dxa"/>
            <w:vAlign w:val="bottom"/>
          </w:tcPr>
          <w:p>
            <w:pPr>
              <w:ind w:left="280"/>
              <w:spacing w:after="0"/>
              <w:rPr>
                <w:sz w:val="20"/>
                <w:szCs w:val="20"/>
                <w:color w:val="auto"/>
              </w:rPr>
            </w:pPr>
            <w:r>
              <w:rPr>
                <w:rFonts w:ascii="Arial" w:cs="Arial" w:eastAsia="Arial" w:hAnsi="Arial"/>
                <w:sz w:val="15"/>
                <w:szCs w:val="15"/>
                <w:b w:val="1"/>
                <w:bCs w:val="1"/>
                <w:color w:val="205BA8"/>
              </w:rPr>
              <w:t>10/10</w:t>
            </w:r>
          </w:p>
        </w:tc>
      </w:tr>
      <w:tr>
        <w:trPr>
          <w:trHeight w:val="221"/>
        </w:trPr>
        <w:tc>
          <w:tcPr>
            <w:tcW w:w="3720" w:type="dxa"/>
            <w:vAlign w:val="bottom"/>
            <w:gridSpan w:val="2"/>
          </w:tcPr>
          <w:p>
            <w:pPr>
              <w:spacing w:after="0"/>
              <w:rPr>
                <w:sz w:val="20"/>
                <w:szCs w:val="20"/>
                <w:color w:val="auto"/>
              </w:rPr>
            </w:pPr>
            <w:r>
              <w:rPr>
                <w:rFonts w:ascii="Arial" w:cs="Arial" w:eastAsia="Arial" w:hAnsi="Arial"/>
                <w:sz w:val="15"/>
                <w:szCs w:val="15"/>
                <w:color w:val="auto"/>
              </w:rPr>
              <w:t>Corporate Governance and Compliance Committee</w:t>
            </w:r>
          </w:p>
        </w:tc>
        <w:tc>
          <w:tcPr>
            <w:tcW w:w="2940" w:type="dxa"/>
            <w:vAlign w:val="bottom"/>
          </w:tcPr>
          <w:p>
            <w:pPr>
              <w:ind w:left="280"/>
              <w:spacing w:after="0"/>
              <w:rPr>
                <w:sz w:val="20"/>
                <w:szCs w:val="20"/>
                <w:color w:val="auto"/>
              </w:rPr>
            </w:pPr>
            <w:r>
              <w:rPr>
                <w:rFonts w:ascii="Arial" w:cs="Arial" w:eastAsia="Arial" w:hAnsi="Arial"/>
                <w:sz w:val="15"/>
                <w:szCs w:val="15"/>
                <w:b w:val="1"/>
                <w:bCs w:val="1"/>
                <w:color w:val="205BA8"/>
              </w:rPr>
              <w:t>5/5</w:t>
            </w:r>
          </w:p>
        </w:tc>
      </w:tr>
      <w:tr>
        <w:trPr>
          <w:trHeight w:val="177"/>
        </w:trPr>
        <w:tc>
          <w:tcPr>
            <w:tcW w:w="3720" w:type="dxa"/>
            <w:vAlign w:val="bottom"/>
            <w:tcBorders>
              <w:bottom w:val="single" w:sz="8" w:color="auto"/>
            </w:tcBorders>
            <w:gridSpan w:val="2"/>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r>
      <w:tr>
        <w:trPr>
          <w:trHeight w:val="358"/>
        </w:trPr>
        <w:tc>
          <w:tcPr>
            <w:tcW w:w="3720" w:type="dxa"/>
            <w:vAlign w:val="bottom"/>
            <w:gridSpan w:val="2"/>
          </w:tcPr>
          <w:p>
            <w:pPr>
              <w:spacing w:after="0"/>
              <w:rPr>
                <w:sz w:val="20"/>
                <w:szCs w:val="20"/>
                <w:color w:val="auto"/>
              </w:rPr>
            </w:pPr>
            <w:r>
              <w:rPr>
                <w:rFonts w:ascii="Arial" w:cs="Arial" w:eastAsia="Arial" w:hAnsi="Arial"/>
                <w:sz w:val="14"/>
                <w:szCs w:val="14"/>
                <w:b w:val="1"/>
                <w:bCs w:val="1"/>
                <w:color w:val="D61C5A"/>
              </w:rPr>
              <w:t>Prior Voting Results — 2017</w:t>
            </w:r>
          </w:p>
        </w:tc>
        <w:tc>
          <w:tcPr>
            <w:tcW w:w="2940" w:type="dxa"/>
            <w:vAlign w:val="bottom"/>
          </w:tcPr>
          <w:p>
            <w:pPr>
              <w:spacing w:after="0"/>
              <w:rPr>
                <w:sz w:val="24"/>
                <w:szCs w:val="24"/>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color w:val="auto"/>
              </w:rPr>
              <w:t>For</w:t>
            </w:r>
          </w:p>
        </w:tc>
        <w:tc>
          <w:tcPr>
            <w:tcW w:w="2340" w:type="dxa"/>
            <w:vAlign w:val="bottom"/>
          </w:tcPr>
          <w:p>
            <w:pPr>
              <w:jc w:val="right"/>
              <w:ind w:right="1684"/>
              <w:spacing w:after="0"/>
              <w:rPr>
                <w:sz w:val="20"/>
                <w:szCs w:val="20"/>
                <w:color w:val="auto"/>
              </w:rPr>
            </w:pPr>
            <w:r>
              <w:rPr>
                <w:rFonts w:ascii="Arial" w:cs="Arial" w:eastAsia="Arial" w:hAnsi="Arial"/>
                <w:sz w:val="15"/>
                <w:szCs w:val="15"/>
                <w:b w:val="1"/>
                <w:bCs w:val="1"/>
                <w:color w:val="205BA8"/>
              </w:rPr>
              <w:t>84.0%</w:t>
            </w:r>
          </w:p>
        </w:tc>
        <w:tc>
          <w:tcPr>
            <w:tcW w:w="2940" w:type="dxa"/>
            <w:vAlign w:val="bottom"/>
          </w:tcPr>
          <w:p>
            <w:pPr>
              <w:spacing w:after="0"/>
              <w:rPr>
                <w:sz w:val="19"/>
                <w:szCs w:val="19"/>
                <w:color w:val="auto"/>
              </w:rPr>
            </w:pPr>
          </w:p>
        </w:tc>
      </w:tr>
      <w:tr>
        <w:trPr>
          <w:trHeight w:val="221"/>
        </w:trPr>
        <w:tc>
          <w:tcPr>
            <w:tcW w:w="1380" w:type="dxa"/>
            <w:vAlign w:val="bottom"/>
          </w:tcPr>
          <w:p>
            <w:pPr>
              <w:spacing w:after="0"/>
              <w:rPr>
                <w:sz w:val="20"/>
                <w:szCs w:val="20"/>
                <w:color w:val="auto"/>
              </w:rPr>
            </w:pPr>
            <w:r>
              <w:rPr>
                <w:rFonts w:ascii="Arial" w:cs="Arial" w:eastAsia="Arial" w:hAnsi="Arial"/>
                <w:sz w:val="15"/>
                <w:szCs w:val="15"/>
                <w:color w:val="auto"/>
              </w:rPr>
              <w:t>Against</w:t>
            </w:r>
          </w:p>
        </w:tc>
        <w:tc>
          <w:tcPr>
            <w:tcW w:w="2340" w:type="dxa"/>
            <w:vAlign w:val="bottom"/>
          </w:tcPr>
          <w:p>
            <w:pPr>
              <w:jc w:val="right"/>
              <w:ind w:right="1684"/>
              <w:spacing w:after="0"/>
              <w:rPr>
                <w:sz w:val="20"/>
                <w:szCs w:val="20"/>
                <w:color w:val="auto"/>
              </w:rPr>
            </w:pPr>
            <w:r>
              <w:rPr>
                <w:rFonts w:ascii="Arial" w:cs="Arial" w:eastAsia="Arial" w:hAnsi="Arial"/>
                <w:sz w:val="15"/>
                <w:szCs w:val="15"/>
                <w:b w:val="1"/>
                <w:bCs w:val="1"/>
                <w:color w:val="205BA8"/>
              </w:rPr>
              <w:t>16.0%</w:t>
            </w: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80" w:type="dxa"/>
            <w:vAlign w:val="bottom"/>
          </w:tcPr>
          <w:p>
            <w:pPr>
              <w:spacing w:after="0"/>
              <w:rPr>
                <w:sz w:val="20"/>
                <w:szCs w:val="20"/>
                <w:color w:val="auto"/>
              </w:rPr>
            </w:pPr>
            <w:r>
              <w:rPr>
                <w:rFonts w:ascii="Arial" w:cs="Arial" w:eastAsia="Arial" w:hAnsi="Arial"/>
                <w:sz w:val="15"/>
                <w:szCs w:val="15"/>
                <w:color w:val="auto"/>
              </w:rPr>
              <w:t>Common Stock</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205BA8"/>
              </w:rPr>
              <w:t>790</w:t>
            </w:r>
          </w:p>
        </w:tc>
      </w:tr>
      <w:tr>
        <w:trPr>
          <w:trHeight w:val="221"/>
        </w:trPr>
        <w:tc>
          <w:tcPr>
            <w:tcW w:w="128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205BA8"/>
                <w:w w:val="95"/>
              </w:rPr>
              <w:t>111,730</w:t>
            </w:r>
          </w:p>
        </w:tc>
      </w:tr>
      <w:tr>
        <w:trPr>
          <w:trHeight w:val="221"/>
        </w:trPr>
        <w:tc>
          <w:tcPr>
            <w:tcW w:w="1280" w:type="dxa"/>
            <w:vAlign w:val="bottom"/>
          </w:tcPr>
          <w:p>
            <w:pPr>
              <w:spacing w:after="0"/>
              <w:rPr>
                <w:sz w:val="20"/>
                <w:szCs w:val="20"/>
                <w:color w:val="auto"/>
              </w:rPr>
            </w:pPr>
            <w:r>
              <w:rPr>
                <w:rFonts w:ascii="Arial" w:cs="Arial" w:eastAsia="Arial" w:hAnsi="Arial"/>
                <w:sz w:val="15"/>
                <w:szCs w:val="15"/>
                <w:color w:val="auto"/>
              </w:rPr>
              <w:t>RSUs</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205BA8"/>
              </w:rPr>
              <w:t>145</w:t>
            </w:r>
          </w:p>
        </w:tc>
      </w:tr>
    </w:tbl>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164465</wp:posOffset>
            </wp:positionV>
            <wp:extent cx="7251700"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3023" w:space="720"/>
            <w:col w:w="6660"/>
          </w:cols>
          <w:pgMar w:left="757" w:top="396" w:right="739" w:bottom="1440" w:gutter="0" w:footer="0" w:header="0"/>
          <w:type w:val="continuous"/>
        </w:sectPr>
      </w:pPr>
    </w:p>
    <w:bookmarkStart w:id="27" w:name="page28"/>
    <w:bookmarkEnd w:id="27"/>
    <w:p>
      <w:pPr>
        <w:ind w:left="742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2806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30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P. ROY VAGELOS,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205105</wp:posOffset>
            </wp:positionV>
            <wp:extent cx="1361440" cy="13614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1995</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89</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Scientific Society Memberships</w:t>
      </w:r>
    </w:p>
    <w:p>
      <w:pPr>
        <w:spacing w:after="0" w:line="65" w:lineRule="exact"/>
        <w:rPr>
          <w:sz w:val="20"/>
          <w:szCs w:val="20"/>
          <w:color w:val="auto"/>
        </w:rPr>
      </w:pPr>
    </w:p>
    <w:p>
      <w:pPr>
        <w:ind w:left="720" w:hanging="203"/>
        <w:spacing w:after="0"/>
        <w:tabs>
          <w:tab w:leader="none" w:pos="720" w:val="left"/>
        </w:tabs>
        <w:numPr>
          <w:ilvl w:val="0"/>
          <w:numId w:val="26"/>
        </w:numPr>
        <w:rPr>
          <w:rFonts w:ascii="Arial" w:cs="Arial" w:eastAsia="Arial" w:hAnsi="Arial"/>
          <w:sz w:val="14"/>
          <w:szCs w:val="14"/>
          <w:color w:val="205BA8"/>
        </w:rPr>
      </w:pPr>
      <w:r>
        <w:rPr>
          <w:rFonts w:ascii="Arial" w:cs="Arial" w:eastAsia="Arial" w:hAnsi="Arial"/>
          <w:sz w:val="14"/>
          <w:szCs w:val="14"/>
          <w:color w:val="auto"/>
        </w:rPr>
        <w:t>The National Academy of Sciences</w:t>
      </w:r>
    </w:p>
    <w:p>
      <w:pPr>
        <w:spacing w:after="0" w:line="46" w:lineRule="exact"/>
        <w:rPr>
          <w:rFonts w:ascii="Arial" w:cs="Arial" w:eastAsia="Arial" w:hAnsi="Arial"/>
          <w:sz w:val="14"/>
          <w:szCs w:val="14"/>
          <w:color w:val="205BA8"/>
        </w:rPr>
      </w:pPr>
    </w:p>
    <w:p>
      <w:pPr>
        <w:ind w:left="720" w:hanging="203"/>
        <w:spacing w:after="0"/>
        <w:tabs>
          <w:tab w:leader="none" w:pos="720" w:val="left"/>
        </w:tabs>
        <w:numPr>
          <w:ilvl w:val="0"/>
          <w:numId w:val="26"/>
        </w:numPr>
        <w:rPr>
          <w:rFonts w:ascii="Arial" w:cs="Arial" w:eastAsia="Arial" w:hAnsi="Arial"/>
          <w:sz w:val="14"/>
          <w:szCs w:val="14"/>
          <w:color w:val="205BA8"/>
        </w:rPr>
      </w:pPr>
      <w:r>
        <w:rPr>
          <w:rFonts w:ascii="Arial" w:cs="Arial" w:eastAsia="Arial" w:hAnsi="Arial"/>
          <w:sz w:val="14"/>
          <w:szCs w:val="14"/>
          <w:color w:val="auto"/>
        </w:rPr>
        <w:t>The National Academy of Medicine</w:t>
      </w:r>
    </w:p>
    <w:p>
      <w:pPr>
        <w:spacing w:after="0" w:line="46" w:lineRule="exact"/>
        <w:rPr>
          <w:rFonts w:ascii="Arial" w:cs="Arial" w:eastAsia="Arial" w:hAnsi="Arial"/>
          <w:sz w:val="14"/>
          <w:szCs w:val="14"/>
          <w:color w:val="205BA8"/>
        </w:rPr>
      </w:pPr>
    </w:p>
    <w:p>
      <w:pPr>
        <w:ind w:left="720" w:hanging="203"/>
        <w:spacing w:after="0"/>
        <w:tabs>
          <w:tab w:leader="none" w:pos="720" w:val="left"/>
        </w:tabs>
        <w:numPr>
          <w:ilvl w:val="0"/>
          <w:numId w:val="26"/>
        </w:numPr>
        <w:rPr>
          <w:rFonts w:ascii="Arial" w:cs="Arial" w:eastAsia="Arial" w:hAnsi="Arial"/>
          <w:sz w:val="14"/>
          <w:szCs w:val="14"/>
          <w:color w:val="205BA8"/>
        </w:rPr>
      </w:pPr>
      <w:r>
        <w:rPr>
          <w:rFonts w:ascii="Arial" w:cs="Arial" w:eastAsia="Arial" w:hAnsi="Arial"/>
          <w:sz w:val="14"/>
          <w:szCs w:val="14"/>
          <w:color w:val="auto"/>
        </w:rPr>
        <w:t>The American Philosophical Society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620"/>
        <w:spacing w:after="0" w:line="235" w:lineRule="auto"/>
        <w:rPr>
          <w:sz w:val="20"/>
          <w:szCs w:val="20"/>
          <w:color w:val="auto"/>
        </w:rPr>
      </w:pPr>
      <w:r>
        <w:rPr>
          <w:rFonts w:ascii="Arial" w:cs="Arial" w:eastAsia="Arial" w:hAnsi="Arial"/>
          <w:sz w:val="15"/>
          <w:szCs w:val="15"/>
          <w:color w:val="auto"/>
        </w:rPr>
        <w:t>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served on the board of directors of Theravance, Inc. from 1996 to 2010. Dr. Vagelos is a member of the National Academy of Sciences, the National Academy of Medicine, and the American Philosophical Society. During his tenure as Chairman of Regeneron and previously as Chairman and Chief Executive Officer of Merck,</w:t>
      </w:r>
    </w:p>
    <w:p>
      <w:pPr>
        <w:jc w:val="both"/>
        <w:ind w:right="540"/>
        <w:spacing w:after="0" w:line="246" w:lineRule="auto"/>
        <w:rPr>
          <w:sz w:val="20"/>
          <w:szCs w:val="20"/>
          <w:color w:val="auto"/>
        </w:rPr>
      </w:pPr>
      <w:r>
        <w:rPr>
          <w:rFonts w:ascii="Arial" w:cs="Arial" w:eastAsia="Arial" w:hAnsi="Arial"/>
          <w:sz w:val="15"/>
          <w:szCs w:val="15"/>
          <w:color w:val="auto"/>
        </w:rPr>
        <w:t>Dr. Vagelos developed an extensive understanding of the complex business, operational, scientific, regulatory, and commercial issues facing the pharmaceutical industry.</w:t>
      </w:r>
    </w:p>
    <w:p>
      <w:pPr>
        <w:spacing w:after="0" w:line="153" w:lineRule="exact"/>
        <w:rPr>
          <w:sz w:val="20"/>
          <w:szCs w:val="20"/>
          <w:color w:val="auto"/>
        </w:rPr>
      </w:pPr>
    </w:p>
    <w:p>
      <w:pPr>
        <w:jc w:val="both"/>
        <w:ind w:right="540"/>
        <w:spacing w:after="0" w:line="241" w:lineRule="auto"/>
        <w:rPr>
          <w:sz w:val="20"/>
          <w:szCs w:val="20"/>
          <w:color w:val="auto"/>
        </w:rPr>
      </w:pPr>
      <w:r>
        <w:rPr>
          <w:rFonts w:ascii="Arial" w:cs="Arial" w:eastAsia="Arial" w:hAnsi="Arial"/>
          <w:sz w:val="15"/>
          <w:szCs w:val="15"/>
          <w:color w:val="auto"/>
        </w:rPr>
        <w:t>Dr. Vagelos’s tenure and experience with the Company and Merck, his extensive knowledge of the pharmaceutical industry, his substantial leadership experience, and his significant understanding of the Company led the board to conclude that Dr. Vagelos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2240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5"/>
                <w:szCs w:val="15"/>
                <w:color w:val="auto"/>
              </w:rPr>
              <w:t>Board of Directors</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205BA8"/>
              </w:rPr>
              <w:t>6/6</w:t>
            </w:r>
          </w:p>
        </w:tc>
      </w:tr>
      <w:tr>
        <w:trPr>
          <w:trHeight w:val="221"/>
        </w:trPr>
        <w:tc>
          <w:tcPr>
            <w:tcW w:w="1760" w:type="dxa"/>
            <w:vAlign w:val="bottom"/>
          </w:tcPr>
          <w:p>
            <w:pPr>
              <w:spacing w:after="0"/>
              <w:rPr>
                <w:sz w:val="20"/>
                <w:szCs w:val="20"/>
                <w:color w:val="auto"/>
              </w:rPr>
            </w:pPr>
            <w:r>
              <w:rPr>
                <w:rFonts w:ascii="Arial" w:cs="Arial" w:eastAsia="Arial" w:hAnsi="Arial"/>
                <w:sz w:val="15"/>
                <w:szCs w:val="15"/>
                <w:color w:val="auto"/>
              </w:rPr>
              <w:t>Technology Committee</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205BA8"/>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Prior Voting Results — 2017</w:t>
      </w:r>
    </w:p>
    <w:p>
      <w:pPr>
        <w:spacing w:after="0" w:line="46"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For</w:t>
      </w:r>
      <w:r>
        <w:rPr>
          <w:sz w:val="20"/>
          <w:szCs w:val="20"/>
          <w:color w:val="auto"/>
        </w:rPr>
        <w:tab/>
      </w:r>
      <w:r>
        <w:rPr>
          <w:rFonts w:ascii="Arial" w:cs="Arial" w:eastAsia="Arial" w:hAnsi="Arial"/>
          <w:sz w:val="15"/>
          <w:szCs w:val="15"/>
          <w:b w:val="1"/>
          <w:bCs w:val="1"/>
          <w:color w:val="205BA8"/>
        </w:rPr>
        <w:t>99.5%</w:t>
      </w:r>
    </w:p>
    <w:p>
      <w:pPr>
        <w:spacing w:after="0" w:line="48"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Against</w:t>
      </w:r>
      <w:r>
        <w:rPr>
          <w:sz w:val="20"/>
          <w:szCs w:val="20"/>
          <w:color w:val="auto"/>
        </w:rPr>
        <w:tab/>
      </w:r>
      <w:r>
        <w:rPr>
          <w:rFonts w:ascii="Arial" w:cs="Arial" w:eastAsia="Arial" w:hAnsi="Arial"/>
          <w:sz w:val="15"/>
          <w:szCs w:val="15"/>
          <w:b w:val="1"/>
          <w:bCs w:val="1"/>
          <w:color w:val="205BA8"/>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42240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720"/>
            <w:col w:w="7160"/>
          </w:cols>
          <w:pgMar w:left="240" w:top="396" w:right="239" w:bottom="1440" w:gutter="0" w:footer="0" w:header="0"/>
          <w:type w:val="continuous"/>
        </w:sectPr>
      </w:pPr>
    </w:p>
    <w:p>
      <w:pPr>
        <w:spacing w:after="0" w:line="200"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ind w:left="4260"/>
              <w:spacing w:after="0"/>
              <w:rPr>
                <w:sz w:val="20"/>
                <w:szCs w:val="20"/>
                <w:color w:val="auto"/>
              </w:rPr>
            </w:pPr>
            <w:r>
              <w:rPr>
                <w:rFonts w:ascii="Arial" w:cs="Arial" w:eastAsia="Arial" w:hAnsi="Arial"/>
                <w:sz w:val="15"/>
                <w:szCs w:val="15"/>
                <w:color w:val="auto"/>
              </w:rPr>
              <w:t>Common Stock</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736,417</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Options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1,382,808</w:t>
            </w:r>
          </w:p>
        </w:tc>
      </w:tr>
      <w:tr>
        <w:trPr>
          <w:trHeight w:val="347"/>
        </w:trPr>
        <w:tc>
          <w:tcPr>
            <w:tcW w:w="55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880" w:type="dxa"/>
            <w:vAlign w:val="bottom"/>
          </w:tcPr>
          <w:p>
            <w:pPr>
              <w:jc w:val="right"/>
              <w:ind w:right="426"/>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15</w:t>
            </w:r>
          </w:p>
        </w:tc>
      </w:tr>
      <w:tr>
        <w:trPr>
          <w:trHeight w:val="252"/>
        </w:trPr>
        <w:tc>
          <w:tcPr>
            <w:tcW w:w="5540" w:type="dxa"/>
            <w:vAlign w:val="bottom"/>
            <w:tcBorders>
              <w:bottom w:val="single" w:sz="8" w:color="C0C0C0"/>
            </w:tcBorders>
          </w:tcPr>
          <w:p>
            <w:pPr>
              <w:spacing w:after="0"/>
              <w:rPr>
                <w:sz w:val="21"/>
                <w:szCs w:val="21"/>
                <w:color w:val="auto"/>
              </w:rPr>
            </w:pPr>
          </w:p>
        </w:tc>
        <w:tc>
          <w:tcPr>
            <w:tcW w:w="58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8" w:name="page29"/>
    <w:bookmarkEnd w:id="28"/>
    <w:p>
      <w:pPr>
        <w:ind w:left="3"/>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660019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163830</wp:posOffset>
            </wp:positionV>
            <wp:extent cx="6600190" cy="2806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307" w:lineRule="exact"/>
        <w:rPr>
          <w:sz w:val="20"/>
          <w:szCs w:val="20"/>
          <w:color w:val="auto"/>
        </w:rPr>
      </w:pPr>
    </w:p>
    <w:p>
      <w:pPr>
        <w:ind w:left="83"/>
        <w:spacing w:after="0"/>
        <w:rPr>
          <w:sz w:val="20"/>
          <w:szCs w:val="20"/>
          <w:color w:val="auto"/>
        </w:rPr>
      </w:pPr>
      <w:r>
        <w:rPr>
          <w:rFonts w:ascii="Arial" w:cs="Arial" w:eastAsia="Arial" w:hAnsi="Arial"/>
          <w:sz w:val="24"/>
          <w:szCs w:val="24"/>
          <w:b w:val="1"/>
          <w:bCs w:val="1"/>
          <w:color w:val="FFFFFF"/>
        </w:rPr>
        <w:t>HUDA Y. ZOGHBI,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1361440" cy="13614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2016</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64</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Scientific Society Memberships</w:t>
      </w:r>
    </w:p>
    <w:p>
      <w:pPr>
        <w:spacing w:after="0" w:line="65" w:lineRule="exact"/>
        <w:rPr>
          <w:sz w:val="20"/>
          <w:szCs w:val="20"/>
          <w:color w:val="auto"/>
        </w:rPr>
      </w:pPr>
    </w:p>
    <w:p>
      <w:pPr>
        <w:ind w:left="203" w:hanging="203"/>
        <w:spacing w:after="0"/>
        <w:tabs>
          <w:tab w:leader="none" w:pos="203" w:val="left"/>
        </w:tabs>
        <w:numPr>
          <w:ilvl w:val="0"/>
          <w:numId w:val="27"/>
        </w:numPr>
        <w:rPr>
          <w:rFonts w:ascii="Arial" w:cs="Arial" w:eastAsia="Arial" w:hAnsi="Arial"/>
          <w:sz w:val="14"/>
          <w:szCs w:val="14"/>
          <w:color w:val="205BA8"/>
        </w:rPr>
      </w:pPr>
      <w:r>
        <w:rPr>
          <w:rFonts w:ascii="Arial" w:cs="Arial" w:eastAsia="Arial" w:hAnsi="Arial"/>
          <w:sz w:val="14"/>
          <w:szCs w:val="14"/>
          <w:color w:val="auto"/>
        </w:rPr>
        <w:t>The National Academy of Sciences</w:t>
      </w:r>
    </w:p>
    <w:p>
      <w:pPr>
        <w:spacing w:after="0" w:line="46" w:lineRule="exact"/>
        <w:rPr>
          <w:rFonts w:ascii="Arial" w:cs="Arial" w:eastAsia="Arial" w:hAnsi="Arial"/>
          <w:sz w:val="14"/>
          <w:szCs w:val="14"/>
          <w:color w:val="205BA8"/>
        </w:rPr>
      </w:pPr>
    </w:p>
    <w:p>
      <w:pPr>
        <w:ind w:left="203" w:hanging="203"/>
        <w:spacing w:after="0"/>
        <w:tabs>
          <w:tab w:leader="none" w:pos="203" w:val="left"/>
        </w:tabs>
        <w:numPr>
          <w:ilvl w:val="0"/>
          <w:numId w:val="27"/>
        </w:numPr>
        <w:rPr>
          <w:rFonts w:ascii="Arial" w:cs="Arial" w:eastAsia="Arial" w:hAnsi="Arial"/>
          <w:sz w:val="14"/>
          <w:szCs w:val="14"/>
          <w:color w:val="205BA8"/>
        </w:rPr>
      </w:pPr>
      <w:r>
        <w:rPr>
          <w:rFonts w:ascii="Arial" w:cs="Arial" w:eastAsia="Arial" w:hAnsi="Arial"/>
          <w:sz w:val="14"/>
          <w:szCs w:val="14"/>
          <w:color w:val="auto"/>
        </w:rPr>
        <w:t>The Institute of Medicine</w:t>
      </w:r>
    </w:p>
    <w:p>
      <w:pPr>
        <w:spacing w:after="0" w:line="46" w:lineRule="exact"/>
        <w:rPr>
          <w:rFonts w:ascii="Arial" w:cs="Arial" w:eastAsia="Arial" w:hAnsi="Arial"/>
          <w:sz w:val="14"/>
          <w:szCs w:val="14"/>
          <w:color w:val="205BA8"/>
        </w:rPr>
      </w:pPr>
    </w:p>
    <w:p>
      <w:pPr>
        <w:ind w:left="203" w:hanging="203"/>
        <w:spacing w:after="0" w:line="247" w:lineRule="auto"/>
        <w:tabs>
          <w:tab w:leader="none" w:pos="203" w:val="left"/>
        </w:tabs>
        <w:numPr>
          <w:ilvl w:val="0"/>
          <w:numId w:val="27"/>
        </w:numPr>
        <w:rPr>
          <w:rFonts w:ascii="Arial" w:cs="Arial" w:eastAsia="Arial" w:hAnsi="Arial"/>
          <w:sz w:val="14"/>
          <w:szCs w:val="14"/>
          <w:color w:val="205BA8"/>
        </w:rPr>
      </w:pPr>
      <w:r>
        <w:rPr>
          <w:rFonts w:ascii="Arial" w:cs="Arial" w:eastAsia="Arial" w:hAnsi="Arial"/>
          <w:sz w:val="14"/>
          <w:szCs w:val="14"/>
          <w:color w:val="auto"/>
        </w:rPr>
        <w:t>The American Association for the Advancement of Science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left="1" w:right="40"/>
        <w:spacing w:after="0" w:line="237" w:lineRule="auto"/>
        <w:rPr>
          <w:sz w:val="20"/>
          <w:szCs w:val="20"/>
          <w:color w:val="auto"/>
        </w:rPr>
      </w:pPr>
      <w:r>
        <w:rPr>
          <w:rFonts w:ascii="Arial" w:cs="Arial" w:eastAsia="Arial" w:hAnsi="Arial"/>
          <w:sz w:val="15"/>
          <w:szCs w:val="15"/>
          <w:color w:val="auto"/>
        </w:rPr>
        <w:t>Dr. Zoghbi is currently a professor in the departments of Pediatrics, Molecular and Human Genetics, and Neurology and Neuroscience at Baylor College of Medicine, the director of the Jan and Dan Duncan Neurological Research Institute at Texas Children’s Hospital, and an investigator of the Howard Hughes Medical Institute. She has been elected to the National Academy of Sciences, the Institute of Medicine, and the American Association for the Advancement of Science, and has been awarded numerous recognitions for her work, including the Pearl Meister Greengard Prize, the March of Dimes Prize in Developmental Biology, and the Vanderbilt Prize in Biomedical Science.</w:t>
      </w:r>
    </w:p>
    <w:p>
      <w:pPr>
        <w:spacing w:after="0" w:line="157" w:lineRule="exact"/>
        <w:rPr>
          <w:sz w:val="20"/>
          <w:szCs w:val="20"/>
          <w:color w:val="auto"/>
        </w:rPr>
      </w:pPr>
    </w:p>
    <w:p>
      <w:pPr>
        <w:ind w:left="1" w:right="80"/>
        <w:spacing w:after="0" w:line="239" w:lineRule="auto"/>
        <w:rPr>
          <w:sz w:val="20"/>
          <w:szCs w:val="20"/>
          <w:color w:val="auto"/>
        </w:rPr>
      </w:pPr>
      <w:r>
        <w:rPr>
          <w:rFonts w:ascii="Arial" w:cs="Arial" w:eastAsia="Arial" w:hAnsi="Arial"/>
          <w:sz w:val="15"/>
          <w:szCs w:val="15"/>
          <w:color w:val="auto"/>
        </w:rPr>
        <w:t>Dr. Zoghbi earned her B.Sc. from the American University of Beirut, received her M.D. from Meharry Medical College in Nashville, Tennessee, and completed her pediatrics residency and a joint residency in neurology and pediatric neurology at Baylor College of Medicine, where she then pursued postdoctoral research training in molecular genetics.</w:t>
      </w:r>
    </w:p>
    <w:p>
      <w:pPr>
        <w:spacing w:after="0" w:line="157" w:lineRule="exact"/>
        <w:rPr>
          <w:sz w:val="20"/>
          <w:szCs w:val="20"/>
          <w:color w:val="auto"/>
        </w:rPr>
      </w:pPr>
    </w:p>
    <w:p>
      <w:pPr>
        <w:ind w:left="1" w:right="840"/>
        <w:spacing w:after="0" w:line="246" w:lineRule="auto"/>
        <w:rPr>
          <w:sz w:val="20"/>
          <w:szCs w:val="20"/>
          <w:color w:val="auto"/>
        </w:rPr>
      </w:pPr>
      <w:r>
        <w:rPr>
          <w:rFonts w:ascii="Arial" w:cs="Arial" w:eastAsia="Arial" w:hAnsi="Arial"/>
          <w:sz w:val="15"/>
          <w:szCs w:val="15"/>
          <w:color w:val="auto"/>
        </w:rPr>
        <w:t>Dr. Zoghbi’s extensive research experience and her scientific and academic career and accomplishments led the board to conclude that Dr. Zoghbi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42240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Arial" w:cs="Arial" w:eastAsia="Arial" w:hAnsi="Arial"/>
                <w:sz w:val="14"/>
                <w:szCs w:val="14"/>
                <w:b w:val="1"/>
                <w:bCs w:val="1"/>
                <w:color w:val="D61C5A"/>
              </w:rPr>
              <w:t>Board and Committee Membership — 2018 Attendance</w:t>
            </w:r>
          </w:p>
        </w:tc>
        <w:tc>
          <w:tcPr>
            <w:tcW w:w="480" w:type="dxa"/>
            <w:vAlign w:val="bottom"/>
          </w:tcPr>
          <w:p>
            <w:pPr>
              <w:spacing w:after="0"/>
              <w:rPr>
                <w:sz w:val="15"/>
                <w:szCs w:val="15"/>
                <w:color w:val="auto"/>
              </w:rPr>
            </w:pPr>
          </w:p>
        </w:tc>
      </w:tr>
      <w:tr>
        <w:trPr>
          <w:trHeight w:val="225"/>
        </w:trPr>
        <w:tc>
          <w:tcPr>
            <w:tcW w:w="3800" w:type="dxa"/>
            <w:vAlign w:val="bottom"/>
          </w:tcPr>
          <w:p>
            <w:pPr>
              <w:spacing w:after="0"/>
              <w:rPr>
                <w:sz w:val="20"/>
                <w:szCs w:val="20"/>
                <w:color w:val="auto"/>
              </w:rPr>
            </w:pPr>
            <w:r>
              <w:rPr>
                <w:rFonts w:ascii="Arial" w:cs="Arial" w:eastAsia="Arial" w:hAnsi="Arial"/>
                <w:sz w:val="15"/>
                <w:szCs w:val="15"/>
                <w:color w:val="auto"/>
              </w:rPr>
              <w:t>Board of Directors</w:t>
            </w:r>
          </w:p>
        </w:tc>
        <w:tc>
          <w:tcPr>
            <w:tcW w:w="480" w:type="dxa"/>
            <w:vAlign w:val="bottom"/>
          </w:tcPr>
          <w:p>
            <w:pPr>
              <w:ind w:left="200"/>
              <w:spacing w:after="0"/>
              <w:rPr>
                <w:sz w:val="20"/>
                <w:szCs w:val="20"/>
                <w:color w:val="auto"/>
              </w:rPr>
            </w:pPr>
            <w:r>
              <w:rPr>
                <w:rFonts w:ascii="Arial" w:cs="Arial" w:eastAsia="Arial" w:hAnsi="Arial"/>
                <w:sz w:val="15"/>
                <w:szCs w:val="15"/>
                <w:b w:val="1"/>
                <w:bCs w:val="1"/>
                <w:color w:val="205BA8"/>
              </w:rPr>
              <w:t>5/6</w:t>
            </w:r>
          </w:p>
        </w:tc>
      </w:tr>
      <w:tr>
        <w:trPr>
          <w:trHeight w:val="221"/>
        </w:trPr>
        <w:tc>
          <w:tcPr>
            <w:tcW w:w="3800" w:type="dxa"/>
            <w:vAlign w:val="bottom"/>
          </w:tcPr>
          <w:p>
            <w:pPr>
              <w:spacing w:after="0"/>
              <w:rPr>
                <w:sz w:val="20"/>
                <w:szCs w:val="20"/>
                <w:color w:val="auto"/>
              </w:rPr>
            </w:pPr>
            <w:r>
              <w:rPr>
                <w:rFonts w:ascii="Arial" w:cs="Arial" w:eastAsia="Arial" w:hAnsi="Arial"/>
                <w:sz w:val="15"/>
                <w:szCs w:val="15"/>
                <w:color w:val="auto"/>
              </w:rPr>
              <w:t>Compensation Committee</w:t>
            </w:r>
          </w:p>
        </w:tc>
        <w:tc>
          <w:tcPr>
            <w:tcW w:w="480" w:type="dxa"/>
            <w:vAlign w:val="bottom"/>
          </w:tcPr>
          <w:p>
            <w:pPr>
              <w:ind w:left="200"/>
              <w:spacing w:after="0"/>
              <w:rPr>
                <w:sz w:val="20"/>
                <w:szCs w:val="20"/>
                <w:color w:val="auto"/>
              </w:rPr>
            </w:pPr>
            <w:r>
              <w:rPr>
                <w:rFonts w:ascii="Arial" w:cs="Arial" w:eastAsia="Arial" w:hAnsi="Arial"/>
                <w:sz w:val="15"/>
                <w:szCs w:val="15"/>
                <w:b w:val="1"/>
                <w:bCs w:val="1"/>
                <w:color w:val="205BA8"/>
                <w:w w:val="97"/>
              </w:rPr>
              <w:t>6/6*</w:t>
            </w:r>
          </w:p>
        </w:tc>
      </w:tr>
      <w:tr>
        <w:trPr>
          <w:trHeight w:val="221"/>
        </w:trPr>
        <w:tc>
          <w:tcPr>
            <w:tcW w:w="3800" w:type="dxa"/>
            <w:vAlign w:val="bottom"/>
          </w:tcPr>
          <w:p>
            <w:pPr>
              <w:spacing w:after="0"/>
              <w:rPr>
                <w:sz w:val="20"/>
                <w:szCs w:val="20"/>
                <w:color w:val="auto"/>
              </w:rPr>
            </w:pPr>
            <w:r>
              <w:rPr>
                <w:rFonts w:ascii="Arial" w:cs="Arial" w:eastAsia="Arial" w:hAnsi="Arial"/>
                <w:sz w:val="15"/>
                <w:szCs w:val="15"/>
                <w:color w:val="auto"/>
              </w:rPr>
              <w:t>Corporate Governance and Compliance Committee</w:t>
            </w:r>
          </w:p>
        </w:tc>
        <w:tc>
          <w:tcPr>
            <w:tcW w:w="480" w:type="dxa"/>
            <w:vAlign w:val="bottom"/>
          </w:tcPr>
          <w:p>
            <w:pPr>
              <w:ind w:left="200"/>
              <w:spacing w:after="0"/>
              <w:rPr>
                <w:sz w:val="20"/>
                <w:szCs w:val="20"/>
                <w:color w:val="auto"/>
              </w:rPr>
            </w:pPr>
            <w:r>
              <w:rPr>
                <w:rFonts w:ascii="Arial" w:cs="Arial" w:eastAsia="Arial" w:hAnsi="Arial"/>
                <w:sz w:val="15"/>
                <w:szCs w:val="15"/>
                <w:b w:val="1"/>
                <w:bCs w:val="1"/>
                <w:color w:val="205BA8"/>
                <w:w w:val="97"/>
              </w:rPr>
              <w:t>3/3*</w:t>
            </w:r>
          </w:p>
        </w:tc>
      </w:tr>
      <w:tr>
        <w:trPr>
          <w:trHeight w:val="221"/>
        </w:trPr>
        <w:tc>
          <w:tcPr>
            <w:tcW w:w="3800" w:type="dxa"/>
            <w:vAlign w:val="bottom"/>
          </w:tcPr>
          <w:p>
            <w:pPr>
              <w:spacing w:after="0"/>
              <w:rPr>
                <w:sz w:val="20"/>
                <w:szCs w:val="20"/>
                <w:color w:val="auto"/>
              </w:rPr>
            </w:pPr>
            <w:r>
              <w:rPr>
                <w:rFonts w:ascii="Arial" w:cs="Arial" w:eastAsia="Arial" w:hAnsi="Arial"/>
                <w:sz w:val="15"/>
                <w:szCs w:val="15"/>
                <w:color w:val="auto"/>
              </w:rPr>
              <w:t>Technology Committee</w:t>
            </w:r>
          </w:p>
        </w:tc>
        <w:tc>
          <w:tcPr>
            <w:tcW w:w="480" w:type="dxa"/>
            <w:vAlign w:val="bottom"/>
          </w:tcPr>
          <w:p>
            <w:pPr>
              <w:ind w:left="200"/>
              <w:spacing w:after="0"/>
              <w:rPr>
                <w:sz w:val="20"/>
                <w:szCs w:val="20"/>
                <w:color w:val="auto"/>
              </w:rPr>
            </w:pPr>
            <w:r>
              <w:rPr>
                <w:rFonts w:ascii="Arial" w:cs="Arial" w:eastAsia="Arial" w:hAnsi="Arial"/>
                <w:sz w:val="15"/>
                <w:szCs w:val="15"/>
                <w:b w:val="1"/>
                <w:bCs w:val="1"/>
                <w:color w:val="205BA8"/>
              </w:rPr>
              <w:t>3/3</w:t>
            </w:r>
          </w:p>
        </w:tc>
      </w:tr>
    </w:tbl>
    <w:p>
      <w:pPr>
        <w:spacing w:after="0" w:line="181" w:lineRule="exact"/>
        <w:rPr>
          <w:sz w:val="20"/>
          <w:szCs w:val="20"/>
          <w:color w:val="auto"/>
        </w:rPr>
      </w:pPr>
    </w:p>
    <w:p>
      <w:pPr>
        <w:ind w:left="141" w:right="260" w:hanging="141"/>
        <w:spacing w:after="0" w:line="239" w:lineRule="auto"/>
        <w:tabs>
          <w:tab w:leader="none" w:pos="141" w:val="left"/>
        </w:tabs>
        <w:numPr>
          <w:ilvl w:val="0"/>
          <w:numId w:val="28"/>
        </w:numPr>
        <w:rPr>
          <w:rFonts w:ascii="Arial" w:cs="Arial" w:eastAsia="Arial" w:hAnsi="Arial"/>
          <w:sz w:val="14"/>
          <w:szCs w:val="14"/>
          <w:color w:val="205BA8"/>
        </w:rPr>
      </w:pPr>
      <w:r>
        <w:rPr>
          <w:rFonts w:ascii="Arial" w:cs="Arial" w:eastAsia="Arial" w:hAnsi="Arial"/>
          <w:sz w:val="14"/>
          <w:szCs w:val="14"/>
          <w:color w:val="auto"/>
        </w:rPr>
        <w:t>Dr. Zoghbi was elected as a member of the Compensation Committee on June 8, 2018, and ceased to serve as a member of the Corporate Governance and Compliance Committee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42240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D61C5A"/>
        </w:rPr>
        <w:t>Prior Voting Results — 2017</w:t>
      </w:r>
    </w:p>
    <w:p>
      <w:pPr>
        <w:spacing w:after="0" w:line="46" w:lineRule="exact"/>
        <w:rPr>
          <w:sz w:val="20"/>
          <w:szCs w:val="20"/>
          <w:color w:val="auto"/>
        </w:rPr>
      </w:pPr>
    </w:p>
    <w:p>
      <w:pPr>
        <w:ind w:left="1"/>
        <w:spacing w:after="0"/>
        <w:tabs>
          <w:tab w:leader="none" w:pos="1521" w:val="left"/>
        </w:tabs>
        <w:rPr>
          <w:sz w:val="20"/>
          <w:szCs w:val="20"/>
          <w:color w:val="auto"/>
        </w:rPr>
      </w:pPr>
      <w:r>
        <w:rPr>
          <w:rFonts w:ascii="Arial" w:cs="Arial" w:eastAsia="Arial" w:hAnsi="Arial"/>
          <w:sz w:val="15"/>
          <w:szCs w:val="15"/>
          <w:color w:val="auto"/>
        </w:rPr>
        <w:t>For</w:t>
      </w:r>
      <w:r>
        <w:rPr>
          <w:sz w:val="20"/>
          <w:szCs w:val="20"/>
          <w:color w:val="auto"/>
        </w:rPr>
        <w:tab/>
      </w:r>
      <w:r>
        <w:rPr>
          <w:rFonts w:ascii="Arial" w:cs="Arial" w:eastAsia="Arial" w:hAnsi="Arial"/>
          <w:sz w:val="15"/>
          <w:szCs w:val="15"/>
          <w:b w:val="1"/>
          <w:bCs w:val="1"/>
          <w:color w:val="205BA8"/>
        </w:rPr>
        <w:t>97.7%</w:t>
      </w:r>
    </w:p>
    <w:p>
      <w:pPr>
        <w:spacing w:after="0" w:line="48" w:lineRule="exact"/>
        <w:rPr>
          <w:sz w:val="20"/>
          <w:szCs w:val="20"/>
          <w:color w:val="auto"/>
        </w:rPr>
      </w:pPr>
    </w:p>
    <w:p>
      <w:pPr>
        <w:ind w:left="1"/>
        <w:spacing w:after="0"/>
        <w:tabs>
          <w:tab w:leader="none" w:pos="1521" w:val="left"/>
        </w:tabs>
        <w:rPr>
          <w:sz w:val="20"/>
          <w:szCs w:val="20"/>
          <w:color w:val="auto"/>
        </w:rPr>
      </w:pPr>
      <w:r>
        <w:rPr>
          <w:rFonts w:ascii="Arial" w:cs="Arial" w:eastAsia="Arial" w:hAnsi="Arial"/>
          <w:sz w:val="15"/>
          <w:szCs w:val="15"/>
          <w:color w:val="auto"/>
        </w:rPr>
        <w:t>Against</w:t>
      </w:r>
      <w:r>
        <w:rPr>
          <w:sz w:val="20"/>
          <w:szCs w:val="20"/>
          <w:color w:val="auto"/>
        </w:rPr>
        <w:tab/>
      </w:r>
      <w:r>
        <w:rPr>
          <w:rFonts w:ascii="Arial" w:cs="Arial" w:eastAsia="Arial" w:hAnsi="Arial"/>
          <w:sz w:val="15"/>
          <w:szCs w:val="15"/>
          <w:b w:val="1"/>
          <w:bCs w:val="1"/>
          <w:color w:val="205BA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42240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3" w:space="359"/>
            <w:col w:w="6661"/>
          </w:cols>
          <w:pgMar w:left="757" w:top="396" w:right="739" w:bottom="1440" w:gutter="0" w:footer="0" w:header="0"/>
          <w:type w:val="continuous"/>
        </w:sectPr>
      </w:pPr>
    </w:p>
    <w:p>
      <w:pPr>
        <w:spacing w:after="0" w:line="200" w:lineRule="exact"/>
        <w:rPr>
          <w:sz w:val="20"/>
          <w:szCs w:val="20"/>
          <w:color w:val="auto"/>
        </w:rPr>
      </w:pPr>
    </w:p>
    <w:p>
      <w:pPr>
        <w:ind w:left="3743"/>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p>
      <w:pPr>
        <w:ind w:left="3743"/>
        <w:spacing w:after="0"/>
        <w:tabs>
          <w:tab w:leader="none" w:pos="5262" w:val="left"/>
        </w:tabs>
        <w:rPr>
          <w:sz w:val="20"/>
          <w:szCs w:val="20"/>
          <w:color w:val="auto"/>
        </w:rPr>
      </w:pPr>
      <w:r>
        <w:rPr>
          <w:rFonts w:ascii="Arial" w:cs="Arial" w:eastAsia="Arial" w:hAnsi="Arial"/>
          <w:sz w:val="15"/>
          <w:szCs w:val="15"/>
          <w:color w:val="auto"/>
        </w:rPr>
        <w:t>Options</w:t>
      </w:r>
      <w:r>
        <w:rPr>
          <w:sz w:val="20"/>
          <w:szCs w:val="20"/>
          <w:color w:val="auto"/>
        </w:rPr>
        <w:tab/>
      </w:r>
      <w:r>
        <w:rPr>
          <w:rFonts w:ascii="Arial" w:cs="Arial" w:eastAsia="Arial" w:hAnsi="Arial"/>
          <w:sz w:val="15"/>
          <w:szCs w:val="15"/>
          <w:b w:val="1"/>
          <w:bCs w:val="1"/>
          <w:color w:val="205BA8"/>
        </w:rPr>
        <w:t>16,042</w:t>
      </w:r>
    </w:p>
    <w:p>
      <w:pPr>
        <w:spacing w:after="0" w:line="48" w:lineRule="exact"/>
        <w:rPr>
          <w:sz w:val="20"/>
          <w:szCs w:val="20"/>
          <w:color w:val="auto"/>
        </w:rPr>
      </w:pPr>
    </w:p>
    <w:p>
      <w:pPr>
        <w:ind w:left="3743"/>
        <w:spacing w:after="0"/>
        <w:tabs>
          <w:tab w:leader="none" w:pos="5262" w:val="left"/>
        </w:tabs>
        <w:rPr>
          <w:sz w:val="20"/>
          <w:szCs w:val="20"/>
          <w:color w:val="auto"/>
        </w:rPr>
      </w:pPr>
      <w:r>
        <w:rPr>
          <w:rFonts w:ascii="Arial" w:cs="Arial" w:eastAsia="Arial" w:hAnsi="Arial"/>
          <w:sz w:val="15"/>
          <w:szCs w:val="15"/>
          <w:color w:val="auto"/>
        </w:rPr>
        <w:t>RSUs</w:t>
      </w:r>
      <w:r>
        <w:rPr>
          <w:sz w:val="20"/>
          <w:szCs w:val="20"/>
          <w:color w:val="auto"/>
        </w:rPr>
        <w:tab/>
      </w:r>
      <w:r>
        <w:rPr>
          <w:rFonts w:ascii="Arial" w:cs="Arial" w:eastAsia="Arial" w:hAnsi="Arial"/>
          <w:sz w:val="15"/>
          <w:szCs w:val="15"/>
          <w:b w:val="1"/>
          <w:bCs w:val="1"/>
          <w:color w:val="205BA8"/>
        </w:rPr>
        <w:t>145</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16  /  </w:t>
      </w:r>
      <w:r>
        <w:rPr>
          <w:sz w:val="1"/>
          <w:szCs w:val="1"/>
          <w:color w:val="auto"/>
        </w:rPr>
        <w:drawing>
          <wp:inline distT="0" distB="0" distL="0" distR="0">
            <wp:extent cx="717550" cy="825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type w:val="continuous"/>
        </w:sectPr>
      </w:pPr>
    </w:p>
    <w:bookmarkStart w:id="29" w:name="page30"/>
    <w:bookmarkEnd w:id="29"/>
    <w:p>
      <w:pPr>
        <w:jc w:val="right"/>
        <w:ind w:right="500"/>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5" w:lineRule="exact"/>
        <w:rPr>
          <w:sz w:val="20"/>
          <w:szCs w:val="20"/>
          <w:color w:val="auto"/>
        </w:rPr>
      </w:pPr>
    </w:p>
    <w:p>
      <w:pPr>
        <w:ind w:left="520" w:right="4100"/>
        <w:spacing w:after="0" w:line="293" w:lineRule="auto"/>
        <w:rPr>
          <w:sz w:val="20"/>
          <w:szCs w:val="20"/>
          <w:color w:val="auto"/>
        </w:rPr>
      </w:pPr>
      <w:r>
        <w:rPr>
          <w:rFonts w:ascii="Arial" w:cs="Arial" w:eastAsia="Arial" w:hAnsi="Arial"/>
          <w:sz w:val="29"/>
          <w:szCs w:val="29"/>
          <w:b w:val="1"/>
          <w:bCs w:val="1"/>
          <w:color w:val="auto"/>
        </w:rPr>
        <w:t>CLASS III DIRECTORS CONTINUING IN OFFICE TERM EXPIRES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71120</wp:posOffset>
            </wp:positionV>
            <wp:extent cx="6600190" cy="280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161"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205105</wp:posOffset>
            </wp:positionV>
            <wp:extent cx="1361440" cy="13614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2003</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76</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Independent</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Other Public Boards</w:t>
      </w:r>
    </w:p>
    <w:p>
      <w:pPr>
        <w:spacing w:after="0" w:line="65" w:lineRule="exact"/>
        <w:rPr>
          <w:sz w:val="20"/>
          <w:szCs w:val="20"/>
          <w:color w:val="auto"/>
        </w:rPr>
      </w:pPr>
    </w:p>
    <w:p>
      <w:pPr>
        <w:ind w:left="720" w:hanging="203"/>
        <w:spacing w:after="0"/>
        <w:tabs>
          <w:tab w:leader="none" w:pos="720" w:val="left"/>
        </w:tabs>
        <w:numPr>
          <w:ilvl w:val="0"/>
          <w:numId w:val="29"/>
        </w:numPr>
        <w:rPr>
          <w:rFonts w:ascii="Arial" w:cs="Arial" w:eastAsia="Arial" w:hAnsi="Arial"/>
          <w:sz w:val="14"/>
          <w:szCs w:val="14"/>
          <w:color w:val="205BA8"/>
        </w:rPr>
      </w:pPr>
      <w:r>
        <w:rPr>
          <w:rFonts w:ascii="Arial" w:cs="Arial" w:eastAsia="Arial" w:hAnsi="Arial"/>
          <w:sz w:val="14"/>
          <w:szCs w:val="14"/>
          <w:color w:val="auto"/>
        </w:rPr>
        <w:t>Citizens Financial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560"/>
        <w:spacing w:after="0" w:line="236" w:lineRule="auto"/>
        <w:rPr>
          <w:sz w:val="20"/>
          <w:szCs w:val="20"/>
          <w:color w:val="auto"/>
        </w:rPr>
      </w:pPr>
      <w:r>
        <w:rPr>
          <w:rFonts w:ascii="Arial" w:cs="Arial" w:eastAsia="Arial" w:hAnsi="Arial"/>
          <w:sz w:val="15"/>
          <w:szCs w:val="15"/>
          <w:color w:val="auto"/>
        </w:rPr>
        <w:t>In 2008, Mr. Ryan retired as the Chairman of the Board of Prudential Financial, Inc., one of the largest diversified financial institutions in the world. He served as Chief Executive Officer of Prudential until 2007. Prior to joining Prudential in 1994, Mr. Ryan served as President and Chief Operating Officer of Chase Manhattan Bank since 1990. Mr. Ryan managed Chase’s worldwide retail bank between 1984 and 1990. From 2008 to 2013, Mr. Ryan served as a non-executive director of the Royal Bank of Scotland Group plc. Since 2009, Mr. Ryan has served as a director of Citizens Financial Group, Inc., a retail bank holding company that became publicly traded in 2014, and currently serves as its lead director, chair of the Compensation and Human Resources Committee, and a member of the Nominating and Corporate Governance Committee.</w:t>
      </w:r>
    </w:p>
    <w:p>
      <w:pPr>
        <w:spacing w:after="0" w:line="163" w:lineRule="exact"/>
        <w:rPr>
          <w:sz w:val="20"/>
          <w:szCs w:val="20"/>
          <w:color w:val="auto"/>
        </w:rPr>
      </w:pPr>
    </w:p>
    <w:p>
      <w:pPr>
        <w:ind w:right="700"/>
        <w:spacing w:after="0" w:line="241" w:lineRule="auto"/>
        <w:rPr>
          <w:sz w:val="20"/>
          <w:szCs w:val="20"/>
          <w:color w:val="auto"/>
        </w:rPr>
      </w:pPr>
      <w:r>
        <w:rPr>
          <w:rFonts w:ascii="Arial" w:cs="Arial" w:eastAsia="Arial" w:hAnsi="Arial"/>
          <w:sz w:val="15"/>
          <w:szCs w:val="15"/>
          <w:color w:val="auto"/>
        </w:rPr>
        <w:t>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2240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gridSpan w:val="2"/>
          </w:tcPr>
          <w:p>
            <w:pPr>
              <w:spacing w:after="0"/>
              <w:rPr>
                <w:sz w:val="20"/>
                <w:szCs w:val="20"/>
                <w:color w:val="auto"/>
              </w:rPr>
            </w:pPr>
            <w:r>
              <w:rPr>
                <w:rFonts w:ascii="Arial" w:cs="Arial" w:eastAsia="Arial" w:hAnsi="Arial"/>
                <w:sz w:val="14"/>
                <w:szCs w:val="14"/>
                <w:b w:val="1"/>
                <w:bCs w:val="1"/>
                <w:color w:val="D61C5A"/>
              </w:rPr>
              <w:t>Board and Committee Membership — 2018 Attendance</w:t>
            </w:r>
          </w:p>
        </w:tc>
        <w:tc>
          <w:tcPr>
            <w:tcW w:w="2200" w:type="dxa"/>
            <w:vAlign w:val="bottom"/>
          </w:tcPr>
          <w:p>
            <w:pPr>
              <w:spacing w:after="0"/>
              <w:rPr>
                <w:sz w:val="15"/>
                <w:szCs w:val="15"/>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color w:val="auto"/>
              </w:rPr>
              <w:t>Board of Directors</w:t>
            </w:r>
          </w:p>
        </w:tc>
        <w:tc>
          <w:tcPr>
            <w:tcW w:w="3080" w:type="dxa"/>
            <w:vAlign w:val="bottom"/>
          </w:tcPr>
          <w:p>
            <w:pPr>
              <w:spacing w:after="0"/>
              <w:rPr>
                <w:sz w:val="19"/>
                <w:szCs w:val="19"/>
                <w:color w:val="auto"/>
              </w:rPr>
            </w:pPr>
          </w:p>
        </w:tc>
        <w:tc>
          <w:tcPr>
            <w:tcW w:w="2200" w:type="dxa"/>
            <w:vAlign w:val="bottom"/>
          </w:tcPr>
          <w:p>
            <w:pPr>
              <w:ind w:left="200"/>
              <w:spacing w:after="0"/>
              <w:rPr>
                <w:sz w:val="20"/>
                <w:szCs w:val="20"/>
                <w:color w:val="auto"/>
              </w:rPr>
            </w:pPr>
            <w:r>
              <w:rPr>
                <w:rFonts w:ascii="Arial" w:cs="Arial" w:eastAsia="Arial" w:hAnsi="Arial"/>
                <w:sz w:val="15"/>
                <w:szCs w:val="15"/>
                <w:b w:val="1"/>
                <w:bCs w:val="1"/>
                <w:color w:val="205BA8"/>
              </w:rPr>
              <w:t>6/6</w:t>
            </w:r>
          </w:p>
        </w:tc>
      </w:tr>
      <w:tr>
        <w:trPr>
          <w:trHeight w:val="221"/>
        </w:trPr>
        <w:tc>
          <w:tcPr>
            <w:tcW w:w="1380" w:type="dxa"/>
            <w:vAlign w:val="bottom"/>
          </w:tcPr>
          <w:p>
            <w:pPr>
              <w:spacing w:after="0"/>
              <w:rPr>
                <w:sz w:val="20"/>
                <w:szCs w:val="20"/>
                <w:color w:val="auto"/>
              </w:rPr>
            </w:pPr>
            <w:r>
              <w:rPr>
                <w:rFonts w:ascii="Arial" w:cs="Arial" w:eastAsia="Arial" w:hAnsi="Arial"/>
                <w:sz w:val="15"/>
                <w:szCs w:val="15"/>
                <w:color w:val="auto"/>
              </w:rPr>
              <w:t>Audit Committee</w:t>
            </w:r>
          </w:p>
        </w:tc>
        <w:tc>
          <w:tcPr>
            <w:tcW w:w="3080" w:type="dxa"/>
            <w:vAlign w:val="bottom"/>
          </w:tcPr>
          <w:p>
            <w:pPr>
              <w:spacing w:after="0"/>
              <w:rPr>
                <w:sz w:val="19"/>
                <w:szCs w:val="19"/>
                <w:color w:val="auto"/>
              </w:rPr>
            </w:pPr>
          </w:p>
        </w:tc>
        <w:tc>
          <w:tcPr>
            <w:tcW w:w="2200" w:type="dxa"/>
            <w:vAlign w:val="bottom"/>
          </w:tcPr>
          <w:p>
            <w:pPr>
              <w:ind w:left="200"/>
              <w:spacing w:after="0"/>
              <w:rPr>
                <w:sz w:val="20"/>
                <w:szCs w:val="20"/>
                <w:color w:val="auto"/>
              </w:rPr>
            </w:pPr>
            <w:r>
              <w:rPr>
                <w:rFonts w:ascii="Arial" w:cs="Arial" w:eastAsia="Arial" w:hAnsi="Arial"/>
                <w:sz w:val="15"/>
                <w:szCs w:val="15"/>
                <w:b w:val="1"/>
                <w:bCs w:val="1"/>
                <w:color w:val="205BA8"/>
              </w:rPr>
              <w:t>10/11</w:t>
            </w:r>
          </w:p>
        </w:tc>
      </w:tr>
      <w:tr>
        <w:trPr>
          <w:trHeight w:val="221"/>
        </w:trPr>
        <w:tc>
          <w:tcPr>
            <w:tcW w:w="4460" w:type="dxa"/>
            <w:vAlign w:val="bottom"/>
            <w:gridSpan w:val="2"/>
          </w:tcPr>
          <w:p>
            <w:pPr>
              <w:spacing w:after="0"/>
              <w:rPr>
                <w:sz w:val="20"/>
                <w:szCs w:val="20"/>
                <w:color w:val="auto"/>
              </w:rPr>
            </w:pPr>
            <w:r>
              <w:rPr>
                <w:rFonts w:ascii="Arial" w:cs="Arial" w:eastAsia="Arial" w:hAnsi="Arial"/>
                <w:sz w:val="15"/>
                <w:szCs w:val="15"/>
                <w:color w:val="auto"/>
              </w:rPr>
              <w:t>Corporate Governance and Compliance Committee (Chairman)</w:t>
            </w:r>
          </w:p>
        </w:tc>
        <w:tc>
          <w:tcPr>
            <w:tcW w:w="2200" w:type="dxa"/>
            <w:vAlign w:val="bottom"/>
          </w:tcPr>
          <w:p>
            <w:pPr>
              <w:ind w:left="200"/>
              <w:spacing w:after="0"/>
              <w:rPr>
                <w:sz w:val="20"/>
                <w:szCs w:val="20"/>
                <w:color w:val="auto"/>
              </w:rPr>
            </w:pPr>
            <w:r>
              <w:rPr>
                <w:rFonts w:ascii="Arial" w:cs="Arial" w:eastAsia="Arial" w:hAnsi="Arial"/>
                <w:sz w:val="15"/>
                <w:szCs w:val="15"/>
                <w:b w:val="1"/>
                <w:bCs w:val="1"/>
                <w:color w:val="205BA8"/>
              </w:rPr>
              <w:t>5/5</w:t>
            </w:r>
          </w:p>
        </w:tc>
      </w:tr>
      <w:tr>
        <w:trPr>
          <w:trHeight w:val="177"/>
        </w:trPr>
        <w:tc>
          <w:tcPr>
            <w:tcW w:w="4460" w:type="dxa"/>
            <w:vAlign w:val="bottom"/>
            <w:tcBorders>
              <w:bottom w:val="single" w:sz="8" w:color="auto"/>
            </w:tcBorders>
            <w:gridSpan w:val="2"/>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r>
      <w:tr>
        <w:trPr>
          <w:trHeight w:val="358"/>
        </w:trPr>
        <w:tc>
          <w:tcPr>
            <w:tcW w:w="4460" w:type="dxa"/>
            <w:vAlign w:val="bottom"/>
            <w:gridSpan w:val="2"/>
          </w:tcPr>
          <w:p>
            <w:pPr>
              <w:spacing w:after="0"/>
              <w:rPr>
                <w:sz w:val="20"/>
                <w:szCs w:val="20"/>
                <w:color w:val="auto"/>
              </w:rPr>
            </w:pPr>
            <w:r>
              <w:rPr>
                <w:rFonts w:ascii="Arial" w:cs="Arial" w:eastAsia="Arial" w:hAnsi="Arial"/>
                <w:sz w:val="14"/>
                <w:szCs w:val="14"/>
                <w:b w:val="1"/>
                <w:bCs w:val="1"/>
                <w:color w:val="D61C5A"/>
              </w:rPr>
              <w:t>Prior Voting Results — 2018</w:t>
            </w:r>
          </w:p>
        </w:tc>
        <w:tc>
          <w:tcPr>
            <w:tcW w:w="2200" w:type="dxa"/>
            <w:vAlign w:val="bottom"/>
          </w:tcPr>
          <w:p>
            <w:pPr>
              <w:spacing w:after="0"/>
              <w:rPr>
                <w:sz w:val="24"/>
                <w:szCs w:val="24"/>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color w:val="auto"/>
              </w:rPr>
              <w:t>For</w:t>
            </w:r>
          </w:p>
        </w:tc>
        <w:tc>
          <w:tcPr>
            <w:tcW w:w="3080" w:type="dxa"/>
            <w:vAlign w:val="bottom"/>
          </w:tcPr>
          <w:p>
            <w:pPr>
              <w:jc w:val="right"/>
              <w:ind w:right="2424"/>
              <w:spacing w:after="0"/>
              <w:rPr>
                <w:sz w:val="20"/>
                <w:szCs w:val="20"/>
                <w:color w:val="auto"/>
              </w:rPr>
            </w:pPr>
            <w:r>
              <w:rPr>
                <w:rFonts w:ascii="Arial" w:cs="Arial" w:eastAsia="Arial" w:hAnsi="Arial"/>
                <w:sz w:val="15"/>
                <w:szCs w:val="15"/>
                <w:b w:val="1"/>
                <w:bCs w:val="1"/>
                <w:color w:val="205BA8"/>
              </w:rPr>
              <w:t>88.8%</w:t>
            </w:r>
          </w:p>
        </w:tc>
        <w:tc>
          <w:tcPr>
            <w:tcW w:w="2200" w:type="dxa"/>
            <w:vAlign w:val="bottom"/>
          </w:tcPr>
          <w:p>
            <w:pPr>
              <w:spacing w:after="0"/>
              <w:rPr>
                <w:sz w:val="19"/>
                <w:szCs w:val="19"/>
                <w:color w:val="auto"/>
              </w:rPr>
            </w:pPr>
          </w:p>
        </w:tc>
      </w:tr>
      <w:tr>
        <w:trPr>
          <w:trHeight w:val="221"/>
        </w:trPr>
        <w:tc>
          <w:tcPr>
            <w:tcW w:w="1380" w:type="dxa"/>
            <w:vAlign w:val="bottom"/>
          </w:tcPr>
          <w:p>
            <w:pPr>
              <w:spacing w:after="0"/>
              <w:rPr>
                <w:sz w:val="20"/>
                <w:szCs w:val="20"/>
                <w:color w:val="auto"/>
              </w:rPr>
            </w:pPr>
            <w:r>
              <w:rPr>
                <w:rFonts w:ascii="Arial" w:cs="Arial" w:eastAsia="Arial" w:hAnsi="Arial"/>
                <w:sz w:val="15"/>
                <w:szCs w:val="15"/>
                <w:color w:val="auto"/>
              </w:rPr>
              <w:t>Against</w:t>
            </w:r>
          </w:p>
        </w:tc>
        <w:tc>
          <w:tcPr>
            <w:tcW w:w="3080" w:type="dxa"/>
            <w:vAlign w:val="bottom"/>
          </w:tcPr>
          <w:p>
            <w:pPr>
              <w:jc w:val="right"/>
              <w:ind w:right="2424"/>
              <w:spacing w:after="0"/>
              <w:rPr>
                <w:sz w:val="20"/>
                <w:szCs w:val="20"/>
                <w:color w:val="auto"/>
              </w:rPr>
            </w:pPr>
            <w:r>
              <w:rPr>
                <w:rFonts w:ascii="Arial" w:cs="Arial" w:eastAsia="Arial" w:hAnsi="Arial"/>
                <w:sz w:val="15"/>
                <w:szCs w:val="15"/>
                <w:b w:val="1"/>
                <w:bCs w:val="1"/>
                <w:color w:val="205BA8"/>
              </w:rPr>
              <w:t>11.2%</w:t>
            </w: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720"/>
            <w:col w:w="7160"/>
          </w:cols>
          <w:pgMar w:left="240" w:top="396" w:right="239" w:bottom="1440" w:gutter="0" w:footer="0" w:header="0"/>
          <w:type w:val="continuous"/>
        </w:sectPr>
      </w:pPr>
    </w:p>
    <w:p>
      <w:pPr>
        <w:spacing w:after="0" w:line="17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ind w:left="4260"/>
              <w:spacing w:after="0"/>
              <w:rPr>
                <w:sz w:val="20"/>
                <w:szCs w:val="20"/>
                <w:color w:val="auto"/>
              </w:rPr>
            </w:pPr>
            <w:r>
              <w:rPr>
                <w:rFonts w:ascii="Arial" w:cs="Arial" w:eastAsia="Arial" w:hAnsi="Arial"/>
                <w:sz w:val="15"/>
                <w:szCs w:val="15"/>
                <w:color w:val="auto"/>
              </w:rPr>
              <w:t>Common Stock</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28,500</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Options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42,950</w:t>
            </w:r>
          </w:p>
        </w:tc>
      </w:tr>
      <w:tr>
        <w:trPr>
          <w:trHeight w:val="221"/>
        </w:trPr>
        <w:tc>
          <w:tcPr>
            <w:tcW w:w="5540" w:type="dxa"/>
            <w:vAlign w:val="bottom"/>
          </w:tcPr>
          <w:p>
            <w:pPr>
              <w:ind w:left="4260"/>
              <w:spacing w:after="0"/>
              <w:rPr>
                <w:sz w:val="20"/>
                <w:szCs w:val="20"/>
                <w:color w:val="auto"/>
              </w:rPr>
            </w:pPr>
            <w:r>
              <w:rPr>
                <w:rFonts w:ascii="Arial" w:cs="Arial" w:eastAsia="Arial" w:hAnsi="Arial"/>
                <w:sz w:val="15"/>
                <w:szCs w:val="15"/>
                <w:color w:val="auto"/>
              </w:rPr>
              <w:t>RSUs</w:t>
            </w:r>
          </w:p>
        </w:tc>
        <w:tc>
          <w:tcPr>
            <w:tcW w:w="5880" w:type="dxa"/>
            <w:vAlign w:val="bottom"/>
          </w:tcPr>
          <w:p>
            <w:pPr>
              <w:ind w:left="260"/>
              <w:spacing w:after="0"/>
              <w:rPr>
                <w:sz w:val="20"/>
                <w:szCs w:val="20"/>
                <w:color w:val="auto"/>
              </w:rPr>
            </w:pPr>
            <w:r>
              <w:rPr>
                <w:rFonts w:ascii="Arial" w:cs="Arial" w:eastAsia="Arial" w:hAnsi="Arial"/>
                <w:sz w:val="15"/>
                <w:szCs w:val="15"/>
                <w:b w:val="1"/>
                <w:bCs w:val="1"/>
                <w:color w:val="205BA8"/>
              </w:rPr>
              <w:t>145</w:t>
            </w:r>
          </w:p>
        </w:tc>
      </w:tr>
      <w:tr>
        <w:trPr>
          <w:trHeight w:val="347"/>
        </w:trPr>
        <w:tc>
          <w:tcPr>
            <w:tcW w:w="55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880" w:type="dxa"/>
            <w:vAlign w:val="bottom"/>
          </w:tcPr>
          <w:p>
            <w:pPr>
              <w:jc w:val="right"/>
              <w:ind w:right="426"/>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17</w:t>
            </w:r>
          </w:p>
        </w:tc>
      </w:tr>
      <w:tr>
        <w:trPr>
          <w:trHeight w:val="252"/>
        </w:trPr>
        <w:tc>
          <w:tcPr>
            <w:tcW w:w="5540" w:type="dxa"/>
            <w:vAlign w:val="bottom"/>
            <w:tcBorders>
              <w:bottom w:val="single" w:sz="8" w:color="C0C0C0"/>
            </w:tcBorders>
          </w:tcPr>
          <w:p>
            <w:pPr>
              <w:spacing w:after="0"/>
              <w:rPr>
                <w:sz w:val="21"/>
                <w:szCs w:val="21"/>
                <w:color w:val="auto"/>
              </w:rPr>
            </w:pPr>
          </w:p>
        </w:tc>
        <w:tc>
          <w:tcPr>
            <w:tcW w:w="58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600190" cy="2806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FFFFFF"/>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1361440" cy="13614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1988</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69</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Since 1998, Mr. Sing has been a Managing Director of Lancet Capital, a venture capital investment firm in the healthcare field. From 2004 to 2015, Mr. Sing served as Chief Executive Officer of Stemnion, Inc. (currently known as Noveome Biotherapeutics, Inc.), a biomedical company in the regenerative medicine field.</w:t>
      </w:r>
    </w:p>
    <w:p>
      <w:pPr>
        <w:spacing w:after="0" w:line="157"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2240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Board and Committee Membership — 2018 Attendance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80" w:type="dxa"/>
            <w:vAlign w:val="bottom"/>
          </w:tcPr>
          <w:p>
            <w:pPr>
              <w:spacing w:after="0"/>
              <w:rPr>
                <w:sz w:val="20"/>
                <w:szCs w:val="20"/>
                <w:color w:val="auto"/>
              </w:rPr>
            </w:pPr>
            <w:r>
              <w:rPr>
                <w:rFonts w:ascii="Arial" w:cs="Arial" w:eastAsia="Arial" w:hAnsi="Arial"/>
                <w:sz w:val="15"/>
                <w:szCs w:val="15"/>
                <w:color w:val="auto"/>
              </w:rPr>
              <w:t>Board of Directors</w:t>
            </w:r>
          </w:p>
        </w:tc>
        <w:tc>
          <w:tcPr>
            <w:tcW w:w="940" w:type="dxa"/>
            <w:vAlign w:val="bottom"/>
          </w:tcPr>
          <w:p>
            <w:pPr>
              <w:spacing w:after="0"/>
              <w:rPr>
                <w:sz w:val="17"/>
                <w:szCs w:val="17"/>
                <w:color w:val="auto"/>
              </w:rPr>
            </w:pPr>
          </w:p>
        </w:tc>
        <w:tc>
          <w:tcPr>
            <w:tcW w:w="4340" w:type="dxa"/>
            <w:vAlign w:val="bottom"/>
          </w:tcPr>
          <w:p>
            <w:pPr>
              <w:ind w:left="340"/>
              <w:spacing w:after="0"/>
              <w:rPr>
                <w:sz w:val="20"/>
                <w:szCs w:val="20"/>
                <w:color w:val="auto"/>
              </w:rPr>
            </w:pPr>
            <w:r>
              <w:rPr>
                <w:rFonts w:ascii="Arial" w:cs="Arial" w:eastAsia="Arial" w:hAnsi="Arial"/>
                <w:sz w:val="15"/>
                <w:szCs w:val="15"/>
                <w:b w:val="1"/>
                <w:bCs w:val="1"/>
                <w:color w:val="205BA8"/>
              </w:rPr>
              <w:t>6/6</w:t>
            </w:r>
          </w:p>
        </w:tc>
      </w:tr>
      <w:tr>
        <w:trPr>
          <w:trHeight w:val="221"/>
        </w:trPr>
        <w:tc>
          <w:tcPr>
            <w:tcW w:w="2320" w:type="dxa"/>
            <w:vAlign w:val="bottom"/>
            <w:gridSpan w:val="2"/>
          </w:tcPr>
          <w:p>
            <w:pPr>
              <w:spacing w:after="0"/>
              <w:rPr>
                <w:sz w:val="20"/>
                <w:szCs w:val="20"/>
                <w:color w:val="auto"/>
              </w:rPr>
            </w:pPr>
            <w:r>
              <w:rPr>
                <w:rFonts w:ascii="Arial" w:cs="Arial" w:eastAsia="Arial" w:hAnsi="Arial"/>
                <w:sz w:val="15"/>
                <w:szCs w:val="15"/>
                <w:color w:val="auto"/>
              </w:rPr>
              <w:t>Audit Committee (Chairman)</w:t>
            </w:r>
          </w:p>
        </w:tc>
        <w:tc>
          <w:tcPr>
            <w:tcW w:w="4340" w:type="dxa"/>
            <w:vAlign w:val="bottom"/>
          </w:tcPr>
          <w:p>
            <w:pPr>
              <w:ind w:left="340"/>
              <w:spacing w:after="0"/>
              <w:rPr>
                <w:sz w:val="20"/>
                <w:szCs w:val="20"/>
                <w:color w:val="auto"/>
              </w:rPr>
            </w:pPr>
            <w:r>
              <w:rPr>
                <w:rFonts w:ascii="Arial" w:cs="Arial" w:eastAsia="Arial" w:hAnsi="Arial"/>
                <w:sz w:val="15"/>
                <w:szCs w:val="15"/>
                <w:b w:val="1"/>
                <w:bCs w:val="1"/>
                <w:color w:val="205BA8"/>
              </w:rPr>
              <w:t>11/11</w:t>
            </w:r>
          </w:p>
        </w:tc>
      </w:tr>
      <w:tr>
        <w:trPr>
          <w:trHeight w:val="221"/>
        </w:trPr>
        <w:tc>
          <w:tcPr>
            <w:tcW w:w="2320" w:type="dxa"/>
            <w:vAlign w:val="bottom"/>
            <w:gridSpan w:val="2"/>
          </w:tcPr>
          <w:p>
            <w:pPr>
              <w:spacing w:after="0"/>
              <w:rPr>
                <w:sz w:val="20"/>
                <w:szCs w:val="20"/>
                <w:color w:val="auto"/>
              </w:rPr>
            </w:pPr>
            <w:r>
              <w:rPr>
                <w:rFonts w:ascii="Arial" w:cs="Arial" w:eastAsia="Arial" w:hAnsi="Arial"/>
                <w:sz w:val="15"/>
                <w:szCs w:val="15"/>
                <w:color w:val="auto"/>
              </w:rPr>
              <w:t>Compensation Committee</w:t>
            </w:r>
          </w:p>
        </w:tc>
        <w:tc>
          <w:tcPr>
            <w:tcW w:w="4340" w:type="dxa"/>
            <w:vAlign w:val="bottom"/>
          </w:tcPr>
          <w:p>
            <w:pPr>
              <w:ind w:left="340"/>
              <w:spacing w:after="0"/>
              <w:rPr>
                <w:sz w:val="20"/>
                <w:szCs w:val="20"/>
                <w:color w:val="auto"/>
              </w:rPr>
            </w:pPr>
            <w:r>
              <w:rPr>
                <w:rFonts w:ascii="Arial" w:cs="Arial" w:eastAsia="Arial" w:hAnsi="Arial"/>
                <w:sz w:val="15"/>
                <w:szCs w:val="15"/>
                <w:b w:val="1"/>
                <w:bCs w:val="1"/>
                <w:color w:val="205BA8"/>
              </w:rPr>
              <w:t>10/10</w:t>
            </w:r>
          </w:p>
        </w:tc>
      </w:tr>
      <w:tr>
        <w:trPr>
          <w:trHeight w:val="177"/>
        </w:trPr>
        <w:tc>
          <w:tcPr>
            <w:tcW w:w="2320" w:type="dxa"/>
            <w:vAlign w:val="bottom"/>
            <w:tcBorders>
              <w:bottom w:val="single" w:sz="8" w:color="auto"/>
            </w:tcBorders>
            <w:gridSpan w:val="2"/>
          </w:tcPr>
          <w:p>
            <w:pPr>
              <w:spacing w:after="0"/>
              <w:rPr>
                <w:sz w:val="15"/>
                <w:szCs w:val="15"/>
                <w:color w:val="auto"/>
              </w:rPr>
            </w:pPr>
          </w:p>
        </w:tc>
        <w:tc>
          <w:tcPr>
            <w:tcW w:w="4340" w:type="dxa"/>
            <w:vAlign w:val="bottom"/>
            <w:tcBorders>
              <w:bottom w:val="single" w:sz="8" w:color="auto"/>
            </w:tcBorders>
          </w:tcPr>
          <w:p>
            <w:pPr>
              <w:spacing w:after="0"/>
              <w:rPr>
                <w:sz w:val="15"/>
                <w:szCs w:val="15"/>
                <w:color w:val="auto"/>
              </w:rPr>
            </w:pPr>
          </w:p>
        </w:tc>
      </w:tr>
      <w:tr>
        <w:trPr>
          <w:trHeight w:val="358"/>
        </w:trPr>
        <w:tc>
          <w:tcPr>
            <w:tcW w:w="2320" w:type="dxa"/>
            <w:vAlign w:val="bottom"/>
            <w:gridSpan w:val="2"/>
          </w:tcPr>
          <w:p>
            <w:pPr>
              <w:spacing w:after="0"/>
              <w:rPr>
                <w:sz w:val="20"/>
                <w:szCs w:val="20"/>
                <w:color w:val="auto"/>
              </w:rPr>
            </w:pPr>
            <w:r>
              <w:rPr>
                <w:rFonts w:ascii="Arial" w:cs="Arial" w:eastAsia="Arial" w:hAnsi="Arial"/>
                <w:sz w:val="14"/>
                <w:szCs w:val="14"/>
                <w:b w:val="1"/>
                <w:bCs w:val="1"/>
                <w:color w:val="D61C5A"/>
              </w:rPr>
              <w:t>Prior Voting Results — 2018</w:t>
            </w:r>
          </w:p>
        </w:tc>
        <w:tc>
          <w:tcPr>
            <w:tcW w:w="4340" w:type="dxa"/>
            <w:vAlign w:val="bottom"/>
          </w:tcPr>
          <w:p>
            <w:pPr>
              <w:spacing w:after="0"/>
              <w:rPr>
                <w:sz w:val="24"/>
                <w:szCs w:val="24"/>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color w:val="auto"/>
              </w:rPr>
              <w:t>For</w:t>
            </w:r>
          </w:p>
        </w:tc>
        <w:tc>
          <w:tcPr>
            <w:tcW w:w="940" w:type="dxa"/>
            <w:vAlign w:val="bottom"/>
          </w:tcPr>
          <w:p>
            <w:pPr>
              <w:jc w:val="right"/>
              <w:ind w:right="284"/>
              <w:spacing w:after="0"/>
              <w:rPr>
                <w:sz w:val="20"/>
                <w:szCs w:val="20"/>
                <w:color w:val="auto"/>
              </w:rPr>
            </w:pPr>
            <w:r>
              <w:rPr>
                <w:rFonts w:ascii="Arial" w:cs="Arial" w:eastAsia="Arial" w:hAnsi="Arial"/>
                <w:sz w:val="15"/>
                <w:szCs w:val="15"/>
                <w:b w:val="1"/>
                <w:bCs w:val="1"/>
                <w:color w:val="205BA8"/>
              </w:rPr>
              <w:t>64.0%</w:t>
            </w:r>
          </w:p>
        </w:tc>
        <w:tc>
          <w:tcPr>
            <w:tcW w:w="4340" w:type="dxa"/>
            <w:vAlign w:val="bottom"/>
          </w:tcPr>
          <w:p>
            <w:pPr>
              <w:spacing w:after="0"/>
              <w:rPr>
                <w:sz w:val="19"/>
                <w:szCs w:val="19"/>
                <w:color w:val="auto"/>
              </w:rPr>
            </w:pPr>
          </w:p>
        </w:tc>
      </w:tr>
      <w:tr>
        <w:trPr>
          <w:trHeight w:val="221"/>
        </w:trPr>
        <w:tc>
          <w:tcPr>
            <w:tcW w:w="1380" w:type="dxa"/>
            <w:vAlign w:val="bottom"/>
          </w:tcPr>
          <w:p>
            <w:pPr>
              <w:spacing w:after="0"/>
              <w:rPr>
                <w:sz w:val="20"/>
                <w:szCs w:val="20"/>
                <w:color w:val="auto"/>
              </w:rPr>
            </w:pPr>
            <w:r>
              <w:rPr>
                <w:rFonts w:ascii="Arial" w:cs="Arial" w:eastAsia="Arial" w:hAnsi="Arial"/>
                <w:sz w:val="15"/>
                <w:szCs w:val="15"/>
                <w:color w:val="auto"/>
              </w:rPr>
              <w:t>Against</w:t>
            </w:r>
          </w:p>
        </w:tc>
        <w:tc>
          <w:tcPr>
            <w:tcW w:w="940" w:type="dxa"/>
            <w:vAlign w:val="bottom"/>
          </w:tcPr>
          <w:p>
            <w:pPr>
              <w:jc w:val="right"/>
              <w:ind w:right="284"/>
              <w:spacing w:after="0"/>
              <w:rPr>
                <w:sz w:val="20"/>
                <w:szCs w:val="20"/>
                <w:color w:val="auto"/>
              </w:rPr>
            </w:pPr>
            <w:r>
              <w:rPr>
                <w:rFonts w:ascii="Arial" w:cs="Arial" w:eastAsia="Arial" w:hAnsi="Arial"/>
                <w:sz w:val="15"/>
                <w:szCs w:val="15"/>
                <w:b w:val="1"/>
                <w:bCs w:val="1"/>
                <w:color w:val="205BA8"/>
              </w:rPr>
              <w:t>36.0%</w:t>
            </w:r>
          </w:p>
        </w:tc>
        <w:tc>
          <w:tcPr>
            <w:tcW w:w="4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2240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Regeneron Securities Beneficially Owned as of April 17,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80" w:type="dxa"/>
            <w:vAlign w:val="bottom"/>
          </w:tcPr>
          <w:p>
            <w:pPr>
              <w:spacing w:after="0"/>
              <w:rPr>
                <w:sz w:val="20"/>
                <w:szCs w:val="20"/>
                <w:color w:val="auto"/>
              </w:rPr>
            </w:pPr>
            <w:r>
              <w:rPr>
                <w:rFonts w:ascii="Arial" w:cs="Arial" w:eastAsia="Arial" w:hAnsi="Arial"/>
                <w:sz w:val="15"/>
                <w:szCs w:val="15"/>
                <w:color w:val="auto"/>
              </w:rPr>
              <w:t>Common Stock</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205BA8"/>
                <w:w w:val="95"/>
              </w:rPr>
              <w:t>132,272</w:t>
            </w:r>
          </w:p>
        </w:tc>
      </w:tr>
      <w:tr>
        <w:trPr>
          <w:trHeight w:val="221"/>
        </w:trPr>
        <w:tc>
          <w:tcPr>
            <w:tcW w:w="128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205BA8"/>
                <w:w w:val="95"/>
              </w:rPr>
              <w:t>102,200</w:t>
            </w:r>
          </w:p>
        </w:tc>
      </w:tr>
      <w:tr>
        <w:trPr>
          <w:trHeight w:val="221"/>
        </w:trPr>
        <w:tc>
          <w:tcPr>
            <w:tcW w:w="1280" w:type="dxa"/>
            <w:vAlign w:val="bottom"/>
          </w:tcPr>
          <w:p>
            <w:pPr>
              <w:spacing w:after="0"/>
              <w:rPr>
                <w:sz w:val="20"/>
                <w:szCs w:val="20"/>
                <w:color w:val="auto"/>
              </w:rPr>
            </w:pPr>
            <w:r>
              <w:rPr>
                <w:rFonts w:ascii="Arial" w:cs="Arial" w:eastAsia="Arial" w:hAnsi="Arial"/>
                <w:sz w:val="15"/>
                <w:szCs w:val="15"/>
                <w:color w:val="auto"/>
              </w:rPr>
              <w:t>RSUs</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205BA8"/>
              </w:rPr>
              <w:t>145</w:t>
            </w:r>
          </w:p>
        </w:tc>
      </w:tr>
    </w:tbl>
    <w:p>
      <w:pPr>
        <w:spacing w:after="0" w:line="17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164465</wp:posOffset>
            </wp:positionV>
            <wp:extent cx="7251700"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3020" w:space="720"/>
            <w:col w:w="6660"/>
          </w:cols>
          <w:pgMar w:left="760" w:top="396" w:right="739" w:bottom="1440" w:gutter="0" w:footer="0" w:header="0"/>
          <w:type w:val="continuous"/>
        </w:sectPr>
      </w:pPr>
    </w:p>
    <w:bookmarkStart w:id="31" w:name="page32"/>
    <w:bookmarkEnd w:id="31"/>
    <w:p>
      <w:pPr>
        <w:jc w:val="right"/>
        <w:ind w:right="500"/>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149225</wp:posOffset>
            </wp:positionV>
            <wp:extent cx="6600190" cy="280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00190" cy="280670"/>
                    </a:xfrm>
                    <a:prstGeom prst="rect">
                      <a:avLst/>
                    </a:prstGeom>
                    <a:noFill/>
                  </pic:spPr>
                </pic:pic>
              </a:graphicData>
            </a:graphic>
          </wp:anchor>
        </w:drawing>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FFFFFF"/>
        </w:rPr>
        <w:t>MARC TESSIER-LAVIGNE, PH.D.</w:t>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Director since: </w:t>
      </w:r>
      <w:r>
        <w:rPr>
          <w:rFonts w:ascii="Arial" w:cs="Arial" w:eastAsia="Arial" w:hAnsi="Arial"/>
          <w:sz w:val="14"/>
          <w:szCs w:val="14"/>
          <w:color w:val="205BA8"/>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-1575435</wp:posOffset>
            </wp:positionV>
            <wp:extent cx="1361440" cy="13614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61440" cy="1361440"/>
                    </a:xfrm>
                    <a:prstGeom prst="rect">
                      <a:avLst/>
                    </a:prstGeom>
                    <a:noFill/>
                  </pic:spPr>
                </pic:pic>
              </a:graphicData>
            </a:graphic>
          </wp:anchor>
        </w:drawing>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 xml:space="preserve">Age: </w:t>
      </w:r>
      <w:r>
        <w:rPr>
          <w:rFonts w:ascii="Arial" w:cs="Arial" w:eastAsia="Arial" w:hAnsi="Arial"/>
          <w:sz w:val="14"/>
          <w:szCs w:val="14"/>
          <w:color w:val="205BA8"/>
        </w:rPr>
        <w:t>59</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05BA8"/>
        </w:rPr>
        <w:t>Independent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D61C5A"/>
        </w:rPr>
        <w:t>Experience and Qualifications</w:t>
      </w:r>
    </w:p>
    <w:p>
      <w:pPr>
        <w:spacing w:after="0" w:line="103" w:lineRule="exact"/>
        <w:rPr>
          <w:sz w:val="20"/>
          <w:szCs w:val="20"/>
          <w:color w:val="auto"/>
        </w:rPr>
      </w:pPr>
    </w:p>
    <w:p>
      <w:pPr>
        <w:ind w:right="540"/>
        <w:spacing w:after="0" w:line="236" w:lineRule="auto"/>
        <w:rPr>
          <w:sz w:val="20"/>
          <w:szCs w:val="20"/>
          <w:color w:val="auto"/>
        </w:rPr>
      </w:pPr>
      <w:r>
        <w:rPr>
          <w:rFonts w:ascii="Arial" w:cs="Arial" w:eastAsia="Arial" w:hAnsi="Arial"/>
          <w:sz w:val="15"/>
          <w:szCs w:val="15"/>
          <w:color w:val="auto"/>
        </w:rPr>
        <w:t>Dr. Tessier-Lavigne has been the President of Stanford University since 2016. Before assuming his role at Stanford, he served as the President of The Rockefeller University and a Carson Family Professor and head of the Laboratory of Brain Development at The Rockefeller University from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National Academy of Medicine, and a fellow of the Royal Societies of London and Canada. Dr. Tessier-Lavigne is a member of the Board of Directors of Denali Therapeutics Inc., and previously served on the board of directors of Pfizer Inc., Agios Pharmaceuticals, Inc., and Juno Therapeutics, Inc.</w:t>
      </w:r>
    </w:p>
    <w:p>
      <w:pPr>
        <w:spacing w:after="0" w:line="162" w:lineRule="exact"/>
        <w:rPr>
          <w:sz w:val="20"/>
          <w:szCs w:val="20"/>
          <w:color w:val="auto"/>
        </w:rPr>
      </w:pPr>
    </w:p>
    <w:p>
      <w:pPr>
        <w:jc w:val="both"/>
        <w:ind w:right="520"/>
        <w:spacing w:after="0" w:line="241" w:lineRule="auto"/>
        <w:rPr>
          <w:sz w:val="20"/>
          <w:szCs w:val="20"/>
          <w:color w:val="auto"/>
        </w:rPr>
      </w:pPr>
      <w:r>
        <w:rPr>
          <w:rFonts w:ascii="Arial" w:cs="Arial" w:eastAsia="Arial" w:hAnsi="Arial"/>
          <w:sz w:val="15"/>
          <w:szCs w:val="15"/>
          <w:color w:val="auto"/>
        </w:rPr>
        <w:t>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2240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3540" w:space="720"/>
            <w:col w:w="716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760" w:type="dxa"/>
            <w:vAlign w:val="bottom"/>
            <w:vMerge w:val="restart"/>
          </w:tcPr>
          <w:p>
            <w:pPr>
              <w:ind w:left="520"/>
              <w:spacing w:after="0"/>
              <w:rPr>
                <w:sz w:val="20"/>
                <w:szCs w:val="20"/>
                <w:color w:val="auto"/>
              </w:rPr>
            </w:pPr>
            <w:r>
              <w:rPr>
                <w:rFonts w:ascii="Arial" w:cs="Arial" w:eastAsia="Arial" w:hAnsi="Arial"/>
                <w:sz w:val="14"/>
                <w:szCs w:val="14"/>
                <w:b w:val="1"/>
                <w:bCs w:val="1"/>
                <w:color w:val="205BA8"/>
              </w:rPr>
              <w:t>Scientific Society Memberships</w:t>
            </w:r>
          </w:p>
        </w:tc>
        <w:tc>
          <w:tcPr>
            <w:tcW w:w="7660" w:type="dxa"/>
            <w:vAlign w:val="bottom"/>
            <w:gridSpan w:val="5"/>
          </w:tcPr>
          <w:p>
            <w:pPr>
              <w:ind w:left="500"/>
              <w:spacing w:after="0"/>
              <w:rPr>
                <w:sz w:val="20"/>
                <w:szCs w:val="20"/>
                <w:color w:val="auto"/>
              </w:rPr>
            </w:pPr>
            <w:r>
              <w:rPr>
                <w:rFonts w:ascii="Arial" w:cs="Arial" w:eastAsia="Arial" w:hAnsi="Arial"/>
                <w:sz w:val="14"/>
                <w:szCs w:val="14"/>
                <w:b w:val="1"/>
                <w:bCs w:val="1"/>
                <w:color w:val="D61C5A"/>
              </w:rPr>
              <w:t>Board and Committee Membership — 2018 Attendance</w:t>
            </w:r>
          </w:p>
        </w:tc>
        <w:tc>
          <w:tcPr>
            <w:tcW w:w="0" w:type="dxa"/>
            <w:vAlign w:val="bottom"/>
          </w:tcPr>
          <w:p>
            <w:pPr>
              <w:spacing w:after="0"/>
              <w:rPr>
                <w:sz w:val="1"/>
                <w:szCs w:val="1"/>
                <w:color w:val="auto"/>
              </w:rPr>
            </w:pPr>
          </w:p>
        </w:tc>
      </w:tr>
      <w:tr>
        <w:trPr>
          <w:trHeight w:val="80"/>
        </w:trPr>
        <w:tc>
          <w:tcPr>
            <w:tcW w:w="3760" w:type="dxa"/>
            <w:vAlign w:val="bottom"/>
            <w:vMerge w:val="continue"/>
          </w:tcPr>
          <w:p>
            <w:pPr>
              <w:spacing w:after="0"/>
              <w:rPr>
                <w:sz w:val="6"/>
                <w:szCs w:val="6"/>
                <w:color w:val="auto"/>
              </w:rPr>
            </w:pPr>
          </w:p>
        </w:tc>
        <w:tc>
          <w:tcPr>
            <w:tcW w:w="1880" w:type="dxa"/>
            <w:vAlign w:val="bottom"/>
            <w:gridSpan w:val="2"/>
            <w:vMerge w:val="restart"/>
          </w:tcPr>
          <w:p>
            <w:pPr>
              <w:ind w:left="500"/>
              <w:spacing w:after="0"/>
              <w:rPr>
                <w:sz w:val="20"/>
                <w:szCs w:val="20"/>
                <w:color w:val="auto"/>
              </w:rPr>
            </w:pPr>
            <w:r>
              <w:rPr>
                <w:rFonts w:ascii="Arial" w:cs="Arial" w:eastAsia="Arial" w:hAnsi="Arial"/>
                <w:sz w:val="15"/>
                <w:szCs w:val="15"/>
                <w:color w:val="auto"/>
              </w:rPr>
              <w:t>Board of Directors</w:t>
            </w:r>
          </w:p>
        </w:tc>
        <w:tc>
          <w:tcPr>
            <w:tcW w:w="620" w:type="dxa"/>
            <w:vAlign w:val="bottom"/>
          </w:tcPr>
          <w:p>
            <w:pPr>
              <w:spacing w:after="0"/>
              <w:rPr>
                <w:sz w:val="6"/>
                <w:szCs w:val="6"/>
                <w:color w:val="auto"/>
              </w:rPr>
            </w:pPr>
          </w:p>
        </w:tc>
        <w:tc>
          <w:tcPr>
            <w:tcW w:w="4660" w:type="dxa"/>
            <w:vAlign w:val="bottom"/>
            <w:vMerge w:val="restart"/>
          </w:tcPr>
          <w:p>
            <w:pPr>
              <w:jc w:val="right"/>
              <w:ind w:right="4366"/>
              <w:spacing w:after="0"/>
              <w:rPr>
                <w:sz w:val="20"/>
                <w:szCs w:val="20"/>
                <w:color w:val="auto"/>
              </w:rPr>
            </w:pPr>
            <w:r>
              <w:rPr>
                <w:rFonts w:ascii="Arial" w:cs="Arial" w:eastAsia="Arial" w:hAnsi="Arial"/>
                <w:sz w:val="15"/>
                <w:szCs w:val="15"/>
                <w:b w:val="1"/>
                <w:bCs w:val="1"/>
                <w:color w:val="205BA8"/>
                <w:w w:val="95"/>
              </w:rPr>
              <w:t>5/6</w:t>
            </w: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3760" w:type="dxa"/>
            <w:vAlign w:val="bottom"/>
            <w:vMerge w:val="restart"/>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The National Academy of Sciences</w:t>
            </w:r>
          </w:p>
        </w:tc>
        <w:tc>
          <w:tcPr>
            <w:tcW w:w="18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6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760" w:type="dxa"/>
            <w:vAlign w:val="bottom"/>
            <w:vMerge w:val="continue"/>
          </w:tcPr>
          <w:p>
            <w:pPr>
              <w:spacing w:after="0"/>
              <w:rPr>
                <w:sz w:val="5"/>
                <w:szCs w:val="5"/>
                <w:color w:val="auto"/>
              </w:rPr>
            </w:pPr>
          </w:p>
        </w:tc>
        <w:tc>
          <w:tcPr>
            <w:tcW w:w="2500" w:type="dxa"/>
            <w:vAlign w:val="bottom"/>
            <w:gridSpan w:val="3"/>
            <w:vMerge w:val="restart"/>
          </w:tcPr>
          <w:p>
            <w:pPr>
              <w:ind w:left="500"/>
              <w:spacing w:after="0"/>
              <w:rPr>
                <w:sz w:val="20"/>
                <w:szCs w:val="20"/>
                <w:color w:val="auto"/>
              </w:rPr>
            </w:pPr>
            <w:r>
              <w:rPr>
                <w:rFonts w:ascii="Arial" w:cs="Arial" w:eastAsia="Arial" w:hAnsi="Arial"/>
                <w:sz w:val="15"/>
                <w:szCs w:val="15"/>
                <w:color w:val="auto"/>
              </w:rPr>
              <w:t>Technology Committee</w:t>
            </w:r>
          </w:p>
        </w:tc>
        <w:tc>
          <w:tcPr>
            <w:tcW w:w="4660" w:type="dxa"/>
            <w:vAlign w:val="bottom"/>
            <w:vMerge w:val="restart"/>
          </w:tcPr>
          <w:p>
            <w:pPr>
              <w:jc w:val="right"/>
              <w:ind w:right="4366"/>
              <w:spacing w:after="0"/>
              <w:rPr>
                <w:sz w:val="20"/>
                <w:szCs w:val="20"/>
                <w:color w:val="auto"/>
              </w:rPr>
            </w:pPr>
            <w:r>
              <w:rPr>
                <w:rFonts w:ascii="Arial" w:cs="Arial" w:eastAsia="Arial" w:hAnsi="Arial"/>
                <w:sz w:val="15"/>
                <w:szCs w:val="15"/>
                <w:b w:val="1"/>
                <w:bCs w:val="1"/>
                <w:color w:val="205BA8"/>
                <w:w w:val="95"/>
              </w:rPr>
              <w:t>3/3</w:t>
            </w: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760" w:type="dxa"/>
            <w:vAlign w:val="bottom"/>
            <w:vMerge w:val="restart"/>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The National Academy of Medicine</w:t>
            </w:r>
          </w:p>
        </w:tc>
        <w:tc>
          <w:tcPr>
            <w:tcW w:w="2500" w:type="dxa"/>
            <w:vAlign w:val="bottom"/>
            <w:gridSpan w:val="3"/>
            <w:vMerge w:val="continue"/>
          </w:tcPr>
          <w:p>
            <w:pPr>
              <w:spacing w:after="0"/>
              <w:rPr>
                <w:sz w:val="13"/>
                <w:szCs w:val="13"/>
                <w:color w:val="auto"/>
              </w:rPr>
            </w:pPr>
          </w:p>
        </w:tc>
        <w:tc>
          <w:tcPr>
            <w:tcW w:w="46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37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3760" w:type="dxa"/>
            <w:vAlign w:val="bottom"/>
            <w:vMerge w:val="restart"/>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The Royal Society of London</w:t>
            </w:r>
          </w:p>
        </w:tc>
        <w:tc>
          <w:tcPr>
            <w:tcW w:w="5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7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60" w:type="dxa"/>
            <w:vAlign w:val="bottom"/>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The Royal Society of Canada</w:t>
            </w:r>
          </w:p>
        </w:tc>
        <w:tc>
          <w:tcPr>
            <w:tcW w:w="25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D61C5A"/>
              </w:rPr>
              <w:t>Prior Voting Results — 2018</w:t>
            </w:r>
          </w:p>
        </w:tc>
        <w:tc>
          <w:tcPr>
            <w:tcW w:w="4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76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4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760" w:type="dxa"/>
            <w:vAlign w:val="bottom"/>
          </w:tcPr>
          <w:p>
            <w:pPr>
              <w:ind w:left="520"/>
              <w:spacing w:after="0"/>
              <w:rPr>
                <w:sz w:val="20"/>
                <w:szCs w:val="20"/>
                <w:color w:val="auto"/>
              </w:rPr>
            </w:pPr>
            <w:r>
              <w:rPr>
                <w:rFonts w:ascii="Arial" w:cs="Arial" w:eastAsia="Arial" w:hAnsi="Arial"/>
                <w:sz w:val="14"/>
                <w:szCs w:val="14"/>
                <w:b w:val="1"/>
                <w:bCs w:val="1"/>
                <w:color w:val="205BA8"/>
              </w:rPr>
              <w:t>Other Public Boards</w:t>
            </w:r>
          </w:p>
        </w:tc>
        <w:tc>
          <w:tcPr>
            <w:tcW w:w="1880" w:type="dxa"/>
            <w:vAlign w:val="bottom"/>
            <w:gridSpan w:val="2"/>
          </w:tcPr>
          <w:p>
            <w:pPr>
              <w:ind w:left="500"/>
              <w:spacing w:after="0"/>
              <w:rPr>
                <w:sz w:val="20"/>
                <w:szCs w:val="20"/>
                <w:color w:val="auto"/>
              </w:rPr>
            </w:pPr>
            <w:r>
              <w:rPr>
                <w:rFonts w:ascii="Arial" w:cs="Arial" w:eastAsia="Arial" w:hAnsi="Arial"/>
                <w:sz w:val="15"/>
                <w:szCs w:val="15"/>
                <w:color w:val="auto"/>
              </w:rPr>
              <w:t>For</w:t>
            </w:r>
          </w:p>
        </w:tc>
        <w:tc>
          <w:tcPr>
            <w:tcW w:w="620" w:type="dxa"/>
            <w:vAlign w:val="bottom"/>
          </w:tcPr>
          <w:p>
            <w:pPr>
              <w:ind w:left="160"/>
              <w:spacing w:after="0"/>
              <w:rPr>
                <w:sz w:val="20"/>
                <w:szCs w:val="20"/>
                <w:color w:val="auto"/>
              </w:rPr>
            </w:pPr>
            <w:r>
              <w:rPr>
                <w:rFonts w:ascii="Arial" w:cs="Arial" w:eastAsia="Arial" w:hAnsi="Arial"/>
                <w:sz w:val="15"/>
                <w:szCs w:val="15"/>
                <w:b w:val="1"/>
                <w:bCs w:val="1"/>
                <w:color w:val="205BA8"/>
              </w:rPr>
              <w:t>94.8%</w:t>
            </w:r>
          </w:p>
        </w:tc>
        <w:tc>
          <w:tcPr>
            <w:tcW w:w="4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Denali Therapeutics Inc.</w:t>
            </w:r>
          </w:p>
        </w:tc>
        <w:tc>
          <w:tcPr>
            <w:tcW w:w="1880" w:type="dxa"/>
            <w:vAlign w:val="bottom"/>
            <w:gridSpan w:val="2"/>
          </w:tcPr>
          <w:p>
            <w:pPr>
              <w:ind w:left="500"/>
              <w:spacing w:after="0"/>
              <w:rPr>
                <w:sz w:val="20"/>
                <w:szCs w:val="20"/>
                <w:color w:val="auto"/>
              </w:rPr>
            </w:pPr>
            <w:r>
              <w:rPr>
                <w:rFonts w:ascii="Arial" w:cs="Arial" w:eastAsia="Arial" w:hAnsi="Arial"/>
                <w:sz w:val="15"/>
                <w:szCs w:val="15"/>
                <w:color w:val="auto"/>
              </w:rPr>
              <w:t>Against</w:t>
            </w:r>
          </w:p>
        </w:tc>
        <w:tc>
          <w:tcPr>
            <w:tcW w:w="620" w:type="dxa"/>
            <w:vAlign w:val="bottom"/>
          </w:tcPr>
          <w:p>
            <w:pPr>
              <w:ind w:left="160"/>
              <w:spacing w:after="0"/>
              <w:rPr>
                <w:sz w:val="20"/>
                <w:szCs w:val="20"/>
                <w:color w:val="auto"/>
              </w:rPr>
            </w:pPr>
            <w:r>
              <w:rPr>
                <w:rFonts w:ascii="Arial" w:cs="Arial" w:eastAsia="Arial" w:hAnsi="Arial"/>
                <w:sz w:val="15"/>
                <w:szCs w:val="15"/>
                <w:b w:val="1"/>
                <w:bCs w:val="1"/>
                <w:color w:val="205BA8"/>
              </w:rPr>
              <w:t>5.2%</w:t>
            </w:r>
          </w:p>
        </w:tc>
        <w:tc>
          <w:tcPr>
            <w:tcW w:w="4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760" w:type="dxa"/>
            <w:vAlign w:val="bottom"/>
          </w:tcPr>
          <w:p>
            <w:pPr>
              <w:ind w:left="520"/>
              <w:spacing w:after="0" w:line="146" w:lineRule="exact"/>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Agios Pharmaceuticals, Inc. (until 2016)</w:t>
            </w:r>
          </w:p>
        </w:tc>
        <w:tc>
          <w:tcPr>
            <w:tcW w:w="5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Juno Therapeutics, Inc. (until 2016)</w:t>
            </w:r>
          </w:p>
        </w:tc>
        <w:tc>
          <w:tcPr>
            <w:tcW w:w="766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D61C5A"/>
              </w:rPr>
              <w:t>Regeneron Securities Beneficially Owned as of April 17, 2019</w:t>
            </w:r>
          </w:p>
        </w:tc>
        <w:tc>
          <w:tcPr>
            <w:tcW w:w="0" w:type="dxa"/>
            <w:vAlign w:val="bottom"/>
          </w:tcPr>
          <w:p>
            <w:pPr>
              <w:spacing w:after="0"/>
              <w:rPr>
                <w:sz w:val="1"/>
                <w:szCs w:val="1"/>
                <w:color w:val="auto"/>
              </w:rPr>
            </w:pPr>
          </w:p>
        </w:tc>
      </w:tr>
      <w:tr>
        <w:trPr>
          <w:trHeight w:val="115"/>
        </w:trPr>
        <w:tc>
          <w:tcPr>
            <w:tcW w:w="3760" w:type="dxa"/>
            <w:vAlign w:val="bottom"/>
            <w:vMerge w:val="restart"/>
          </w:tcPr>
          <w:p>
            <w:pPr>
              <w:ind w:left="5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Pfizer Inc. (until 2015)</w:t>
            </w:r>
          </w:p>
        </w:tc>
        <w:tc>
          <w:tcPr>
            <w:tcW w:w="76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760" w:type="dxa"/>
            <w:vAlign w:val="bottom"/>
            <w:vMerge w:val="continue"/>
          </w:tcPr>
          <w:p>
            <w:pPr>
              <w:spacing w:after="0"/>
              <w:rPr>
                <w:sz w:val="8"/>
                <w:szCs w:val="8"/>
                <w:color w:val="auto"/>
              </w:rPr>
            </w:pPr>
          </w:p>
        </w:tc>
        <w:tc>
          <w:tcPr>
            <w:tcW w:w="1880" w:type="dxa"/>
            <w:vAlign w:val="bottom"/>
            <w:gridSpan w:val="2"/>
            <w:vMerge w:val="restart"/>
          </w:tcPr>
          <w:p>
            <w:pPr>
              <w:ind w:left="500"/>
              <w:spacing w:after="0"/>
              <w:rPr>
                <w:sz w:val="20"/>
                <w:szCs w:val="20"/>
                <w:color w:val="auto"/>
              </w:rPr>
            </w:pPr>
            <w:r>
              <w:rPr>
                <w:rFonts w:ascii="Arial" w:cs="Arial" w:eastAsia="Arial" w:hAnsi="Arial"/>
                <w:sz w:val="15"/>
                <w:szCs w:val="15"/>
                <w:color w:val="auto"/>
              </w:rPr>
              <w:t>Common Stock</w:t>
            </w:r>
          </w:p>
        </w:tc>
        <w:tc>
          <w:tcPr>
            <w:tcW w:w="620" w:type="dxa"/>
            <w:vAlign w:val="bottom"/>
            <w:vMerge w:val="restart"/>
          </w:tcPr>
          <w:p>
            <w:pPr>
              <w:ind w:left="160"/>
              <w:spacing w:after="0"/>
              <w:rPr>
                <w:sz w:val="20"/>
                <w:szCs w:val="20"/>
                <w:color w:val="auto"/>
              </w:rPr>
            </w:pPr>
            <w:r>
              <w:rPr>
                <w:rFonts w:ascii="Arial" w:cs="Arial" w:eastAsia="Arial" w:hAnsi="Arial"/>
                <w:sz w:val="15"/>
                <w:szCs w:val="15"/>
                <w:b w:val="1"/>
                <w:bCs w:val="1"/>
                <w:color w:val="205BA8"/>
              </w:rPr>
              <w:t>1,187</w:t>
            </w: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19"/>
                <w:szCs w:val="19"/>
                <w:color w:val="auto"/>
              </w:rPr>
            </w:pPr>
          </w:p>
        </w:tc>
        <w:tc>
          <w:tcPr>
            <w:tcW w:w="1880" w:type="dxa"/>
            <w:vAlign w:val="bottom"/>
            <w:gridSpan w:val="2"/>
          </w:tcPr>
          <w:p>
            <w:pPr>
              <w:ind w:left="500"/>
              <w:spacing w:after="0"/>
              <w:rPr>
                <w:sz w:val="20"/>
                <w:szCs w:val="20"/>
                <w:color w:val="auto"/>
              </w:rPr>
            </w:pPr>
            <w:r>
              <w:rPr>
                <w:rFonts w:ascii="Arial" w:cs="Arial" w:eastAsia="Arial" w:hAnsi="Arial"/>
                <w:sz w:val="15"/>
                <w:szCs w:val="15"/>
                <w:color w:val="auto"/>
              </w:rPr>
              <w:t>Options</w:t>
            </w:r>
          </w:p>
        </w:tc>
        <w:tc>
          <w:tcPr>
            <w:tcW w:w="620" w:type="dxa"/>
            <w:vAlign w:val="bottom"/>
          </w:tcPr>
          <w:p>
            <w:pPr>
              <w:ind w:left="160"/>
              <w:spacing w:after="0"/>
              <w:rPr>
                <w:sz w:val="20"/>
                <w:szCs w:val="20"/>
                <w:color w:val="auto"/>
              </w:rPr>
            </w:pPr>
            <w:r>
              <w:rPr>
                <w:rFonts w:ascii="Arial" w:cs="Arial" w:eastAsia="Arial" w:hAnsi="Arial"/>
                <w:sz w:val="15"/>
                <w:szCs w:val="15"/>
                <w:b w:val="1"/>
                <w:bCs w:val="1"/>
                <w:color w:val="205BA8"/>
                <w:w w:val="95"/>
              </w:rPr>
              <w:t>71,479</w:t>
            </w:r>
          </w:p>
        </w:tc>
        <w:tc>
          <w:tcPr>
            <w:tcW w:w="4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19"/>
                <w:szCs w:val="19"/>
                <w:color w:val="auto"/>
              </w:rPr>
            </w:pPr>
          </w:p>
        </w:tc>
        <w:tc>
          <w:tcPr>
            <w:tcW w:w="1880" w:type="dxa"/>
            <w:vAlign w:val="bottom"/>
            <w:gridSpan w:val="2"/>
          </w:tcPr>
          <w:p>
            <w:pPr>
              <w:ind w:left="500"/>
              <w:spacing w:after="0"/>
              <w:rPr>
                <w:sz w:val="20"/>
                <w:szCs w:val="20"/>
                <w:color w:val="auto"/>
              </w:rPr>
            </w:pPr>
            <w:r>
              <w:rPr>
                <w:rFonts w:ascii="Arial" w:cs="Arial" w:eastAsia="Arial" w:hAnsi="Arial"/>
                <w:sz w:val="15"/>
                <w:szCs w:val="15"/>
                <w:color w:val="auto"/>
              </w:rPr>
              <w:t>RSUs</w:t>
            </w:r>
          </w:p>
        </w:tc>
        <w:tc>
          <w:tcPr>
            <w:tcW w:w="620" w:type="dxa"/>
            <w:vAlign w:val="bottom"/>
          </w:tcPr>
          <w:p>
            <w:pPr>
              <w:ind w:left="160"/>
              <w:spacing w:after="0"/>
              <w:rPr>
                <w:sz w:val="20"/>
                <w:szCs w:val="20"/>
                <w:color w:val="auto"/>
              </w:rPr>
            </w:pPr>
            <w:r>
              <w:rPr>
                <w:rFonts w:ascii="Arial" w:cs="Arial" w:eastAsia="Arial" w:hAnsi="Arial"/>
                <w:sz w:val="15"/>
                <w:szCs w:val="15"/>
                <w:b w:val="1"/>
                <w:bCs w:val="1"/>
                <w:color w:val="205BA8"/>
              </w:rPr>
              <w:t>145</w:t>
            </w:r>
          </w:p>
        </w:tc>
        <w:tc>
          <w:tcPr>
            <w:tcW w:w="4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5640" w:type="dxa"/>
            <w:vAlign w:val="bottom"/>
            <w:gridSpan w:val="3"/>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620" w:type="dxa"/>
            <w:vAlign w:val="bottom"/>
          </w:tcPr>
          <w:p>
            <w:pPr>
              <w:spacing w:after="0"/>
              <w:rPr>
                <w:sz w:val="24"/>
                <w:szCs w:val="24"/>
                <w:color w:val="auto"/>
              </w:rPr>
            </w:pPr>
          </w:p>
        </w:tc>
        <w:tc>
          <w:tcPr>
            <w:tcW w:w="4660" w:type="dxa"/>
            <w:vAlign w:val="bottom"/>
          </w:tcPr>
          <w:p>
            <w:pPr>
              <w:jc w:val="right"/>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19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76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466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32" w:name="page33"/>
    <w:bookmarkEnd w:id="32"/>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38"/>
          <w:szCs w:val="38"/>
          <w:b w:val="1"/>
          <w:bCs w:val="1"/>
          <w:color w:val="FFFFFF"/>
        </w:rPr>
        <w:t>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right="540"/>
        <w:spacing w:after="0" w:line="221" w:lineRule="auto"/>
        <w:rPr>
          <w:sz w:val="20"/>
          <w:szCs w:val="20"/>
          <w:color w:val="auto"/>
        </w:rPr>
      </w:pPr>
      <w:r>
        <w:rPr>
          <w:rFonts w:ascii="Arial" w:cs="Arial" w:eastAsia="Arial" w:hAnsi="Arial"/>
          <w:sz w:val="15"/>
          <w:szCs w:val="15"/>
          <w:color w:val="auto"/>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5"/>
          <w:szCs w:val="15"/>
          <w:b w:val="1"/>
          <w:bCs w:val="1"/>
          <w:color w:val="auto"/>
        </w:rPr>
        <w:t>www.regeneron.com</w:t>
      </w:r>
      <w:r>
        <w:rPr>
          <w:rFonts w:ascii="Arial" w:cs="Arial" w:eastAsia="Arial" w:hAnsi="Arial"/>
          <w:sz w:val="15"/>
          <w:szCs w:val="15"/>
          <w:color w:val="auto"/>
        </w:rPr>
        <w:t xml:space="preserve"> under the “Corporate Governance” heading on the “Investors &amp; Media” page.</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show below information on the membership, key functions, and number of meetings of each board committee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117475</wp:posOffset>
            </wp:positionV>
            <wp:extent cx="6600190" cy="2476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00190" cy="247650"/>
                    </a:xfrm>
                    <a:prstGeom prst="rect">
                      <a:avLst/>
                    </a:prstGeom>
                    <a:noFill/>
                  </pic:spPr>
                </pic:pic>
              </a:graphicData>
            </a:graphic>
          </wp:anchor>
        </w:drawing>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205BA8"/>
        </w:rPr>
        <w:t>AUDIT COMMITTEE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20" w:type="dxa"/>
            <w:vAlign w:val="bottom"/>
            <w:gridSpan w:val="2"/>
          </w:tcPr>
          <w:p>
            <w:pPr>
              <w:ind w:left="520"/>
              <w:spacing w:after="0"/>
              <w:rPr>
                <w:sz w:val="20"/>
                <w:szCs w:val="20"/>
                <w:color w:val="auto"/>
              </w:rPr>
            </w:pPr>
            <w:r>
              <w:rPr>
                <w:rFonts w:ascii="Arial" w:cs="Arial" w:eastAsia="Arial" w:hAnsi="Arial"/>
                <w:sz w:val="14"/>
                <w:szCs w:val="14"/>
                <w:b w:val="1"/>
                <w:bCs w:val="1"/>
                <w:color w:val="D61C5A"/>
              </w:rPr>
              <w:t>Members</w:t>
            </w:r>
          </w:p>
        </w:tc>
        <w:tc>
          <w:tcPr>
            <w:tcW w:w="7200" w:type="dxa"/>
            <w:vAlign w:val="bottom"/>
          </w:tcPr>
          <w:p>
            <w:pPr>
              <w:ind w:left="960"/>
              <w:spacing w:after="0"/>
              <w:rPr>
                <w:sz w:val="20"/>
                <w:szCs w:val="20"/>
                <w:color w:val="auto"/>
              </w:rPr>
            </w:pPr>
            <w:r>
              <w:rPr>
                <w:rFonts w:ascii="Arial" w:cs="Arial" w:eastAsia="Arial" w:hAnsi="Arial"/>
                <w:sz w:val="14"/>
                <w:szCs w:val="14"/>
                <w:b w:val="1"/>
                <w:bCs w:val="1"/>
                <w:color w:val="D61C5A"/>
              </w:rPr>
              <w:t>Key Functions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3720" w:type="dxa"/>
            <w:vAlign w:val="bottom"/>
            <w:gridSpan w:val="2"/>
          </w:tcPr>
          <w:p>
            <w:pPr>
              <w:ind w:left="520"/>
              <w:spacing w:after="0"/>
              <w:rPr>
                <w:sz w:val="20"/>
                <w:szCs w:val="20"/>
                <w:color w:val="auto"/>
              </w:rPr>
            </w:pPr>
            <w:r>
              <w:rPr>
                <w:rFonts w:ascii="Arial" w:cs="Arial" w:eastAsia="Arial" w:hAnsi="Arial"/>
                <w:sz w:val="14"/>
                <w:szCs w:val="14"/>
                <w:color w:val="auto"/>
              </w:rPr>
              <w:t xml:space="preserve">George L. Sing, </w:t>
            </w:r>
            <w:r>
              <w:rPr>
                <w:rFonts w:ascii="Arial" w:cs="Arial" w:eastAsia="Arial" w:hAnsi="Arial"/>
                <w:sz w:val="14"/>
                <w:szCs w:val="14"/>
                <w:i w:val="1"/>
                <w:iCs w:val="1"/>
                <w:color w:val="auto"/>
              </w:rPr>
              <w:t>Chairman</w:t>
            </w: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Select the independent registered public accounting firm, review and approve its engagement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720" w:type="dxa"/>
            <w:vAlign w:val="bottom"/>
            <w:gridSpan w:val="2"/>
            <w:vMerge w:val="restart"/>
          </w:tcPr>
          <w:p>
            <w:pPr>
              <w:ind w:left="520"/>
              <w:spacing w:after="0"/>
              <w:rPr>
                <w:sz w:val="20"/>
                <w:szCs w:val="20"/>
                <w:color w:val="auto"/>
              </w:rPr>
            </w:pPr>
            <w:r>
              <w:rPr>
                <w:rFonts w:ascii="Arial" w:cs="Arial" w:eastAsia="Arial" w:hAnsi="Arial"/>
                <w:sz w:val="14"/>
                <w:szCs w:val="14"/>
                <w:color w:val="auto"/>
              </w:rPr>
              <w:t>Charles A. Baker</w:t>
            </w:r>
          </w:p>
        </w:tc>
        <w:tc>
          <w:tcPr>
            <w:tcW w:w="7200" w:type="dxa"/>
            <w:vAlign w:val="bottom"/>
          </w:tcPr>
          <w:p>
            <w:pPr>
              <w:ind w:left="1120"/>
              <w:spacing w:after="0"/>
              <w:rPr>
                <w:sz w:val="20"/>
                <w:szCs w:val="20"/>
                <w:color w:val="auto"/>
              </w:rPr>
            </w:pPr>
            <w:r>
              <w:rPr>
                <w:rFonts w:ascii="Arial" w:cs="Arial" w:eastAsia="Arial" w:hAnsi="Arial"/>
                <w:sz w:val="14"/>
                <w:szCs w:val="14"/>
                <w:color w:val="auto"/>
              </w:rPr>
              <w:t>letter, and monitor its independence and performance.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720" w:type="dxa"/>
            <w:vAlign w:val="bottom"/>
            <w:gridSpan w:val="2"/>
            <w:vMerge w:val="continue"/>
          </w:tcPr>
          <w:p>
            <w:pPr>
              <w:spacing w:after="0"/>
              <w:rPr>
                <w:sz w:val="12"/>
                <w:szCs w:val="12"/>
                <w:color w:val="auto"/>
              </w:rPr>
            </w:pPr>
          </w:p>
        </w:tc>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2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(until his retirement on June 8, 2018)</w:t>
            </w:r>
          </w:p>
        </w:tc>
        <w:tc>
          <w:tcPr>
            <w:tcW w:w="7200" w:type="dxa"/>
            <w:vAlign w:val="bottom"/>
          </w:tcPr>
          <w:p>
            <w:pPr>
              <w:ind w:left="960"/>
              <w:spacing w:after="0" w:line="156" w:lineRule="exact"/>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the overall scope and plans for the annual audit by the independent registered public</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20" w:type="dxa"/>
            <w:vAlign w:val="bottom"/>
            <w:gridSpan w:val="2"/>
            <w:vMerge w:val="restart"/>
          </w:tcPr>
          <w:p>
            <w:pPr>
              <w:ind w:left="520"/>
              <w:spacing w:after="0"/>
              <w:rPr>
                <w:sz w:val="20"/>
                <w:szCs w:val="20"/>
                <w:color w:val="auto"/>
              </w:rPr>
            </w:pPr>
            <w:r>
              <w:rPr>
                <w:rFonts w:ascii="Arial" w:cs="Arial" w:eastAsia="Arial" w:hAnsi="Arial"/>
                <w:sz w:val="14"/>
                <w:szCs w:val="14"/>
                <w:color w:val="auto"/>
              </w:rPr>
              <w:t>N. Anthony Coles, M.D.</w:t>
            </w:r>
          </w:p>
        </w:tc>
        <w:tc>
          <w:tcPr>
            <w:tcW w:w="7200" w:type="dxa"/>
            <w:vAlign w:val="bottom"/>
          </w:tcPr>
          <w:p>
            <w:pPr>
              <w:ind w:left="1120"/>
              <w:spacing w:after="0"/>
              <w:rPr>
                <w:sz w:val="20"/>
                <w:szCs w:val="20"/>
                <w:color w:val="auto"/>
              </w:rPr>
            </w:pPr>
            <w:r>
              <w:rPr>
                <w:rFonts w:ascii="Arial" w:cs="Arial" w:eastAsia="Arial" w:hAnsi="Arial"/>
                <w:sz w:val="14"/>
                <w:szCs w:val="14"/>
                <w:color w:val="auto"/>
              </w:rPr>
              <w:t>accounting firm.</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7200" w:type="dxa"/>
            <w:vAlign w:val="bottom"/>
            <w:vMerge w:val="restart"/>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Approve performance of non-audit services by the independent registered public accounting firm</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2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Arthur F. Ryan</w:t>
            </w:r>
          </w:p>
        </w:tc>
        <w:tc>
          <w:tcPr>
            <w:tcW w:w="7200" w:type="dxa"/>
            <w:vAlign w:val="bottom"/>
          </w:tcPr>
          <w:p>
            <w:pPr>
              <w:ind w:left="1120"/>
              <w:spacing w:after="0" w:line="156" w:lineRule="exact"/>
              <w:rPr>
                <w:sz w:val="20"/>
                <w:szCs w:val="20"/>
                <w:color w:val="auto"/>
              </w:rPr>
            </w:pPr>
            <w:r>
              <w:rPr>
                <w:rFonts w:ascii="Arial" w:cs="Arial" w:eastAsia="Arial" w:hAnsi="Arial"/>
                <w:sz w:val="14"/>
                <w:szCs w:val="14"/>
                <w:color w:val="auto"/>
              </w:rPr>
              <w:t>and evaluate the performance and independence of the independent registered public accounting</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D61C5A"/>
              </w:rPr>
              <w:t>Number of Meetings Held in 2018</w:t>
            </w:r>
          </w:p>
        </w:tc>
        <w:tc>
          <w:tcPr>
            <w:tcW w:w="7200" w:type="dxa"/>
            <w:vAlign w:val="bottom"/>
          </w:tcPr>
          <w:p>
            <w:pPr>
              <w:ind w:left="1120"/>
              <w:spacing w:after="0"/>
              <w:rPr>
                <w:sz w:val="20"/>
                <w:szCs w:val="20"/>
                <w:color w:val="auto"/>
              </w:rPr>
            </w:pPr>
            <w:r>
              <w:rPr>
                <w:rFonts w:ascii="Arial" w:cs="Arial" w:eastAsia="Arial" w:hAnsi="Arial"/>
                <w:sz w:val="14"/>
                <w:szCs w:val="14"/>
                <w:color w:val="auto"/>
              </w:rPr>
              <w:t>firm.</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7200" w:type="dxa"/>
            <w:vAlign w:val="bottom"/>
            <w:vMerge w:val="restart"/>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and approve the Company’s periodic financial statements and the results of the year-end</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20" w:type="dxa"/>
            <w:vAlign w:val="bottom"/>
            <w:gridSpan w:val="2"/>
          </w:tcPr>
          <w:p>
            <w:pPr>
              <w:ind w:left="520"/>
              <w:spacing w:after="0"/>
              <w:rPr>
                <w:sz w:val="20"/>
                <w:szCs w:val="20"/>
                <w:color w:val="auto"/>
              </w:rPr>
            </w:pPr>
            <w:r>
              <w:rPr>
                <w:rFonts w:ascii="Arial" w:cs="Arial" w:eastAsia="Arial" w:hAnsi="Arial"/>
                <w:sz w:val="14"/>
                <w:szCs w:val="14"/>
                <w:color w:val="auto"/>
              </w:rPr>
              <w:t>11</w:t>
            </w:r>
          </w:p>
        </w:tc>
        <w:tc>
          <w:tcPr>
            <w:tcW w:w="7200" w:type="dxa"/>
            <w:vAlign w:val="bottom"/>
          </w:tcPr>
          <w:p>
            <w:pPr>
              <w:ind w:left="1120"/>
              <w:spacing w:after="0"/>
              <w:rPr>
                <w:sz w:val="20"/>
                <w:szCs w:val="20"/>
                <w:color w:val="auto"/>
              </w:rPr>
            </w:pPr>
            <w:r>
              <w:rPr>
                <w:rFonts w:ascii="Arial" w:cs="Arial" w:eastAsia="Arial" w:hAnsi="Arial"/>
                <w:sz w:val="14"/>
                <w:szCs w:val="14"/>
                <w:color w:val="auto"/>
              </w:rPr>
              <w:t>audit.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and discuss the adequacy and effectiveness of the Company’s accounting and internal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0" w:type="dxa"/>
            <w:vAlign w:val="bottom"/>
          </w:tcPr>
          <w:p>
            <w:pPr>
              <w:ind w:left="1120"/>
              <w:spacing w:after="0"/>
              <w:rPr>
                <w:sz w:val="20"/>
                <w:szCs w:val="20"/>
                <w:color w:val="auto"/>
              </w:rPr>
            </w:pPr>
            <w:r>
              <w:rPr>
                <w:rFonts w:ascii="Arial" w:cs="Arial" w:eastAsia="Arial" w:hAnsi="Arial"/>
                <w:sz w:val="14"/>
                <w:szCs w:val="14"/>
                <w:color w:val="auto"/>
              </w:rPr>
              <w:t>control policies and procedures.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Evaluate the internal audit process for establishing the annual audit plan; review and approve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0" w:type="dxa"/>
            <w:vAlign w:val="bottom"/>
          </w:tcPr>
          <w:p>
            <w:pPr>
              <w:ind w:left="1120"/>
              <w:spacing w:after="0" w:line="156" w:lineRule="exact"/>
              <w:rPr>
                <w:sz w:val="20"/>
                <w:szCs w:val="20"/>
                <w:color w:val="auto"/>
              </w:rPr>
            </w:pPr>
            <w:r>
              <w:rPr>
                <w:rFonts w:ascii="Arial" w:cs="Arial" w:eastAsia="Arial" w:hAnsi="Arial"/>
                <w:sz w:val="14"/>
                <w:szCs w:val="14"/>
                <w:color w:val="auto"/>
              </w:rPr>
              <w:t>appointment and replacement of the Company’s Chief Audit Executive, if applicable, and any</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0" w:type="dxa"/>
            <w:vAlign w:val="bottom"/>
          </w:tcPr>
          <w:p>
            <w:pPr>
              <w:ind w:left="1120"/>
              <w:spacing w:after="0" w:line="156" w:lineRule="exact"/>
              <w:rPr>
                <w:sz w:val="20"/>
                <w:szCs w:val="20"/>
                <w:color w:val="auto"/>
              </w:rPr>
            </w:pPr>
            <w:r>
              <w:rPr>
                <w:rFonts w:ascii="Arial" w:cs="Arial" w:eastAsia="Arial" w:hAnsi="Arial"/>
                <w:sz w:val="14"/>
                <w:szCs w:val="14"/>
                <w:color w:val="auto"/>
              </w:rPr>
              <w:t>outside entities providing internal audit services and evaluate their performance on an annual</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0" w:type="dxa"/>
            <w:vAlign w:val="bottom"/>
          </w:tcPr>
          <w:p>
            <w:pPr>
              <w:ind w:left="1120"/>
              <w:spacing w:after="0"/>
              <w:rPr>
                <w:sz w:val="20"/>
                <w:szCs w:val="20"/>
                <w:color w:val="auto"/>
              </w:rPr>
            </w:pPr>
            <w:r>
              <w:rPr>
                <w:rFonts w:ascii="Arial" w:cs="Arial" w:eastAsia="Arial" w:hAnsi="Arial"/>
                <w:sz w:val="14"/>
                <w:szCs w:val="14"/>
                <w:color w:val="auto"/>
              </w:rPr>
              <w:t>basis.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the independent registered public accounting firm’s recommendations concerning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0" w:type="dxa"/>
            <w:vAlign w:val="bottom"/>
          </w:tcPr>
          <w:p>
            <w:pPr>
              <w:ind w:left="1120"/>
              <w:spacing w:after="0"/>
              <w:rPr>
                <w:sz w:val="20"/>
                <w:szCs w:val="20"/>
                <w:color w:val="auto"/>
              </w:rPr>
            </w:pPr>
            <w:r>
              <w:rPr>
                <w:rFonts w:ascii="Arial" w:cs="Arial" w:eastAsia="Arial" w:hAnsi="Arial"/>
                <w:sz w:val="14"/>
                <w:szCs w:val="14"/>
                <w:color w:val="auto"/>
              </w:rPr>
              <w:t>Company’s financial practices and procedures.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Oversee the Company’s risk management program.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Discuss with management the Company’s major financial risk exposures and the steps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0" w:type="dxa"/>
            <w:vAlign w:val="bottom"/>
          </w:tcPr>
          <w:p>
            <w:pPr>
              <w:ind w:left="1120"/>
              <w:spacing w:after="0"/>
              <w:rPr>
                <w:sz w:val="20"/>
                <w:szCs w:val="20"/>
                <w:color w:val="auto"/>
              </w:rPr>
            </w:pPr>
            <w:r>
              <w:rPr>
                <w:rFonts w:ascii="Arial" w:cs="Arial" w:eastAsia="Arial" w:hAnsi="Arial"/>
                <w:sz w:val="14"/>
                <w:szCs w:val="14"/>
                <w:color w:val="auto"/>
              </w:rPr>
              <w:t>management has taken to monitor and control such exposures.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Establish procedures for the receipt, retention, and treatment of complaints received by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0" w:type="dxa"/>
            <w:vAlign w:val="bottom"/>
          </w:tcPr>
          <w:p>
            <w:pPr>
              <w:ind w:left="1120"/>
              <w:spacing w:after="0" w:line="156" w:lineRule="exact"/>
              <w:rPr>
                <w:sz w:val="20"/>
                <w:szCs w:val="20"/>
                <w:color w:val="auto"/>
              </w:rPr>
            </w:pPr>
            <w:r>
              <w:rPr>
                <w:rFonts w:ascii="Arial" w:cs="Arial" w:eastAsia="Arial" w:hAnsi="Arial"/>
                <w:sz w:val="14"/>
                <w:szCs w:val="14"/>
                <w:color w:val="auto"/>
              </w:rPr>
              <w:t>Company regarding accounting, internal accounting controls, or auditing matters and for the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0" w:type="dxa"/>
            <w:vAlign w:val="bottom"/>
          </w:tcPr>
          <w:p>
            <w:pPr>
              <w:ind w:left="1120"/>
              <w:spacing w:after="0" w:line="156" w:lineRule="exact"/>
              <w:rPr>
                <w:sz w:val="20"/>
                <w:szCs w:val="20"/>
                <w:color w:val="auto"/>
              </w:rPr>
            </w:pPr>
            <w:r>
              <w:rPr>
                <w:rFonts w:ascii="Arial" w:cs="Arial" w:eastAsia="Arial" w:hAnsi="Arial"/>
                <w:sz w:val="14"/>
                <w:szCs w:val="14"/>
                <w:color w:val="auto"/>
                <w:w w:val="99"/>
              </w:rPr>
              <w:t>confidential, anonymous submission by employees of concerns regarding questionable accounting</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0" w:type="dxa"/>
            <w:vAlign w:val="bottom"/>
          </w:tcPr>
          <w:p>
            <w:pPr>
              <w:ind w:left="1120"/>
              <w:spacing w:after="0"/>
              <w:rPr>
                <w:sz w:val="20"/>
                <w:szCs w:val="20"/>
                <w:color w:val="auto"/>
              </w:rPr>
            </w:pPr>
            <w:r>
              <w:rPr>
                <w:rFonts w:ascii="Arial" w:cs="Arial" w:eastAsia="Arial" w:hAnsi="Arial"/>
                <w:sz w:val="14"/>
                <w:szCs w:val="14"/>
                <w:color w:val="auto"/>
              </w:rPr>
              <w:t>or auditing matters.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and approve any related person transaction.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0" w:type="dxa"/>
            <w:vAlign w:val="bottom"/>
          </w:tcPr>
          <w:p>
            <w:pPr>
              <w:ind w:left="9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Prepare an annual report of the Audit Committee for inclusion in the Company’s proxy statement.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3200" w:type="dxa"/>
            <w:vAlign w:val="bottom"/>
            <w:tcBorders>
              <w:bottom w:val="single" w:sz="8" w:color="205BA8"/>
            </w:tcBorders>
          </w:tcPr>
          <w:p>
            <w:pPr>
              <w:spacing w:after="0"/>
              <w:rPr>
                <w:sz w:val="5"/>
                <w:szCs w:val="5"/>
                <w:color w:val="auto"/>
              </w:rPr>
            </w:pPr>
          </w:p>
        </w:tc>
        <w:tc>
          <w:tcPr>
            <w:tcW w:w="7200" w:type="dxa"/>
            <w:vAlign w:val="bottom"/>
            <w:tcBorders>
              <w:bottom w:val="single" w:sz="8" w:color="205BA8"/>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720" w:type="dxa"/>
            <w:vAlign w:val="bottom"/>
            <w:gridSpan w:val="2"/>
          </w:tcPr>
          <w:p>
            <w:pPr>
              <w:ind w:left="520"/>
              <w:spacing w:after="0"/>
              <w:rPr>
                <w:sz w:val="20"/>
                <w:szCs w:val="20"/>
                <w:color w:val="auto"/>
              </w:rPr>
            </w:pPr>
            <w:r>
              <w:rPr>
                <w:rFonts w:ascii="Arial" w:cs="Arial" w:eastAsia="Arial" w:hAnsi="Arial"/>
                <w:sz w:val="14"/>
                <w:szCs w:val="14"/>
                <w:b w:val="1"/>
                <w:bCs w:val="1"/>
                <w:color w:val="205BA8"/>
              </w:rPr>
              <w:t xml:space="preserve">20  </w:t>
            </w:r>
            <w:r>
              <w:rPr>
                <w:rFonts w:ascii="Arial" w:cs="Arial" w:eastAsia="Arial" w:hAnsi="Arial"/>
                <w:sz w:val="14"/>
                <w:szCs w:val="14"/>
                <w:color w:val="205BA8"/>
              </w:rPr>
              <w:t>/</w:t>
            </w:r>
          </w:p>
        </w:tc>
        <w:tc>
          <w:tcPr>
            <w:tcW w:w="7200" w:type="dxa"/>
            <w:vAlign w:val="bottom"/>
          </w:tcPr>
          <w:p>
            <w:pPr>
              <w:ind w:left="26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 w:type="dxa"/>
            <w:vAlign w:val="bottom"/>
            <w:tcBorders>
              <w:bottom w:val="single" w:sz="8" w:color="A8A9AD"/>
            </w:tcBorders>
          </w:tcPr>
          <w:p>
            <w:pPr>
              <w:spacing w:after="0"/>
              <w:rPr>
                <w:sz w:val="21"/>
                <w:szCs w:val="21"/>
                <w:color w:val="auto"/>
              </w:rPr>
            </w:pPr>
          </w:p>
        </w:tc>
        <w:tc>
          <w:tcPr>
            <w:tcW w:w="3200" w:type="dxa"/>
            <w:vAlign w:val="bottom"/>
            <w:tcBorders>
              <w:bottom w:val="single" w:sz="8" w:color="A8A9AD"/>
            </w:tcBorders>
          </w:tcPr>
          <w:p>
            <w:pPr>
              <w:spacing w:after="0"/>
              <w:rPr>
                <w:sz w:val="21"/>
                <w:szCs w:val="21"/>
                <w:color w:val="auto"/>
              </w:rPr>
            </w:pPr>
          </w:p>
        </w:tc>
        <w:tc>
          <w:tcPr>
            <w:tcW w:w="7200" w:type="dxa"/>
            <w:vAlign w:val="bottom"/>
            <w:tcBorders>
              <w:bottom w:val="single" w:sz="8" w:color="A8A9AD"/>
            </w:tcBorders>
          </w:tcPr>
          <w:p>
            <w:pPr>
              <w:spacing w:after="0"/>
              <w:rPr>
                <w:sz w:val="21"/>
                <w:szCs w:val="21"/>
                <w:color w:val="auto"/>
              </w:rPr>
            </w:pPr>
          </w:p>
        </w:tc>
        <w:tc>
          <w:tcPr>
            <w:tcW w:w="500" w:type="dxa"/>
            <w:vAlign w:val="bottom"/>
            <w:tcBorders>
              <w:bottom w:val="single" w:sz="8" w:color="A8A9AD"/>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-280035</wp:posOffset>
            </wp:positionV>
            <wp:extent cx="717550" cy="825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520" w:type="dxa"/>
            <w:vAlign w:val="bottom"/>
            <w:tcBorders>
              <w:bottom w:val="single" w:sz="8" w:color="D61C5A"/>
            </w:tcBorders>
          </w:tcPr>
          <w:p>
            <w:pPr>
              <w:spacing w:after="0"/>
              <w:rPr>
                <w:sz w:val="17"/>
                <w:szCs w:val="17"/>
                <w:color w:val="auto"/>
              </w:rPr>
            </w:pPr>
          </w:p>
        </w:tc>
        <w:tc>
          <w:tcPr>
            <w:tcW w:w="3840" w:type="dxa"/>
            <w:vAlign w:val="bottom"/>
            <w:tcBorders>
              <w:bottom w:val="single" w:sz="8" w:color="D61C5A"/>
            </w:tcBorders>
          </w:tcPr>
          <w:p>
            <w:pPr>
              <w:spacing w:after="0"/>
              <w:rPr>
                <w:sz w:val="17"/>
                <w:szCs w:val="17"/>
                <w:color w:val="auto"/>
              </w:rPr>
            </w:pPr>
          </w:p>
        </w:tc>
        <w:tc>
          <w:tcPr>
            <w:tcW w:w="7060" w:type="dxa"/>
            <w:vAlign w:val="bottom"/>
            <w:tcBorders>
              <w:bottom w:val="single" w:sz="8" w:color="D61C5A"/>
            </w:tcBorders>
            <w:gridSpan w:val="2"/>
          </w:tcPr>
          <w:p>
            <w:pPr>
              <w:ind w:left="352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5"/>
                <w:szCs w:val="15"/>
                <w:b w:val="1"/>
                <w:bCs w:val="1"/>
                <w:color w:val="D61C5A"/>
              </w:rPr>
              <w:t>BOARD COMMITTEES</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520" w:type="dxa"/>
            <w:vAlign w:val="bottom"/>
          </w:tcPr>
          <w:p>
            <w:pPr>
              <w:spacing w:after="0"/>
              <w:rPr>
                <w:sz w:val="24"/>
                <w:szCs w:val="24"/>
                <w:color w:val="auto"/>
              </w:rPr>
            </w:pPr>
          </w:p>
        </w:tc>
        <w:tc>
          <w:tcPr>
            <w:tcW w:w="3840" w:type="dxa"/>
            <w:vAlign w:val="bottom"/>
            <w:tcBorders>
              <w:bottom w:val="single" w:sz="8" w:color="D6DBED"/>
            </w:tcBorders>
            <w:shd w:val="clear" w:color="auto" w:fill="D6DBED"/>
          </w:tcPr>
          <w:p>
            <w:pPr>
              <w:ind w:left="40"/>
              <w:spacing w:after="0"/>
              <w:rPr>
                <w:sz w:val="20"/>
                <w:szCs w:val="20"/>
                <w:color w:val="auto"/>
              </w:rPr>
            </w:pPr>
            <w:r>
              <w:rPr>
                <w:rFonts w:ascii="Arial" w:cs="Arial" w:eastAsia="Arial" w:hAnsi="Arial"/>
                <w:sz w:val="24"/>
                <w:szCs w:val="24"/>
                <w:b w:val="1"/>
                <w:bCs w:val="1"/>
                <w:color w:val="205BA8"/>
              </w:rPr>
              <w:t>COMPENSATION COMMITTEE</w:t>
            </w:r>
          </w:p>
        </w:tc>
        <w:tc>
          <w:tcPr>
            <w:tcW w:w="6560" w:type="dxa"/>
            <w:vAlign w:val="bottom"/>
            <w:tcBorders>
              <w:bottom w:val="single" w:sz="8" w:color="D6DBED"/>
            </w:tcBorders>
            <w:shd w:val="clear" w:color="auto" w:fill="D6DBED"/>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360" w:type="dxa"/>
            <w:vAlign w:val="bottom"/>
            <w:gridSpan w:val="2"/>
          </w:tcPr>
          <w:p>
            <w:pPr>
              <w:ind w:left="520"/>
              <w:spacing w:after="0"/>
              <w:rPr>
                <w:sz w:val="20"/>
                <w:szCs w:val="20"/>
                <w:color w:val="auto"/>
              </w:rPr>
            </w:pPr>
            <w:r>
              <w:rPr>
                <w:rFonts w:ascii="Arial" w:cs="Arial" w:eastAsia="Arial" w:hAnsi="Arial"/>
                <w:sz w:val="14"/>
                <w:szCs w:val="14"/>
                <w:b w:val="1"/>
                <w:bCs w:val="1"/>
                <w:color w:val="D61C5A"/>
              </w:rPr>
              <w:t>Members</w:t>
            </w:r>
          </w:p>
        </w:tc>
        <w:tc>
          <w:tcPr>
            <w:tcW w:w="7060" w:type="dxa"/>
            <w:vAlign w:val="bottom"/>
            <w:gridSpan w:val="2"/>
          </w:tcPr>
          <w:p>
            <w:pPr>
              <w:ind w:left="320"/>
              <w:spacing w:after="0"/>
              <w:rPr>
                <w:sz w:val="20"/>
                <w:szCs w:val="20"/>
                <w:color w:val="auto"/>
              </w:rPr>
            </w:pPr>
            <w:r>
              <w:rPr>
                <w:rFonts w:ascii="Arial" w:cs="Arial" w:eastAsia="Arial" w:hAnsi="Arial"/>
                <w:sz w:val="14"/>
                <w:szCs w:val="14"/>
                <w:b w:val="1"/>
                <w:bCs w:val="1"/>
                <w:color w:val="D61C5A"/>
              </w:rPr>
              <w:t>Key Functions</w:t>
            </w:r>
          </w:p>
        </w:tc>
        <w:tc>
          <w:tcPr>
            <w:tcW w:w="0" w:type="dxa"/>
            <w:vAlign w:val="bottom"/>
          </w:tcPr>
          <w:p>
            <w:pPr>
              <w:spacing w:after="0"/>
              <w:rPr>
                <w:sz w:val="1"/>
                <w:szCs w:val="1"/>
                <w:color w:val="auto"/>
              </w:rPr>
            </w:pPr>
          </w:p>
        </w:tc>
      </w:tr>
      <w:tr>
        <w:trPr>
          <w:trHeight w:val="302"/>
        </w:trPr>
        <w:tc>
          <w:tcPr>
            <w:tcW w:w="4360" w:type="dxa"/>
            <w:vAlign w:val="bottom"/>
            <w:gridSpan w:val="2"/>
          </w:tcPr>
          <w:p>
            <w:pPr>
              <w:ind w:left="520"/>
              <w:spacing w:after="0"/>
              <w:rPr>
                <w:sz w:val="20"/>
                <w:szCs w:val="20"/>
                <w:color w:val="auto"/>
              </w:rPr>
            </w:pPr>
            <w:r>
              <w:rPr>
                <w:rFonts w:ascii="Arial" w:cs="Arial" w:eastAsia="Arial" w:hAnsi="Arial"/>
                <w:sz w:val="14"/>
                <w:szCs w:val="14"/>
                <w:color w:val="auto"/>
              </w:rPr>
              <w:t xml:space="preserve">Christine A. Poon, </w:t>
            </w:r>
            <w:r>
              <w:rPr>
                <w:rFonts w:ascii="Arial" w:cs="Arial" w:eastAsia="Arial" w:hAnsi="Arial"/>
                <w:sz w:val="14"/>
                <w:szCs w:val="14"/>
                <w:i w:val="1"/>
                <w:iCs w:val="1"/>
                <w:color w:val="auto"/>
              </w:rPr>
              <w:t>Chairperson</w:t>
            </w:r>
          </w:p>
        </w:tc>
        <w:tc>
          <w:tcPr>
            <w:tcW w:w="7060" w:type="dxa"/>
            <w:vAlign w:val="bottom"/>
            <w:gridSpan w:val="2"/>
          </w:tcPr>
          <w:p>
            <w:pPr>
              <w:ind w:left="3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Evaluate the performance of the Chief Executive Officer and other executive officers of the</w:t>
            </w:r>
          </w:p>
        </w:tc>
        <w:tc>
          <w:tcPr>
            <w:tcW w:w="0" w:type="dxa"/>
            <w:vAlign w:val="bottom"/>
          </w:tcPr>
          <w:p>
            <w:pPr>
              <w:spacing w:after="0"/>
              <w:rPr>
                <w:sz w:val="1"/>
                <w:szCs w:val="1"/>
                <w:color w:val="auto"/>
              </w:rPr>
            </w:pPr>
          </w:p>
        </w:tc>
      </w:tr>
      <w:tr>
        <w:trPr>
          <w:trHeight w:val="165"/>
        </w:trPr>
        <w:tc>
          <w:tcPr>
            <w:tcW w:w="4360" w:type="dxa"/>
            <w:vAlign w:val="bottom"/>
            <w:gridSpan w:val="2"/>
            <w:vMerge w:val="restart"/>
          </w:tcPr>
          <w:p>
            <w:pPr>
              <w:ind w:left="520"/>
              <w:spacing w:after="0"/>
              <w:rPr>
                <w:sz w:val="20"/>
                <w:szCs w:val="20"/>
                <w:color w:val="auto"/>
              </w:rPr>
            </w:pPr>
            <w:r>
              <w:rPr>
                <w:rFonts w:ascii="Arial" w:cs="Arial" w:eastAsia="Arial" w:hAnsi="Arial"/>
                <w:sz w:val="14"/>
                <w:szCs w:val="14"/>
                <w:color w:val="auto"/>
              </w:rPr>
              <w:t>Charles A. Baker</w:t>
            </w: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146"/>
        </w:trPr>
        <w:tc>
          <w:tcPr>
            <w:tcW w:w="4360" w:type="dxa"/>
            <w:vAlign w:val="bottom"/>
            <w:gridSpan w:val="2"/>
            <w:vMerge w:val="continue"/>
          </w:tcPr>
          <w:p>
            <w:pPr>
              <w:spacing w:after="0"/>
              <w:rPr>
                <w:sz w:val="12"/>
                <w:szCs w:val="12"/>
                <w:color w:val="auto"/>
              </w:rPr>
            </w:pPr>
          </w:p>
        </w:tc>
        <w:tc>
          <w:tcPr>
            <w:tcW w:w="6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60" w:type="dxa"/>
            <w:vAlign w:val="bottom"/>
            <w:gridSpan w:val="2"/>
          </w:tcPr>
          <w:p>
            <w:pPr>
              <w:ind w:left="520"/>
              <w:spacing w:after="0"/>
              <w:rPr>
                <w:sz w:val="20"/>
                <w:szCs w:val="20"/>
                <w:color w:val="auto"/>
              </w:rPr>
            </w:pPr>
            <w:r>
              <w:rPr>
                <w:rFonts w:ascii="Arial" w:cs="Arial" w:eastAsia="Arial" w:hAnsi="Arial"/>
                <w:sz w:val="14"/>
                <w:szCs w:val="14"/>
                <w:color w:val="auto"/>
              </w:rPr>
              <w:t>(until his retirement on June 8, 2018)</w:t>
            </w:r>
          </w:p>
        </w:tc>
        <w:tc>
          <w:tcPr>
            <w:tcW w:w="7060" w:type="dxa"/>
            <w:vAlign w:val="bottom"/>
            <w:gridSpan w:val="2"/>
          </w:tcPr>
          <w:p>
            <w:pPr>
              <w:ind w:left="3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Approve the total compensation budget for all Company employees.</w:t>
            </w:r>
          </w:p>
        </w:tc>
        <w:tc>
          <w:tcPr>
            <w:tcW w:w="0" w:type="dxa"/>
            <w:vAlign w:val="bottom"/>
          </w:tcPr>
          <w:p>
            <w:pPr>
              <w:spacing w:after="0"/>
              <w:rPr>
                <w:sz w:val="1"/>
                <w:szCs w:val="1"/>
                <w:color w:val="auto"/>
              </w:rPr>
            </w:pPr>
          </w:p>
        </w:tc>
      </w:tr>
      <w:tr>
        <w:trPr>
          <w:trHeight w:val="312"/>
        </w:trPr>
        <w:tc>
          <w:tcPr>
            <w:tcW w:w="4360" w:type="dxa"/>
            <w:vAlign w:val="bottom"/>
            <w:gridSpan w:val="2"/>
          </w:tcPr>
          <w:p>
            <w:pPr>
              <w:ind w:left="520"/>
              <w:spacing w:after="0"/>
              <w:rPr>
                <w:sz w:val="20"/>
                <w:szCs w:val="20"/>
                <w:color w:val="auto"/>
              </w:rPr>
            </w:pPr>
            <w:r>
              <w:rPr>
                <w:rFonts w:ascii="Arial" w:cs="Arial" w:eastAsia="Arial" w:hAnsi="Arial"/>
                <w:sz w:val="14"/>
                <w:szCs w:val="14"/>
                <w:color w:val="auto"/>
              </w:rPr>
              <w:t>Joseph L. Goldstein, M.D.</w:t>
            </w:r>
          </w:p>
        </w:tc>
        <w:tc>
          <w:tcPr>
            <w:tcW w:w="7060" w:type="dxa"/>
            <w:vAlign w:val="bottom"/>
            <w:gridSpan w:val="2"/>
          </w:tcPr>
          <w:p>
            <w:pPr>
              <w:ind w:left="3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Oversee the Company’s compensation and benefit philosophy and programs generally.</w:t>
            </w:r>
          </w:p>
        </w:tc>
        <w:tc>
          <w:tcPr>
            <w:tcW w:w="0" w:type="dxa"/>
            <w:vAlign w:val="bottom"/>
          </w:tcPr>
          <w:p>
            <w:pPr>
              <w:spacing w:after="0"/>
              <w:rPr>
                <w:sz w:val="1"/>
                <w:szCs w:val="1"/>
                <w:color w:val="auto"/>
              </w:rPr>
            </w:pPr>
          </w:p>
        </w:tc>
      </w:tr>
      <w:tr>
        <w:trPr>
          <w:trHeight w:val="302"/>
        </w:trPr>
        <w:tc>
          <w:tcPr>
            <w:tcW w:w="4360" w:type="dxa"/>
            <w:vAlign w:val="bottom"/>
            <w:gridSpan w:val="2"/>
          </w:tcPr>
          <w:p>
            <w:pPr>
              <w:ind w:left="520"/>
              <w:spacing w:after="0"/>
              <w:rPr>
                <w:sz w:val="20"/>
                <w:szCs w:val="20"/>
                <w:color w:val="auto"/>
              </w:rPr>
            </w:pPr>
            <w:r>
              <w:rPr>
                <w:rFonts w:ascii="Arial" w:cs="Arial" w:eastAsia="Arial" w:hAnsi="Arial"/>
                <w:sz w:val="14"/>
                <w:szCs w:val="14"/>
                <w:color w:val="auto"/>
              </w:rPr>
              <w:t>George L. Sing</w:t>
            </w:r>
          </w:p>
        </w:tc>
        <w:tc>
          <w:tcPr>
            <w:tcW w:w="7060" w:type="dxa"/>
            <w:vAlign w:val="bottom"/>
            <w:gridSpan w:val="2"/>
          </w:tcPr>
          <w:p>
            <w:pPr>
              <w:ind w:left="3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and approve annually the corporate goals and objectives applicable to the compensation of</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060" w:type="dxa"/>
            <w:vAlign w:val="bottom"/>
            <w:gridSpan w:val="2"/>
          </w:tcPr>
          <w:p>
            <w:pPr>
              <w:ind w:left="480"/>
              <w:spacing w:after="0" w:line="156" w:lineRule="exact"/>
              <w:rPr>
                <w:sz w:val="20"/>
                <w:szCs w:val="20"/>
                <w:color w:val="auto"/>
              </w:rPr>
            </w:pPr>
            <w:r>
              <w:rPr>
                <w:rFonts w:ascii="Arial" w:cs="Arial" w:eastAsia="Arial" w:hAnsi="Arial"/>
                <w:sz w:val="14"/>
                <w:szCs w:val="14"/>
                <w:color w:val="auto"/>
              </w:rPr>
              <w:t>the Chief Executive Officer and the goals and objectives of the Company’s executive</w:t>
            </w:r>
          </w:p>
        </w:tc>
        <w:tc>
          <w:tcPr>
            <w:tcW w:w="0" w:type="dxa"/>
            <w:vAlign w:val="bottom"/>
          </w:tcPr>
          <w:p>
            <w:pPr>
              <w:spacing w:after="0"/>
              <w:rPr>
                <w:sz w:val="1"/>
                <w:szCs w:val="1"/>
                <w:color w:val="auto"/>
              </w:rPr>
            </w:pPr>
          </w:p>
        </w:tc>
      </w:tr>
      <w:tr>
        <w:trPr>
          <w:trHeight w:val="156"/>
        </w:trPr>
        <w:tc>
          <w:tcPr>
            <w:tcW w:w="436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Huda Y. Zoghbi, M.D.</w:t>
            </w:r>
          </w:p>
        </w:tc>
        <w:tc>
          <w:tcPr>
            <w:tcW w:w="7060" w:type="dxa"/>
            <w:vAlign w:val="bottom"/>
            <w:gridSpan w:val="2"/>
          </w:tcPr>
          <w:p>
            <w:pPr>
              <w:ind w:left="480"/>
              <w:spacing w:after="0" w:line="156" w:lineRule="exact"/>
              <w:rPr>
                <w:sz w:val="20"/>
                <w:szCs w:val="20"/>
                <w:color w:val="auto"/>
              </w:rPr>
            </w:pPr>
            <w:r>
              <w:rPr>
                <w:rFonts w:ascii="Arial" w:cs="Arial" w:eastAsia="Arial" w:hAnsi="Arial"/>
                <w:sz w:val="14"/>
                <w:szCs w:val="14"/>
                <w:color w:val="auto"/>
              </w:rPr>
              <w:t>compensation programs.</w:t>
            </w:r>
          </w:p>
        </w:tc>
        <w:tc>
          <w:tcPr>
            <w:tcW w:w="0" w:type="dxa"/>
            <w:vAlign w:val="bottom"/>
          </w:tcPr>
          <w:p>
            <w:pPr>
              <w:spacing w:after="0"/>
              <w:rPr>
                <w:sz w:val="1"/>
                <w:szCs w:val="1"/>
                <w:color w:val="auto"/>
              </w:rPr>
            </w:pPr>
          </w:p>
        </w:tc>
      </w:tr>
      <w:tr>
        <w:trPr>
          <w:trHeight w:val="165"/>
        </w:trPr>
        <w:tc>
          <w:tcPr>
            <w:tcW w:w="4360" w:type="dxa"/>
            <w:vAlign w:val="bottom"/>
            <w:gridSpan w:val="2"/>
          </w:tcPr>
          <w:p>
            <w:pPr>
              <w:ind w:left="520"/>
              <w:spacing w:after="0"/>
              <w:rPr>
                <w:sz w:val="20"/>
                <w:szCs w:val="20"/>
                <w:color w:val="auto"/>
              </w:rPr>
            </w:pPr>
            <w:r>
              <w:rPr>
                <w:rFonts w:ascii="Arial" w:cs="Arial" w:eastAsia="Arial" w:hAnsi="Arial"/>
                <w:sz w:val="14"/>
                <w:szCs w:val="14"/>
                <w:color w:val="auto"/>
              </w:rPr>
              <w:t>(since June 8, 2018)</w:t>
            </w:r>
          </w:p>
        </w:tc>
        <w:tc>
          <w:tcPr>
            <w:tcW w:w="7060" w:type="dxa"/>
            <w:vAlign w:val="bottom"/>
            <w:gridSpan w:val="2"/>
            <w:vMerge w:val="restart"/>
          </w:tcPr>
          <w:p>
            <w:pPr>
              <w:ind w:left="3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and approve the Compensation Discussion and Analysis to be included in the Company’s</w:t>
            </w: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D61C5A"/>
              </w:rPr>
              <w:t>Number of Meetings Held in 2018</w:t>
            </w:r>
          </w:p>
        </w:tc>
        <w:tc>
          <w:tcPr>
            <w:tcW w:w="7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60" w:type="dxa"/>
            <w:vAlign w:val="bottom"/>
            <w:gridSpan w:val="2"/>
            <w:vMerge w:val="continue"/>
          </w:tcPr>
          <w:p>
            <w:pPr>
              <w:spacing w:after="0"/>
              <w:rPr>
                <w:sz w:val="14"/>
                <w:szCs w:val="14"/>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proxy statement.</w:t>
            </w:r>
          </w:p>
        </w:tc>
        <w:tc>
          <w:tcPr>
            <w:tcW w:w="0" w:type="dxa"/>
            <w:vAlign w:val="bottom"/>
          </w:tcPr>
          <w:p>
            <w:pPr>
              <w:spacing w:after="0"/>
              <w:rPr>
                <w:sz w:val="1"/>
                <w:szCs w:val="1"/>
                <w:color w:val="auto"/>
              </w:rPr>
            </w:pPr>
          </w:p>
        </w:tc>
      </w:tr>
      <w:tr>
        <w:trPr>
          <w:trHeight w:val="302"/>
        </w:trPr>
        <w:tc>
          <w:tcPr>
            <w:tcW w:w="4360" w:type="dxa"/>
            <w:vAlign w:val="bottom"/>
            <w:gridSpan w:val="2"/>
          </w:tcPr>
          <w:p>
            <w:pPr>
              <w:ind w:left="520"/>
              <w:spacing w:after="0"/>
              <w:rPr>
                <w:sz w:val="20"/>
                <w:szCs w:val="20"/>
                <w:color w:val="auto"/>
              </w:rPr>
            </w:pPr>
            <w:r>
              <w:rPr>
                <w:rFonts w:ascii="Arial" w:cs="Arial" w:eastAsia="Arial" w:hAnsi="Arial"/>
                <w:sz w:val="14"/>
                <w:szCs w:val="14"/>
                <w:color w:val="auto"/>
              </w:rPr>
              <w:t>10</w:t>
            </w:r>
          </w:p>
        </w:tc>
        <w:tc>
          <w:tcPr>
            <w:tcW w:w="7060" w:type="dxa"/>
            <w:vAlign w:val="bottom"/>
            <w:gridSpan w:val="2"/>
          </w:tcPr>
          <w:p>
            <w:pPr>
              <w:ind w:left="3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Prepare an annual report of the Compensation Committee for inclusion in the Company’s proxy</w:t>
            </w: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060" w:type="dxa"/>
            <w:vAlign w:val="bottom"/>
            <w:gridSpan w:val="2"/>
          </w:tcPr>
          <w:p>
            <w:pPr>
              <w:ind w:left="480"/>
              <w:spacing w:after="0"/>
              <w:rPr>
                <w:sz w:val="20"/>
                <w:szCs w:val="20"/>
                <w:color w:val="auto"/>
              </w:rPr>
            </w:pPr>
            <w:r>
              <w:rPr>
                <w:rFonts w:ascii="Arial" w:cs="Arial" w:eastAsia="Arial" w:hAnsi="Arial"/>
                <w:sz w:val="14"/>
                <w:szCs w:val="14"/>
                <w:color w:val="auto"/>
              </w:rPr>
              <w:t>statement.</w:t>
            </w:r>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3840" w:type="dxa"/>
            <w:vAlign w:val="bottom"/>
            <w:tcBorders>
              <w:bottom w:val="single" w:sz="8" w:color="205BA8"/>
            </w:tcBorders>
          </w:tcPr>
          <w:p>
            <w:pPr>
              <w:spacing w:after="0"/>
              <w:rPr>
                <w:sz w:val="5"/>
                <w:szCs w:val="5"/>
                <w:color w:val="auto"/>
              </w:rPr>
            </w:pPr>
          </w:p>
        </w:tc>
        <w:tc>
          <w:tcPr>
            <w:tcW w:w="6560" w:type="dxa"/>
            <w:vAlign w:val="bottom"/>
            <w:tcBorders>
              <w:bottom w:val="single" w:sz="8" w:color="205BA8"/>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123825</wp:posOffset>
            </wp:positionV>
            <wp:extent cx="6600190" cy="2476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00190" cy="247650"/>
                    </a:xfrm>
                    <a:prstGeom prst="rect">
                      <a:avLst/>
                    </a:prstGeom>
                    <a:noFill/>
                  </pic:spPr>
                </pic:pic>
              </a:graphicData>
            </a:graphic>
          </wp:anchor>
        </w:drawing>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205BA8"/>
        </w:rPr>
        <w:t>CORPORATE GOVERNANCE AND COMPLIANCE COMMITTEE</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3160" w:type="dxa"/>
            <w:vAlign w:val="bottom"/>
          </w:tcPr>
          <w:p>
            <w:pPr>
              <w:spacing w:after="0"/>
              <w:rPr>
                <w:sz w:val="20"/>
                <w:szCs w:val="20"/>
                <w:color w:val="auto"/>
              </w:rPr>
            </w:pPr>
            <w:r>
              <w:rPr>
                <w:rFonts w:ascii="Arial" w:cs="Arial" w:eastAsia="Arial" w:hAnsi="Arial"/>
                <w:sz w:val="14"/>
                <w:szCs w:val="14"/>
                <w:b w:val="1"/>
                <w:bCs w:val="1"/>
                <w:color w:val="D61C5A"/>
              </w:rPr>
              <w:t>Members</w:t>
            </w:r>
          </w:p>
        </w:tc>
        <w:tc>
          <w:tcPr>
            <w:tcW w:w="7240" w:type="dxa"/>
            <w:vAlign w:val="bottom"/>
          </w:tcPr>
          <w:p>
            <w:pPr>
              <w:ind w:left="1000"/>
              <w:spacing w:after="0"/>
              <w:rPr>
                <w:sz w:val="20"/>
                <w:szCs w:val="20"/>
                <w:color w:val="auto"/>
              </w:rPr>
            </w:pPr>
            <w:r>
              <w:rPr>
                <w:rFonts w:ascii="Arial" w:cs="Arial" w:eastAsia="Arial" w:hAnsi="Arial"/>
                <w:sz w:val="14"/>
                <w:szCs w:val="14"/>
                <w:b w:val="1"/>
                <w:bCs w:val="1"/>
                <w:color w:val="D61C5A"/>
              </w:rPr>
              <w:t>Key Functions</w:t>
            </w:r>
          </w:p>
        </w:tc>
        <w:tc>
          <w:tcPr>
            <w:tcW w:w="0" w:type="dxa"/>
            <w:vAlign w:val="bottom"/>
          </w:tcPr>
          <w:p>
            <w:pPr>
              <w:spacing w:after="0"/>
              <w:rPr>
                <w:sz w:val="1"/>
                <w:szCs w:val="1"/>
                <w:color w:val="auto"/>
              </w:rPr>
            </w:pPr>
          </w:p>
        </w:tc>
      </w:tr>
      <w:tr>
        <w:trPr>
          <w:trHeight w:val="302"/>
        </w:trPr>
        <w:tc>
          <w:tcPr>
            <w:tcW w:w="3160" w:type="dxa"/>
            <w:vAlign w:val="bottom"/>
          </w:tcPr>
          <w:p>
            <w:pPr>
              <w:spacing w:after="0"/>
              <w:rPr>
                <w:sz w:val="20"/>
                <w:szCs w:val="20"/>
                <w:color w:val="auto"/>
              </w:rPr>
            </w:pPr>
            <w:r>
              <w:rPr>
                <w:rFonts w:ascii="Arial" w:cs="Arial" w:eastAsia="Arial" w:hAnsi="Arial"/>
                <w:sz w:val="14"/>
                <w:szCs w:val="14"/>
                <w:color w:val="auto"/>
              </w:rPr>
              <w:t xml:space="preserve">Arthur F. Ryan, </w:t>
            </w:r>
            <w:r>
              <w:rPr>
                <w:rFonts w:ascii="Arial" w:cs="Arial" w:eastAsia="Arial" w:hAnsi="Arial"/>
                <w:sz w:val="14"/>
                <w:szCs w:val="14"/>
                <w:i w:val="1"/>
                <w:iCs w:val="1"/>
                <w:color w:val="auto"/>
              </w:rPr>
              <w:t>Chairman</w:t>
            </w:r>
          </w:p>
        </w:tc>
        <w:tc>
          <w:tcPr>
            <w:tcW w:w="7240" w:type="dxa"/>
            <w:vAlign w:val="bottom"/>
          </w:tcPr>
          <w:p>
            <w:pPr>
              <w:ind w:left="100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Identify qualified individuals to become members of the board and recommend such candidates to</w:t>
            </w:r>
          </w:p>
        </w:tc>
        <w:tc>
          <w:tcPr>
            <w:tcW w:w="0" w:type="dxa"/>
            <w:vAlign w:val="bottom"/>
          </w:tcPr>
          <w:p>
            <w:pPr>
              <w:spacing w:after="0"/>
              <w:rPr>
                <w:sz w:val="1"/>
                <w:szCs w:val="1"/>
                <w:color w:val="auto"/>
              </w:rPr>
            </w:pPr>
          </w:p>
        </w:tc>
      </w:tr>
      <w:tr>
        <w:trPr>
          <w:trHeight w:val="165"/>
        </w:trPr>
        <w:tc>
          <w:tcPr>
            <w:tcW w:w="3160" w:type="dxa"/>
            <w:vAlign w:val="bottom"/>
            <w:vMerge w:val="restart"/>
          </w:tcPr>
          <w:p>
            <w:pPr>
              <w:spacing w:after="0"/>
              <w:rPr>
                <w:sz w:val="20"/>
                <w:szCs w:val="20"/>
                <w:color w:val="auto"/>
              </w:rPr>
            </w:pPr>
            <w:r>
              <w:rPr>
                <w:rFonts w:ascii="Arial" w:cs="Arial" w:eastAsia="Arial" w:hAnsi="Arial"/>
                <w:sz w:val="14"/>
                <w:szCs w:val="14"/>
                <w:color w:val="auto"/>
              </w:rPr>
              <w:t>Bonnie L. Bassler, Ph.D.</w:t>
            </w:r>
          </w:p>
        </w:tc>
        <w:tc>
          <w:tcPr>
            <w:tcW w:w="7240" w:type="dxa"/>
            <w:vAlign w:val="bottom"/>
          </w:tcPr>
          <w:p>
            <w:pPr>
              <w:ind w:left="1160"/>
              <w:spacing w:after="0"/>
              <w:rPr>
                <w:sz w:val="20"/>
                <w:szCs w:val="20"/>
                <w:color w:val="auto"/>
              </w:rPr>
            </w:pPr>
            <w:r>
              <w:rPr>
                <w:rFonts w:ascii="Arial" w:cs="Arial" w:eastAsia="Arial" w:hAnsi="Arial"/>
                <w:sz w:val="14"/>
                <w:szCs w:val="14"/>
                <w:color w:val="auto"/>
              </w:rPr>
              <w:t>the board.</w:t>
            </w:r>
          </w:p>
        </w:tc>
        <w:tc>
          <w:tcPr>
            <w:tcW w:w="0" w:type="dxa"/>
            <w:vAlign w:val="bottom"/>
          </w:tcPr>
          <w:p>
            <w:pPr>
              <w:spacing w:after="0"/>
              <w:rPr>
                <w:sz w:val="1"/>
                <w:szCs w:val="1"/>
                <w:color w:val="auto"/>
              </w:rPr>
            </w:pPr>
          </w:p>
        </w:tc>
      </w:tr>
      <w:tr>
        <w:trPr>
          <w:trHeight w:val="156"/>
        </w:trPr>
        <w:tc>
          <w:tcPr>
            <w:tcW w:w="3160" w:type="dxa"/>
            <w:vAlign w:val="bottom"/>
            <w:vMerge w:val="continue"/>
          </w:tcPr>
          <w:p>
            <w:pPr>
              <w:spacing w:after="0"/>
              <w:rPr>
                <w:sz w:val="13"/>
                <w:szCs w:val="13"/>
                <w:color w:val="auto"/>
              </w:rPr>
            </w:pPr>
          </w:p>
        </w:tc>
        <w:tc>
          <w:tcPr>
            <w:tcW w:w="7240" w:type="dxa"/>
            <w:vAlign w:val="bottom"/>
            <w:vMerge w:val="restart"/>
          </w:tcPr>
          <w:p>
            <w:pPr>
              <w:ind w:left="100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Assess the functioning of the board and its committees and make recommendations to the board</w:t>
            </w: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20"/>
                <w:szCs w:val="20"/>
                <w:color w:val="auto"/>
              </w:rPr>
            </w:pPr>
            <w:r>
              <w:rPr>
                <w:rFonts w:ascii="Arial" w:cs="Arial" w:eastAsia="Arial" w:hAnsi="Arial"/>
                <w:sz w:val="14"/>
                <w:szCs w:val="14"/>
                <w:color w:val="auto"/>
              </w:rPr>
              <w:t>Michael S. Brown, M.D.</w:t>
            </w:r>
          </w:p>
        </w:tc>
        <w:tc>
          <w:tcPr>
            <w:tcW w:w="7240" w:type="dxa"/>
            <w:vAlign w:val="bottom"/>
          </w:tcPr>
          <w:p>
            <w:pPr>
              <w:ind w:left="1160"/>
              <w:spacing w:after="0"/>
              <w:rPr>
                <w:sz w:val="20"/>
                <w:szCs w:val="20"/>
                <w:color w:val="auto"/>
              </w:rPr>
            </w:pPr>
            <w:r>
              <w:rPr>
                <w:rFonts w:ascii="Arial" w:cs="Arial" w:eastAsia="Arial" w:hAnsi="Arial"/>
                <w:sz w:val="14"/>
                <w:szCs w:val="14"/>
                <w:color w:val="auto"/>
              </w:rPr>
              <w:t>concerning the appropriate size, function, and needs of the board.</w:t>
            </w:r>
          </w:p>
        </w:tc>
        <w:tc>
          <w:tcPr>
            <w:tcW w:w="0" w:type="dxa"/>
            <w:vAlign w:val="bottom"/>
          </w:tcPr>
          <w:p>
            <w:pPr>
              <w:spacing w:after="0"/>
              <w:rPr>
                <w:sz w:val="1"/>
                <w:szCs w:val="1"/>
                <w:color w:val="auto"/>
              </w:rPr>
            </w:pPr>
          </w:p>
        </w:tc>
      </w:tr>
      <w:tr>
        <w:trPr>
          <w:trHeight w:val="312"/>
        </w:trPr>
        <w:tc>
          <w:tcPr>
            <w:tcW w:w="3160" w:type="dxa"/>
            <w:vAlign w:val="bottom"/>
          </w:tcPr>
          <w:p>
            <w:pPr>
              <w:spacing w:after="0"/>
              <w:rPr>
                <w:sz w:val="20"/>
                <w:szCs w:val="20"/>
                <w:color w:val="auto"/>
              </w:rPr>
            </w:pPr>
            <w:r>
              <w:rPr>
                <w:rFonts w:ascii="Arial" w:cs="Arial" w:eastAsia="Arial" w:hAnsi="Arial"/>
                <w:sz w:val="14"/>
                <w:szCs w:val="14"/>
                <w:color w:val="auto"/>
              </w:rPr>
              <w:t>Christine A. Poon</w:t>
            </w:r>
          </w:p>
        </w:tc>
        <w:tc>
          <w:tcPr>
            <w:tcW w:w="7240" w:type="dxa"/>
            <w:vAlign w:val="bottom"/>
          </w:tcPr>
          <w:p>
            <w:pPr>
              <w:ind w:left="1000"/>
              <w:spacing w:after="0"/>
              <w:rPr>
                <w:sz w:val="20"/>
                <w:szCs w:val="20"/>
                <w:color w:val="auto"/>
              </w:rPr>
            </w:pPr>
            <w:r>
              <w:rPr>
                <w:rFonts w:ascii="Arial" w:cs="Arial" w:eastAsia="Arial" w:hAnsi="Arial"/>
                <w:sz w:val="14"/>
                <w:szCs w:val="14"/>
                <w:color w:val="205BA8"/>
                <w:w w:val="99"/>
              </w:rPr>
              <w:t xml:space="preserve">•  </w:t>
            </w:r>
            <w:r>
              <w:rPr>
                <w:rFonts w:ascii="Arial" w:cs="Arial" w:eastAsia="Arial" w:hAnsi="Arial"/>
                <w:sz w:val="14"/>
                <w:szCs w:val="14"/>
                <w:color w:val="000000"/>
                <w:w w:val="99"/>
              </w:rPr>
              <w:t>Review, and make recommendations to the board regarding, non-employee director compensation.</w:t>
            </w:r>
          </w:p>
        </w:tc>
        <w:tc>
          <w:tcPr>
            <w:tcW w:w="0" w:type="dxa"/>
            <w:vAlign w:val="bottom"/>
          </w:tcPr>
          <w:p>
            <w:pPr>
              <w:spacing w:after="0"/>
              <w:rPr>
                <w:sz w:val="1"/>
                <w:szCs w:val="1"/>
                <w:color w:val="auto"/>
              </w:rPr>
            </w:pPr>
          </w:p>
        </w:tc>
      </w:tr>
      <w:tr>
        <w:trPr>
          <w:trHeight w:val="302"/>
        </w:trPr>
        <w:tc>
          <w:tcPr>
            <w:tcW w:w="3160" w:type="dxa"/>
            <w:vAlign w:val="bottom"/>
          </w:tcPr>
          <w:p>
            <w:pPr>
              <w:spacing w:after="0"/>
              <w:rPr>
                <w:sz w:val="20"/>
                <w:szCs w:val="20"/>
                <w:color w:val="auto"/>
              </w:rPr>
            </w:pPr>
            <w:r>
              <w:rPr>
                <w:rFonts w:ascii="Arial" w:cs="Arial" w:eastAsia="Arial" w:hAnsi="Arial"/>
                <w:sz w:val="14"/>
                <w:szCs w:val="14"/>
                <w:color w:val="auto"/>
              </w:rPr>
              <w:t>Huda Y. Zoghbi, M.D.</w:t>
            </w:r>
          </w:p>
        </w:tc>
        <w:tc>
          <w:tcPr>
            <w:tcW w:w="7240" w:type="dxa"/>
            <w:vAlign w:val="bottom"/>
          </w:tcPr>
          <w:p>
            <w:pPr>
              <w:ind w:left="100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Make recommendations to the board regarding corporate governance matters and practices.</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20"/>
                <w:szCs w:val="20"/>
                <w:color w:val="auto"/>
              </w:rPr>
            </w:pPr>
            <w:r>
              <w:rPr>
                <w:rFonts w:ascii="Arial" w:cs="Arial" w:eastAsia="Arial" w:hAnsi="Arial"/>
                <w:sz w:val="14"/>
                <w:szCs w:val="14"/>
                <w:color w:val="auto"/>
              </w:rPr>
              <w:t>(until June 8, 2018)</w:t>
            </w:r>
          </w:p>
        </w:tc>
        <w:tc>
          <w:tcPr>
            <w:tcW w:w="7240" w:type="dxa"/>
            <w:vAlign w:val="bottom"/>
            <w:vMerge w:val="restart"/>
          </w:tcPr>
          <w:p>
            <w:pPr>
              <w:ind w:left="100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Oversee all aspects of the Company’s comprehensive compliance program other than financial</w:t>
            </w:r>
          </w:p>
        </w:tc>
        <w:tc>
          <w:tcPr>
            <w:tcW w:w="0" w:type="dxa"/>
            <w:vAlign w:val="bottom"/>
          </w:tcPr>
          <w:p>
            <w:pPr>
              <w:spacing w:after="0"/>
              <w:rPr>
                <w:sz w:val="1"/>
                <w:szCs w:val="1"/>
                <w:color w:val="auto"/>
              </w:rPr>
            </w:pPr>
          </w:p>
        </w:tc>
      </w:tr>
      <w:tr>
        <w:trPr>
          <w:trHeight w:val="146"/>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D61C5A"/>
              </w:rPr>
              <w:t>Number of Meetings Held in 2018</w:t>
            </w: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60" w:type="dxa"/>
            <w:vAlign w:val="bottom"/>
            <w:vMerge w:val="continue"/>
          </w:tcPr>
          <w:p>
            <w:pPr>
              <w:spacing w:after="0"/>
              <w:rPr>
                <w:sz w:val="14"/>
                <w:szCs w:val="14"/>
                <w:color w:val="auto"/>
              </w:rPr>
            </w:pPr>
          </w:p>
        </w:tc>
        <w:tc>
          <w:tcPr>
            <w:tcW w:w="7240" w:type="dxa"/>
            <w:vAlign w:val="bottom"/>
          </w:tcPr>
          <w:p>
            <w:pPr>
              <w:ind w:left="1160"/>
              <w:spacing w:after="0"/>
              <w:rPr>
                <w:sz w:val="20"/>
                <w:szCs w:val="20"/>
                <w:color w:val="auto"/>
              </w:rPr>
            </w:pPr>
            <w:r>
              <w:rPr>
                <w:rFonts w:ascii="Arial" w:cs="Arial" w:eastAsia="Arial" w:hAnsi="Arial"/>
                <w:sz w:val="14"/>
                <w:szCs w:val="14"/>
                <w:color w:val="auto"/>
              </w:rPr>
              <w:t>compliance.</w:t>
            </w:r>
          </w:p>
        </w:tc>
        <w:tc>
          <w:tcPr>
            <w:tcW w:w="0" w:type="dxa"/>
            <w:vAlign w:val="bottom"/>
          </w:tcPr>
          <w:p>
            <w:pPr>
              <w:spacing w:after="0"/>
              <w:rPr>
                <w:sz w:val="1"/>
                <w:szCs w:val="1"/>
                <w:color w:val="auto"/>
              </w:rPr>
            </w:pPr>
          </w:p>
        </w:tc>
      </w:tr>
      <w:tr>
        <w:trPr>
          <w:trHeight w:val="302"/>
        </w:trPr>
        <w:tc>
          <w:tcPr>
            <w:tcW w:w="3160" w:type="dxa"/>
            <w:vAlign w:val="bottom"/>
          </w:tcPr>
          <w:p>
            <w:pPr>
              <w:spacing w:after="0"/>
              <w:rPr>
                <w:sz w:val="20"/>
                <w:szCs w:val="20"/>
                <w:color w:val="auto"/>
              </w:rPr>
            </w:pPr>
            <w:r>
              <w:rPr>
                <w:rFonts w:ascii="Arial" w:cs="Arial" w:eastAsia="Arial" w:hAnsi="Arial"/>
                <w:sz w:val="14"/>
                <w:szCs w:val="14"/>
                <w:color w:val="auto"/>
              </w:rPr>
              <w:t>5</w:t>
            </w:r>
          </w:p>
        </w:tc>
        <w:tc>
          <w:tcPr>
            <w:tcW w:w="7240" w:type="dxa"/>
            <w:vAlign w:val="bottom"/>
          </w:tcPr>
          <w:p>
            <w:pPr>
              <w:ind w:left="100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Oversee the Company’s key corporate responsibility initiatives and conduct a periodic review of</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7240" w:type="dxa"/>
            <w:vAlign w:val="bottom"/>
          </w:tcPr>
          <w:p>
            <w:pPr>
              <w:ind w:left="1160"/>
              <w:spacing w:after="0"/>
              <w:rPr>
                <w:sz w:val="20"/>
                <w:szCs w:val="20"/>
                <w:color w:val="auto"/>
              </w:rPr>
            </w:pPr>
            <w:r>
              <w:rPr>
                <w:rFonts w:ascii="Arial" w:cs="Arial" w:eastAsia="Arial" w:hAnsi="Arial"/>
                <w:sz w:val="14"/>
                <w:szCs w:val="14"/>
                <w:color w:val="auto"/>
              </w:rPr>
              <w:t>environmental, social, and governance matters.</w:t>
            </w:r>
          </w:p>
        </w:tc>
        <w:tc>
          <w:tcPr>
            <w:tcW w:w="0" w:type="dxa"/>
            <w:vAlign w:val="bottom"/>
          </w:tcPr>
          <w:p>
            <w:pPr>
              <w:spacing w:after="0"/>
              <w:rPr>
                <w:sz w:val="1"/>
                <w:szCs w:val="1"/>
                <w:color w:val="auto"/>
              </w:rPr>
            </w:pPr>
          </w:p>
        </w:tc>
      </w:tr>
      <w:tr>
        <w:trPr>
          <w:trHeight w:val="64"/>
        </w:trPr>
        <w:tc>
          <w:tcPr>
            <w:tcW w:w="3160" w:type="dxa"/>
            <w:vAlign w:val="bottom"/>
            <w:tcBorders>
              <w:bottom w:val="single" w:sz="8" w:color="205BA8"/>
            </w:tcBorders>
          </w:tcPr>
          <w:p>
            <w:pPr>
              <w:spacing w:after="0"/>
              <w:rPr>
                <w:sz w:val="5"/>
                <w:szCs w:val="5"/>
                <w:color w:val="auto"/>
              </w:rPr>
            </w:pPr>
          </w:p>
        </w:tc>
        <w:tc>
          <w:tcPr>
            <w:tcW w:w="7240" w:type="dxa"/>
            <w:vAlign w:val="bottom"/>
            <w:tcBorders>
              <w:bottom w:val="single" w:sz="8" w:color="205BA8"/>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123825</wp:posOffset>
            </wp:positionV>
            <wp:extent cx="6600190" cy="2476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00190" cy="247650"/>
                    </a:xfrm>
                    <a:prstGeom prst="rect">
                      <a:avLst/>
                    </a:prstGeom>
                    <a:noFill/>
                  </pic:spPr>
                </pic:pic>
              </a:graphicData>
            </a:graphic>
          </wp:anchor>
        </w:drawing>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205BA8"/>
        </w:rPr>
        <w:t>TECHNOLOGY COMMITTEE</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Arial" w:cs="Arial" w:eastAsia="Arial" w:hAnsi="Arial"/>
                <w:sz w:val="14"/>
                <w:szCs w:val="14"/>
                <w:b w:val="1"/>
                <w:bCs w:val="1"/>
                <w:color w:val="D61C5A"/>
              </w:rPr>
              <w:t>Members</w:t>
            </w:r>
          </w:p>
        </w:tc>
        <w:tc>
          <w:tcPr>
            <w:tcW w:w="7160" w:type="dxa"/>
            <w:vAlign w:val="bottom"/>
          </w:tcPr>
          <w:p>
            <w:pPr>
              <w:ind w:left="920"/>
              <w:spacing w:after="0"/>
              <w:rPr>
                <w:sz w:val="20"/>
                <w:szCs w:val="20"/>
                <w:color w:val="auto"/>
              </w:rPr>
            </w:pPr>
            <w:r>
              <w:rPr>
                <w:rFonts w:ascii="Arial" w:cs="Arial" w:eastAsia="Arial" w:hAnsi="Arial"/>
                <w:sz w:val="14"/>
                <w:szCs w:val="14"/>
                <w:b w:val="1"/>
                <w:bCs w:val="1"/>
                <w:color w:val="D61C5A"/>
              </w:rPr>
              <w:t>Key Functions</w:t>
            </w:r>
          </w:p>
        </w:tc>
        <w:tc>
          <w:tcPr>
            <w:tcW w:w="0" w:type="dxa"/>
            <w:vAlign w:val="bottom"/>
          </w:tcPr>
          <w:p>
            <w:pPr>
              <w:spacing w:after="0"/>
              <w:rPr>
                <w:sz w:val="1"/>
                <w:szCs w:val="1"/>
                <w:color w:val="auto"/>
              </w:rPr>
            </w:pPr>
          </w:p>
        </w:tc>
      </w:tr>
      <w:tr>
        <w:trPr>
          <w:trHeight w:val="302"/>
        </w:trPr>
        <w:tc>
          <w:tcPr>
            <w:tcW w:w="3240" w:type="dxa"/>
            <w:vAlign w:val="bottom"/>
          </w:tcPr>
          <w:p>
            <w:pPr>
              <w:spacing w:after="0"/>
              <w:rPr>
                <w:sz w:val="20"/>
                <w:szCs w:val="20"/>
                <w:color w:val="auto"/>
              </w:rPr>
            </w:pPr>
            <w:r>
              <w:rPr>
                <w:rFonts w:ascii="Arial" w:cs="Arial" w:eastAsia="Arial" w:hAnsi="Arial"/>
                <w:sz w:val="14"/>
                <w:szCs w:val="14"/>
                <w:color w:val="auto"/>
              </w:rPr>
              <w:t xml:space="preserve">Michael S. Brown, M.D., </w:t>
            </w:r>
            <w:r>
              <w:rPr>
                <w:rFonts w:ascii="Arial" w:cs="Arial" w:eastAsia="Arial" w:hAnsi="Arial"/>
                <w:sz w:val="14"/>
                <w:szCs w:val="14"/>
                <w:i w:val="1"/>
                <w:iCs w:val="1"/>
                <w:color w:val="auto"/>
              </w:rPr>
              <w:t>Chairman</w:t>
            </w:r>
          </w:p>
        </w:tc>
        <w:tc>
          <w:tcPr>
            <w:tcW w:w="7160" w:type="dxa"/>
            <w:vAlign w:val="bottom"/>
          </w:tcPr>
          <w:p>
            <w:pPr>
              <w:ind w:left="92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color w:val="000000"/>
              </w:rPr>
              <w:t>Review and evaluate the Company’s research and clinical development programs, plans, and</w:t>
            </w:r>
          </w:p>
        </w:tc>
        <w:tc>
          <w:tcPr>
            <w:tcW w:w="0" w:type="dxa"/>
            <w:vAlign w:val="bottom"/>
          </w:tcPr>
          <w:p>
            <w:pPr>
              <w:spacing w:after="0"/>
              <w:rPr>
                <w:sz w:val="1"/>
                <w:szCs w:val="1"/>
                <w:color w:val="auto"/>
              </w:rPr>
            </w:pPr>
          </w:p>
        </w:tc>
      </w:tr>
      <w:tr>
        <w:trPr>
          <w:trHeight w:val="165"/>
        </w:trPr>
        <w:tc>
          <w:tcPr>
            <w:tcW w:w="3240" w:type="dxa"/>
            <w:vAlign w:val="bottom"/>
            <w:vMerge w:val="restart"/>
          </w:tcPr>
          <w:p>
            <w:pPr>
              <w:spacing w:after="0"/>
              <w:rPr>
                <w:sz w:val="20"/>
                <w:szCs w:val="20"/>
                <w:color w:val="auto"/>
              </w:rPr>
            </w:pPr>
            <w:r>
              <w:rPr>
                <w:rFonts w:ascii="Arial" w:cs="Arial" w:eastAsia="Arial" w:hAnsi="Arial"/>
                <w:sz w:val="14"/>
                <w:szCs w:val="14"/>
                <w:color w:val="auto"/>
              </w:rPr>
              <w:t>Bonnie L. Bassler, Ph.D.</w:t>
            </w:r>
          </w:p>
        </w:tc>
        <w:tc>
          <w:tcPr>
            <w:tcW w:w="7160" w:type="dxa"/>
            <w:vAlign w:val="bottom"/>
          </w:tcPr>
          <w:p>
            <w:pPr>
              <w:ind w:left="1080"/>
              <w:spacing w:after="0"/>
              <w:rPr>
                <w:sz w:val="20"/>
                <w:szCs w:val="20"/>
                <w:color w:val="auto"/>
              </w:rPr>
            </w:pPr>
            <w:r>
              <w:rPr>
                <w:rFonts w:ascii="Arial" w:cs="Arial" w:eastAsia="Arial" w:hAnsi="Arial"/>
                <w:sz w:val="14"/>
                <w:szCs w:val="14"/>
                <w:color w:val="auto"/>
              </w:rPr>
              <w:t>policies.</w:t>
            </w:r>
          </w:p>
        </w:tc>
        <w:tc>
          <w:tcPr>
            <w:tcW w:w="0" w:type="dxa"/>
            <w:vAlign w:val="bottom"/>
          </w:tcPr>
          <w:p>
            <w:pPr>
              <w:spacing w:after="0"/>
              <w:rPr>
                <w:sz w:val="1"/>
                <w:szCs w:val="1"/>
                <w:color w:val="auto"/>
              </w:rPr>
            </w:pPr>
          </w:p>
        </w:tc>
      </w:tr>
      <w:tr>
        <w:trPr>
          <w:trHeight w:val="156"/>
        </w:trPr>
        <w:tc>
          <w:tcPr>
            <w:tcW w:w="3240" w:type="dxa"/>
            <w:vAlign w:val="bottom"/>
            <w:vMerge w:val="continue"/>
          </w:tcPr>
          <w:p>
            <w:pPr>
              <w:spacing w:after="0"/>
              <w:rPr>
                <w:sz w:val="13"/>
                <w:szCs w:val="13"/>
                <w:color w:val="auto"/>
              </w:rPr>
            </w:pPr>
          </w:p>
        </w:tc>
        <w:tc>
          <w:tcPr>
            <w:tcW w:w="7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0"/>
                <w:szCs w:val="20"/>
                <w:color w:val="auto"/>
              </w:rPr>
            </w:pPr>
            <w:r>
              <w:rPr>
                <w:rFonts w:ascii="Arial" w:cs="Arial" w:eastAsia="Arial" w:hAnsi="Arial"/>
                <w:sz w:val="14"/>
                <w:szCs w:val="14"/>
                <w:color w:val="auto"/>
              </w:rPr>
              <w:t>Joseph L. Goldstein, M.D.</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0"/>
                <w:szCs w:val="20"/>
                <w:color w:val="auto"/>
              </w:rPr>
            </w:pPr>
            <w:r>
              <w:rPr>
                <w:rFonts w:ascii="Arial" w:cs="Arial" w:eastAsia="Arial" w:hAnsi="Arial"/>
                <w:sz w:val="14"/>
                <w:szCs w:val="14"/>
                <w:color w:val="auto"/>
              </w:rPr>
              <w:t>Marc Tessier-Lavigne, Ph.D.</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0"/>
                <w:szCs w:val="20"/>
                <w:color w:val="auto"/>
              </w:rPr>
            </w:pPr>
            <w:r>
              <w:rPr>
                <w:rFonts w:ascii="Arial" w:cs="Arial" w:eastAsia="Arial" w:hAnsi="Arial"/>
                <w:sz w:val="14"/>
                <w:szCs w:val="14"/>
                <w:color w:val="auto"/>
              </w:rPr>
              <w:t>P. Roy Vagelos, M.D.</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0"/>
                <w:szCs w:val="20"/>
                <w:color w:val="auto"/>
              </w:rPr>
            </w:pPr>
            <w:r>
              <w:rPr>
                <w:rFonts w:ascii="Arial" w:cs="Arial" w:eastAsia="Arial" w:hAnsi="Arial"/>
                <w:sz w:val="14"/>
                <w:szCs w:val="14"/>
                <w:color w:val="auto"/>
              </w:rPr>
              <w:t>Huda Y. Zoghbi, M.D.</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3240" w:type="dxa"/>
            <w:vAlign w:val="bottom"/>
          </w:tcPr>
          <w:p>
            <w:pPr>
              <w:spacing w:after="0"/>
              <w:rPr>
                <w:sz w:val="20"/>
                <w:szCs w:val="20"/>
                <w:color w:val="auto"/>
              </w:rPr>
            </w:pPr>
            <w:r>
              <w:rPr>
                <w:rFonts w:ascii="Arial" w:cs="Arial" w:eastAsia="Arial" w:hAnsi="Arial"/>
                <w:sz w:val="14"/>
                <w:szCs w:val="14"/>
                <w:color w:val="auto"/>
              </w:rPr>
              <w:t>Leonard S. Schleifer, M.D., Ph.D.</w:t>
            </w:r>
            <w:r>
              <w:rPr>
                <w:rFonts w:ascii="Arial" w:cs="Arial" w:eastAsia="Arial" w:hAnsi="Arial"/>
                <w:sz w:val="23"/>
                <w:szCs w:val="23"/>
                <w:color w:val="auto"/>
                <w:vertAlign w:val="superscript"/>
              </w:rPr>
              <w:t>1</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40" w:type="dxa"/>
            <w:vAlign w:val="bottom"/>
          </w:tcPr>
          <w:p>
            <w:pPr>
              <w:spacing w:after="0"/>
              <w:rPr>
                <w:sz w:val="20"/>
                <w:szCs w:val="20"/>
                <w:color w:val="auto"/>
              </w:rPr>
            </w:pPr>
            <w:r>
              <w:rPr>
                <w:rFonts w:ascii="Arial" w:cs="Arial" w:eastAsia="Arial" w:hAnsi="Arial"/>
                <w:sz w:val="14"/>
                <w:szCs w:val="14"/>
                <w:color w:val="auto"/>
              </w:rPr>
              <w:t>George D. Yancopoulos, M.D., Ph.D.</w:t>
            </w:r>
            <w:r>
              <w:rPr>
                <w:rFonts w:ascii="Arial" w:cs="Arial" w:eastAsia="Arial" w:hAnsi="Arial"/>
                <w:sz w:val="23"/>
                <w:szCs w:val="23"/>
                <w:color w:val="auto"/>
                <w:vertAlign w:val="superscript"/>
              </w:rPr>
              <w:t>1</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4"/>
                <w:szCs w:val="14"/>
                <w:b w:val="1"/>
                <w:bCs w:val="1"/>
                <w:color w:val="D61C5A"/>
              </w:rPr>
              <w:t>Number of Meetings Held in 2018</w:t>
            </w: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0"/>
                <w:szCs w:val="20"/>
                <w:color w:val="auto"/>
              </w:rPr>
            </w:pPr>
            <w:r>
              <w:rPr>
                <w:rFonts w:ascii="Arial" w:cs="Arial" w:eastAsia="Arial" w:hAnsi="Arial"/>
                <w:sz w:val="14"/>
                <w:szCs w:val="14"/>
                <w:color w:val="auto"/>
              </w:rPr>
              <w:t>3</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240" w:type="dxa"/>
            <w:vAlign w:val="bottom"/>
            <w:tcBorders>
              <w:bottom w:val="single" w:sz="8" w:color="205BA8"/>
            </w:tcBorders>
          </w:tcPr>
          <w:p>
            <w:pPr>
              <w:spacing w:after="0"/>
              <w:rPr>
                <w:sz w:val="5"/>
                <w:szCs w:val="5"/>
                <w:color w:val="auto"/>
              </w:rPr>
            </w:pPr>
          </w:p>
        </w:tc>
        <w:tc>
          <w:tcPr>
            <w:tcW w:w="7160" w:type="dxa"/>
            <w:vAlign w:val="bottom"/>
            <w:tcBorders>
              <w:bottom w:val="single" w:sz="8" w:color="205BA8"/>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240" w:type="dxa"/>
            <w:vAlign w:val="bottom"/>
          </w:tcPr>
          <w:p>
            <w:pPr>
              <w:spacing w:after="0"/>
              <w:rPr>
                <w:sz w:val="20"/>
                <w:szCs w:val="20"/>
                <w:color w:val="auto"/>
              </w:rPr>
            </w:pPr>
            <w:r>
              <w:rPr>
                <w:rFonts w:ascii="Arial" w:cs="Arial" w:eastAsia="Arial" w:hAnsi="Arial"/>
                <w:sz w:val="14"/>
                <w:szCs w:val="14"/>
                <w:b w:val="1"/>
                <w:bCs w:val="1"/>
                <w:color w:val="205BA8"/>
              </w:rPr>
              <w:t xml:space="preserve">1 </w:t>
            </w:r>
            <w:r>
              <w:rPr>
                <w:rFonts w:ascii="Arial" w:cs="Arial" w:eastAsia="Arial" w:hAnsi="Arial"/>
                <w:sz w:val="14"/>
                <w:szCs w:val="14"/>
                <w:i w:val="1"/>
                <w:iCs w:val="1"/>
                <w:color w:val="000000"/>
              </w:rPr>
              <w:t>Ex Officio</w:t>
            </w:r>
            <w:r>
              <w:rPr>
                <w:rFonts w:ascii="Arial" w:cs="Arial" w:eastAsia="Arial" w:hAnsi="Arial"/>
                <w:sz w:val="14"/>
                <w:szCs w:val="14"/>
                <w:b w:val="1"/>
                <w:bCs w:val="1"/>
                <w:color w:val="205BA8"/>
              </w:rPr>
              <w:t xml:space="preserve"> </w:t>
            </w:r>
            <w:r>
              <w:rPr>
                <w:rFonts w:ascii="Arial" w:cs="Arial" w:eastAsia="Arial" w:hAnsi="Arial"/>
                <w:sz w:val="14"/>
                <w:szCs w:val="14"/>
                <w:color w:val="000000"/>
              </w:rPr>
              <w:t>Member.</w:t>
            </w:r>
          </w:p>
        </w:tc>
        <w:tc>
          <w:tcPr>
            <w:tcW w:w="7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21</w:t>
            </w:r>
          </w:p>
        </w:tc>
      </w:tr>
      <w:tr>
        <w:trPr>
          <w:trHeight w:val="252"/>
        </w:trPr>
        <w:tc>
          <w:tcPr>
            <w:tcW w:w="7840" w:type="dxa"/>
            <w:vAlign w:val="bottom"/>
            <w:tcBorders>
              <w:bottom w:val="single" w:sz="8" w:color="A8A9AD"/>
            </w:tcBorders>
          </w:tcPr>
          <w:p>
            <w:pPr>
              <w:spacing w:after="0"/>
              <w:rPr>
                <w:sz w:val="21"/>
                <w:szCs w:val="21"/>
                <w:color w:val="auto"/>
              </w:rPr>
            </w:pPr>
          </w:p>
        </w:tc>
        <w:tc>
          <w:tcPr>
            <w:tcW w:w="3580" w:type="dxa"/>
            <w:vAlign w:val="bottom"/>
            <w:tcBorders>
              <w:bottom w:val="single" w:sz="8" w:color="A8A9AD"/>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4" w:name="page35"/>
    <w:bookmarkEnd w:id="34"/>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38"/>
          <w:szCs w:val="38"/>
          <w:b w:val="1"/>
          <w:bCs w:val="1"/>
          <w:color w:val="FFFFFF"/>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1044575</wp:posOffset>
            </wp:positionV>
            <wp:extent cx="66001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900"/>
        <w:spacing w:after="0" w:line="297" w:lineRule="auto"/>
        <w:rPr>
          <w:sz w:val="20"/>
          <w:szCs w:val="20"/>
          <w:color w:val="auto"/>
        </w:rPr>
      </w:pPr>
      <w:r>
        <w:rPr>
          <w:rFonts w:ascii="Arial" w:cs="Arial" w:eastAsia="Arial" w:hAnsi="Arial"/>
          <w:sz w:val="25"/>
          <w:szCs w:val="25"/>
          <w:b w:val="1"/>
          <w:bCs w:val="1"/>
          <w:color w:val="D61C5A"/>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774065</wp:posOffset>
            </wp:positionV>
            <wp:extent cx="16497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100"/>
        <w:spacing w:after="0" w:line="273" w:lineRule="auto"/>
        <w:rPr>
          <w:sz w:val="20"/>
          <w:szCs w:val="20"/>
          <w:color w:val="auto"/>
        </w:rPr>
      </w:pPr>
      <w:r>
        <w:rPr>
          <w:rFonts w:ascii="Arial" w:cs="Arial" w:eastAsia="Arial" w:hAnsi="Arial"/>
          <w:sz w:val="25"/>
          <w:szCs w:val="25"/>
          <w:b w:val="1"/>
          <w:bCs w:val="1"/>
          <w:color w:val="D61C5A"/>
        </w:rPr>
        <w:t>BOARD MEETINGS AND ATTENDANCE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16497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26"/>
          <w:szCs w:val="26"/>
          <w:b w:val="1"/>
          <w:bCs w:val="1"/>
          <w:color w:val="D61C5A"/>
        </w:rPr>
        <w:t>PROCEDURES RELATING TO NOMINEES; BOARD SUCCESSION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22  </w:t>
      </w:r>
      <w:r>
        <w:rPr>
          <w:rFonts w:ascii="Arial" w:cs="Arial" w:eastAsia="Arial" w:hAnsi="Arial"/>
          <w:sz w:val="14"/>
          <w:szCs w:val="14"/>
          <w:color w:val="205BA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 w:right="120"/>
        <w:spacing w:after="0" w:line="221" w:lineRule="auto"/>
        <w:rPr>
          <w:sz w:val="20"/>
          <w:szCs w:val="20"/>
          <w:color w:val="auto"/>
        </w:rPr>
      </w:pPr>
      <w:r>
        <w:rPr>
          <w:rFonts w:ascii="Arial" w:cs="Arial" w:eastAsia="Arial" w:hAnsi="Arial"/>
          <w:sz w:val="15"/>
          <w:szCs w:val="15"/>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Class I, five members in Class II, and three members in Class III. The respective terms of the directors expire (in all cases, subject to the election and qualification of their successors and to their earlier death, resignation, or removal) as follows:</w:t>
      </w:r>
    </w:p>
    <w:p>
      <w:pPr>
        <w:spacing w:after="0" w:line="141" w:lineRule="exact"/>
        <w:rPr>
          <w:sz w:val="20"/>
          <w:szCs w:val="20"/>
          <w:color w:val="auto"/>
        </w:rPr>
      </w:pPr>
    </w:p>
    <w:p>
      <w:pPr>
        <w:ind w:left="229" w:hanging="229"/>
        <w:spacing w:after="0"/>
        <w:tabs>
          <w:tab w:leader="none" w:pos="229" w:val="left"/>
        </w:tabs>
        <w:numPr>
          <w:ilvl w:val="0"/>
          <w:numId w:val="30"/>
        </w:numPr>
        <w:rPr>
          <w:rFonts w:ascii="Arial" w:cs="Arial" w:eastAsia="Arial" w:hAnsi="Arial"/>
          <w:sz w:val="15"/>
          <w:szCs w:val="15"/>
          <w:color w:val="205BA8"/>
        </w:rPr>
      </w:pPr>
      <w:r>
        <w:rPr>
          <w:rFonts w:ascii="Arial" w:cs="Arial" w:eastAsia="Arial" w:hAnsi="Arial"/>
          <w:sz w:val="15"/>
          <w:szCs w:val="15"/>
          <w:color w:val="auto"/>
        </w:rPr>
        <w:t>The terms of the Class I Directors expire at the 2019 Annual Meeting;</w:t>
      </w:r>
    </w:p>
    <w:p>
      <w:pPr>
        <w:spacing w:after="0" w:line="139" w:lineRule="exact"/>
        <w:rPr>
          <w:rFonts w:ascii="Arial" w:cs="Arial" w:eastAsia="Arial" w:hAnsi="Arial"/>
          <w:sz w:val="15"/>
          <w:szCs w:val="15"/>
          <w:color w:val="205BA8"/>
        </w:rPr>
      </w:pPr>
    </w:p>
    <w:p>
      <w:pPr>
        <w:ind w:left="229" w:hanging="229"/>
        <w:spacing w:after="0"/>
        <w:tabs>
          <w:tab w:leader="none" w:pos="229" w:val="left"/>
        </w:tabs>
        <w:numPr>
          <w:ilvl w:val="0"/>
          <w:numId w:val="30"/>
        </w:numPr>
        <w:rPr>
          <w:rFonts w:ascii="Arial" w:cs="Arial" w:eastAsia="Arial" w:hAnsi="Arial"/>
          <w:sz w:val="15"/>
          <w:szCs w:val="15"/>
          <w:color w:val="205BA8"/>
        </w:rPr>
      </w:pPr>
      <w:r>
        <w:rPr>
          <w:rFonts w:ascii="Arial" w:cs="Arial" w:eastAsia="Arial" w:hAnsi="Arial"/>
          <w:sz w:val="15"/>
          <w:szCs w:val="15"/>
          <w:color w:val="auto"/>
        </w:rPr>
        <w:t>The terms of the Class II Directors expire at the 2020 Annual Meeting; and</w:t>
      </w:r>
    </w:p>
    <w:p>
      <w:pPr>
        <w:spacing w:after="0" w:line="139" w:lineRule="exact"/>
        <w:rPr>
          <w:rFonts w:ascii="Arial" w:cs="Arial" w:eastAsia="Arial" w:hAnsi="Arial"/>
          <w:sz w:val="15"/>
          <w:szCs w:val="15"/>
          <w:color w:val="205BA8"/>
        </w:rPr>
      </w:pPr>
    </w:p>
    <w:p>
      <w:pPr>
        <w:ind w:left="229" w:hanging="229"/>
        <w:spacing w:after="0"/>
        <w:tabs>
          <w:tab w:leader="none" w:pos="229" w:val="left"/>
        </w:tabs>
        <w:numPr>
          <w:ilvl w:val="0"/>
          <w:numId w:val="30"/>
        </w:numPr>
        <w:rPr>
          <w:rFonts w:ascii="Arial" w:cs="Arial" w:eastAsia="Arial" w:hAnsi="Arial"/>
          <w:sz w:val="15"/>
          <w:szCs w:val="15"/>
          <w:color w:val="205BA8"/>
        </w:rPr>
      </w:pPr>
      <w:r>
        <w:rPr>
          <w:rFonts w:ascii="Arial" w:cs="Arial" w:eastAsia="Arial" w:hAnsi="Arial"/>
          <w:sz w:val="15"/>
          <w:szCs w:val="15"/>
          <w:color w:val="auto"/>
        </w:rPr>
        <w:t>The terms of the Class III Directors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46863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14" w:lineRule="exact"/>
        <w:rPr>
          <w:sz w:val="20"/>
          <w:szCs w:val="20"/>
          <w:color w:val="auto"/>
        </w:rPr>
      </w:pPr>
    </w:p>
    <w:p>
      <w:pPr>
        <w:ind w:left="9" w:right="60"/>
        <w:spacing w:after="0" w:line="223" w:lineRule="auto"/>
        <w:rPr>
          <w:sz w:val="20"/>
          <w:szCs w:val="20"/>
          <w:color w:val="auto"/>
        </w:rPr>
      </w:pPr>
      <w:r>
        <w:rPr>
          <w:rFonts w:ascii="Arial" w:cs="Arial" w:eastAsia="Arial" w:hAnsi="Arial"/>
          <w:sz w:val="15"/>
          <w:szCs w:val="15"/>
          <w:color w:val="auto"/>
        </w:rPr>
        <w:t>The board held six regular meetings in 2018. All directors attended at least 75% of the total number of meetings of the board and committees of the board on which they served. According to the Regeneron Board of Directors Corporate Governance Guidelines, board members are expected to attend the Company’s Annual Meeting of Shareholders. All of the directors then in office attended our 2018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237490</wp:posOffset>
            </wp:positionV>
            <wp:extent cx="46863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9" w:right="120"/>
        <w:spacing w:after="0" w:line="239" w:lineRule="auto"/>
        <w:rPr>
          <w:sz w:val="20"/>
          <w:szCs w:val="20"/>
          <w:color w:val="auto"/>
        </w:rPr>
      </w:pPr>
      <w:r>
        <w:rPr>
          <w:rFonts w:ascii="Arial" w:cs="Arial" w:eastAsia="Arial" w:hAnsi="Arial"/>
          <w:sz w:val="14"/>
          <w:szCs w:val="14"/>
          <w:color w:val="auto"/>
        </w:rPr>
        <w:t xml:space="preserve">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cs="Arial" w:eastAsia="Arial" w:hAnsi="Arial"/>
          <w:sz w:val="14"/>
          <w:szCs w:val="14"/>
          <w:b w:val="1"/>
          <w:bCs w:val="1"/>
          <w:color w:val="auto"/>
        </w:rPr>
        <w:t xml:space="preserve">www.regeneron.com </w:t>
      </w:r>
      <w:r>
        <w:rPr>
          <w:rFonts w:ascii="Arial" w:cs="Arial" w:eastAsia="Arial" w:hAnsi="Arial"/>
          <w:sz w:val="14"/>
          <w:szCs w:val="14"/>
          <w:color w:val="auto"/>
        </w:rPr>
        <w:t>under the “Corporate Governance” heading on the “Investors &amp; Media” page.</w:t>
      </w:r>
    </w:p>
    <w:p>
      <w:pPr>
        <w:spacing w:after="0" w:line="138" w:lineRule="exact"/>
        <w:rPr>
          <w:sz w:val="20"/>
          <w:szCs w:val="20"/>
          <w:color w:val="auto"/>
        </w:rPr>
      </w:pPr>
    </w:p>
    <w:p>
      <w:pPr>
        <w:ind w:left="9" w:right="440"/>
        <w:spacing w:after="0" w:line="232" w:lineRule="auto"/>
        <w:rPr>
          <w:sz w:val="20"/>
          <w:szCs w:val="20"/>
          <w:color w:val="auto"/>
        </w:rPr>
      </w:pPr>
      <w:r>
        <w:rPr>
          <w:rFonts w:ascii="Arial" w:cs="Arial" w:eastAsia="Arial" w:hAnsi="Arial"/>
          <w:sz w:val="14"/>
          <w:szCs w:val="14"/>
          <w:color w:val="auto"/>
        </w:rPr>
        <w:t>In considering potential candidates for the board of directors, the Corporate Governance and Compliance Committee considers factors such as whether or not a potential candidate: (1) possesses relevant expertise;</w:t>
      </w:r>
    </w:p>
    <w:p>
      <w:pPr>
        <w:spacing w:after="0" w:line="1" w:lineRule="exact"/>
        <w:rPr>
          <w:sz w:val="20"/>
          <w:szCs w:val="20"/>
          <w:color w:val="auto"/>
        </w:rPr>
      </w:pPr>
    </w:p>
    <w:p>
      <w:pPr>
        <w:ind w:left="9" w:right="20" w:hanging="9"/>
        <w:spacing w:after="0" w:line="221" w:lineRule="auto"/>
        <w:tabs>
          <w:tab w:leader="none" w:pos="227" w:val="left"/>
        </w:tabs>
        <w:numPr>
          <w:ilvl w:val="0"/>
          <w:numId w:val="31"/>
        </w:numPr>
        <w:rPr>
          <w:rFonts w:ascii="Arial" w:cs="Arial" w:eastAsia="Arial" w:hAnsi="Arial"/>
          <w:sz w:val="15"/>
          <w:szCs w:val="15"/>
          <w:color w:val="auto"/>
        </w:rPr>
      </w:pPr>
      <w:r>
        <w:rPr>
          <w:rFonts w:ascii="Arial" w:cs="Arial" w:eastAsia="Arial" w:hAnsi="Arial"/>
          <w:sz w:val="15"/>
          <w:szCs w:val="15"/>
          <w:color w:val="auto"/>
        </w:rPr>
        <w:t>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38" w:lineRule="exact"/>
        <w:rPr>
          <w:sz w:val="20"/>
          <w:szCs w:val="20"/>
          <w:color w:val="auto"/>
        </w:rPr>
      </w:pPr>
    </w:p>
    <w:p>
      <w:pPr>
        <w:ind w:left="9" w:right="20"/>
        <w:spacing w:after="0" w:line="235" w:lineRule="auto"/>
        <w:rPr>
          <w:sz w:val="20"/>
          <w:szCs w:val="20"/>
          <w:color w:val="auto"/>
        </w:rPr>
      </w:pPr>
      <w:r>
        <w:rPr>
          <w:rFonts w:ascii="Arial" w:cs="Arial" w:eastAsia="Arial" w:hAnsi="Arial"/>
          <w:sz w:val="14"/>
          <w:szCs w:val="14"/>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164465</wp:posOffset>
            </wp:positionV>
            <wp:extent cx="7251700" cy="33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500" w:space="511"/>
            <w:col w:w="7389"/>
          </w:cols>
          <w:pgMar w:left="760" w:top="1440" w:right="739" w:bottom="1440" w:gutter="0" w:footer="0" w:header="0"/>
          <w:type w:val="continuous"/>
        </w:sectPr>
      </w:pPr>
    </w:p>
    <w:bookmarkStart w:id="35" w:name="page36"/>
    <w:bookmarkEnd w:id="35"/>
    <w:p>
      <w:pPr>
        <w:ind w:left="7080"/>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3" w:lineRule="exact"/>
        <w:rPr>
          <w:sz w:val="20"/>
          <w:szCs w:val="20"/>
          <w:color w:val="auto"/>
        </w:rPr>
      </w:pPr>
    </w:p>
    <w:p>
      <w:pPr>
        <w:ind w:left="3380" w:right="520"/>
        <w:spacing w:after="0" w:line="221"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88900</wp:posOffset>
            </wp:positionV>
            <wp:extent cx="4784725" cy="17653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84725" cy="176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80" w:right="580"/>
        <w:spacing w:after="0" w:line="219" w:lineRule="auto"/>
        <w:rPr>
          <w:sz w:val="20"/>
          <w:szCs w:val="20"/>
          <w:color w:val="auto"/>
        </w:rPr>
      </w:pPr>
      <w:r>
        <w:rPr>
          <w:rFonts w:ascii="Arial" w:cs="Arial" w:eastAsia="Arial" w:hAnsi="Arial"/>
          <w:sz w:val="15"/>
          <w:szCs w:val="15"/>
          <w:color w:val="auto"/>
        </w:rPr>
        <w:t>The Corporate Governance and Compliance Committee may employ a variety of methods for identifying and evaluating 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143" w:lineRule="exact"/>
        <w:rPr>
          <w:sz w:val="20"/>
          <w:szCs w:val="20"/>
          <w:color w:val="auto"/>
        </w:rPr>
      </w:pPr>
    </w:p>
    <w:p>
      <w:pPr>
        <w:ind w:left="3380" w:right="660"/>
        <w:spacing w:after="0" w:line="223" w:lineRule="auto"/>
        <w:rPr>
          <w:sz w:val="20"/>
          <w:szCs w:val="20"/>
          <w:color w:val="auto"/>
        </w:rPr>
      </w:pPr>
      <w:r>
        <w:rPr>
          <w:rFonts w:ascii="Arial" w:cs="Arial" w:eastAsia="Arial" w:hAnsi="Arial"/>
          <w:sz w:val="15"/>
          <w:szCs w:val="15"/>
          <w:color w:val="auto"/>
        </w:rPr>
        <w:t>The Corporate Governance and Compliance Committee seeks to ensure that our board of directors as a whole possesses the mix of skills and experiences to provide effective oversight and guidance to management to execute on the Company’s long-term strategy. The Committee also considers succession planning for board and committee chairs for purposes of continuity and to maintain relevant expertise and depth of experience.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23</w:t>
            </w:r>
          </w:p>
        </w:tc>
      </w:tr>
      <w:tr>
        <w:trPr>
          <w:trHeight w:val="252"/>
        </w:trPr>
        <w:tc>
          <w:tcPr>
            <w:tcW w:w="7840" w:type="dxa"/>
            <w:vAlign w:val="bottom"/>
            <w:tcBorders>
              <w:bottom w:val="single" w:sz="8" w:color="A8A9AD"/>
            </w:tcBorders>
          </w:tcPr>
          <w:p>
            <w:pPr>
              <w:spacing w:after="0"/>
              <w:rPr>
                <w:sz w:val="21"/>
                <w:szCs w:val="21"/>
                <w:color w:val="auto"/>
              </w:rPr>
            </w:pPr>
          </w:p>
        </w:tc>
        <w:tc>
          <w:tcPr>
            <w:tcW w:w="3580" w:type="dxa"/>
            <w:vAlign w:val="bottom"/>
            <w:tcBorders>
              <w:bottom w:val="single" w:sz="8" w:color="A8A9AD"/>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6001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right="200"/>
        <w:spacing w:after="0" w:line="273" w:lineRule="auto"/>
        <w:rPr>
          <w:sz w:val="20"/>
          <w:szCs w:val="20"/>
          <w:color w:val="auto"/>
        </w:rPr>
      </w:pPr>
      <w:r>
        <w:rPr>
          <w:rFonts w:ascii="Arial" w:cs="Arial" w:eastAsia="Arial" w:hAnsi="Arial"/>
          <w:sz w:val="25"/>
          <w:szCs w:val="25"/>
          <w:b w:val="1"/>
          <w:bCs w:val="1"/>
          <w:color w:val="D61C5A"/>
        </w:rPr>
        <w:t>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1947545</wp:posOffset>
            </wp:positionV>
            <wp:extent cx="16497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80"/>
        <w:spacing w:after="0" w:line="256" w:lineRule="auto"/>
        <w:rPr>
          <w:sz w:val="20"/>
          <w:szCs w:val="20"/>
          <w:color w:val="auto"/>
        </w:rPr>
      </w:pPr>
      <w:r>
        <w:rPr>
          <w:rFonts w:ascii="Arial" w:cs="Arial" w:eastAsia="Arial" w:hAnsi="Arial"/>
          <w:sz w:val="25"/>
          <w:szCs w:val="25"/>
          <w:b w:val="1"/>
          <w:bCs w:val="1"/>
          <w:color w:val="D61C5A"/>
        </w:rPr>
        <w:t>SHAREHOLDER RIGHTS TO REMOVE DIRECTORS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6"/>
          <w:szCs w:val="26"/>
          <w:b w:val="1"/>
          <w:bCs w:val="1"/>
          <w:color w:val="D61C5A"/>
        </w:rPr>
        <w:t>FOR CAUSE AND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16497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0"/>
        <w:spacing w:after="0" w:line="219" w:lineRule="auto"/>
        <w:rPr>
          <w:sz w:val="20"/>
          <w:szCs w:val="20"/>
          <w:color w:val="auto"/>
        </w:rPr>
      </w:pPr>
      <w:r>
        <w:rPr>
          <w:rFonts w:ascii="Arial" w:cs="Arial" w:eastAsia="Arial" w:hAnsi="Arial"/>
          <w:sz w:val="15"/>
          <w:szCs w:val="15"/>
          <w:color w:val="auto"/>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its findings and recommendations to the board of directors. The results of the assessments are then discussed by the board of directors and the respective committees in executive session, with a view toward taking action to address any issues presented. Results requiring additional consideration are addressed at subsequent board and committee meetings,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4702810" cy="1039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02810"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29" w:lineRule="auto"/>
        <w:rPr>
          <w:sz w:val="20"/>
          <w:szCs w:val="20"/>
          <w:color w:val="auto"/>
        </w:rPr>
      </w:pPr>
      <w:r>
        <w:rPr>
          <w:rFonts w:ascii="Arial" w:cs="Arial" w:eastAsia="Arial" w:hAnsi="Arial"/>
          <w:sz w:val="15"/>
          <w:szCs w:val="15"/>
          <w:color w:val="auto"/>
        </w:rPr>
        <w:t>While this formal self-assessment is conducted on an annual basis, directors share perspectives, feedback, and suggestions year-round, both inside and outside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4686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39" w:lineRule="exact"/>
        <w:rPr>
          <w:sz w:val="20"/>
          <w:szCs w:val="20"/>
          <w:color w:val="auto"/>
        </w:rPr>
      </w:pPr>
    </w:p>
    <w:p>
      <w:pPr>
        <w:ind w:right="120"/>
        <w:spacing w:after="0" w:line="223" w:lineRule="auto"/>
        <w:rPr>
          <w:sz w:val="20"/>
          <w:szCs w:val="20"/>
          <w:color w:val="auto"/>
        </w:rPr>
      </w:pPr>
      <w:r>
        <w:rPr>
          <w:rFonts w:ascii="Arial" w:cs="Arial" w:eastAsia="Arial" w:hAnsi="Arial"/>
          <w:sz w:val="15"/>
          <w:szCs w:val="15"/>
          <w:color w:val="auto"/>
        </w:rPr>
        <w:t>Regeneron’s charter documents give shareholders the rights to (i) 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1235710</wp:posOffset>
            </wp:positionV>
            <wp:extent cx="46863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1965" w:lineRule="exact"/>
        <w:rPr>
          <w:sz w:val="20"/>
          <w:szCs w:val="20"/>
          <w:color w:val="auto"/>
        </w:rPr>
      </w:pPr>
    </w:p>
    <w:p>
      <w:pPr>
        <w:sectPr>
          <w:pgSz w:w="11900" w:h="16838" w:orient="portrait"/>
          <w:cols w:equalWidth="0" w:num="2">
            <w:col w:w="2580" w:space="440"/>
            <w:col w:w="7380"/>
          </w:cols>
          <w:pgMar w:left="760" w:top="396" w:right="739" w:bottom="1440" w:gutter="0" w:footer="0" w:header="0"/>
          <w:type w:val="continuous"/>
        </w:sectPr>
      </w:pPr>
    </w:p>
    <w:p>
      <w:pPr>
        <w:spacing w:after="0" w:line="129" w:lineRule="exact"/>
        <w:rPr>
          <w:sz w:val="20"/>
          <w:szCs w:val="20"/>
          <w:color w:val="auto"/>
        </w:rPr>
      </w:pPr>
    </w:p>
    <w:p>
      <w:pPr>
        <w:ind w:right="240"/>
        <w:spacing w:after="0" w:line="297" w:lineRule="auto"/>
        <w:rPr>
          <w:sz w:val="20"/>
          <w:szCs w:val="20"/>
          <w:color w:val="auto"/>
        </w:rPr>
      </w:pPr>
      <w:r>
        <w:rPr>
          <w:rFonts w:ascii="Arial" w:cs="Arial" w:eastAsia="Arial" w:hAnsi="Arial"/>
          <w:sz w:val="25"/>
          <w:szCs w:val="25"/>
          <w:b w:val="1"/>
          <w:bCs w:val="1"/>
          <w:color w:val="D61C5A"/>
        </w:rPr>
        <w:t>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20"/>
        <w:spacing w:after="0" w:line="219" w:lineRule="auto"/>
        <w:rPr>
          <w:sz w:val="20"/>
          <w:szCs w:val="20"/>
          <w:color w:val="auto"/>
        </w:rPr>
      </w:pPr>
      <w:r>
        <w:rPr>
          <w:rFonts w:ascii="Arial" w:cs="Arial" w:eastAsia="Arial" w:hAnsi="Arial"/>
          <w:sz w:val="15"/>
          <w:szCs w:val="15"/>
          <w:color w:val="auto"/>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Christine A. Poon, Arthur F. Ryan, George L. Sing, Marc Tessier-Lavigne, Ph.D., and Huda Y. Zoghbi, M.D.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143" w:lineRule="exact"/>
        <w:rPr>
          <w:sz w:val="20"/>
          <w:szCs w:val="20"/>
          <w:color w:val="auto"/>
        </w:rPr>
      </w:pPr>
    </w:p>
    <w:p>
      <w:pPr>
        <w:ind w:right="20"/>
        <w:spacing w:after="0" w:line="223" w:lineRule="auto"/>
        <w:rPr>
          <w:sz w:val="20"/>
          <w:szCs w:val="20"/>
          <w:color w:val="auto"/>
        </w:rPr>
      </w:pPr>
      <w:r>
        <w:rPr>
          <w:rFonts w:ascii="Arial" w:cs="Arial" w:eastAsia="Arial" w:hAnsi="Arial"/>
          <w:sz w:val="15"/>
          <w:szCs w:val="15"/>
          <w:color w:val="auto"/>
        </w:rPr>
        <w:t>The board of directors has determined that each of the current members of the Audit Committee, Messrs. Ryan and Sing and Dr. Coles, qualifies as an “audit committee financial expert” as that term is defined by SEC rules, and is independent as defined for audit committee members in the listing standards of The NASDAQ Stock Market LLC and SEC rules.</w:t>
      </w:r>
    </w:p>
    <w:p>
      <w:pPr>
        <w:spacing w:after="0" w:line="138" w:lineRule="exact"/>
        <w:rPr>
          <w:sz w:val="20"/>
          <w:szCs w:val="20"/>
          <w:color w:val="auto"/>
        </w:rPr>
      </w:pPr>
    </w:p>
    <w:p>
      <w:pPr>
        <w:ind w:right="60"/>
        <w:spacing w:after="0" w:line="221" w:lineRule="auto"/>
        <w:rPr>
          <w:sz w:val="20"/>
          <w:szCs w:val="20"/>
          <w:color w:val="auto"/>
        </w:rPr>
      </w:pPr>
      <w:r>
        <w:rPr>
          <w:rFonts w:ascii="Arial" w:cs="Arial" w:eastAsia="Arial" w:hAnsi="Arial"/>
          <w:sz w:val="15"/>
          <w:szCs w:val="15"/>
          <w:color w:val="auto"/>
        </w:rPr>
        <w:t>In addition, the board of directors has determined that each of the current members of the Compensation Committee, Ms. Poon, Drs. Goldstein and Zoghbi, and Mr. Sing, meets the additional independence criteria applicable to compensation committee members under the listing standards of The NASDAQ Stock Market LLC and qualifies as a “Non-Employee Director” pursuant to Rule 16b-3 under the Securities Exchange Act of 1934, as amended (the “Exchange Act”), and as an “outside director” within the meaning of Section 162(m) of the Internal Revenue Code.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396" w:right="739" w:bottom="1440" w:gutter="0" w:footer="0" w:header="0"/>
          <w:type w:val="continuous"/>
        </w:sectPr>
      </w:pPr>
    </w:p>
    <w:bookmarkStart w:id="37" w:name="page38"/>
    <w:bookmarkEnd w:id="37"/>
    <w:p>
      <w:pPr>
        <w:ind w:left="708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BOARD</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61C5A"/>
        </w:rPr>
        <w:t>LEADERSHIP AND</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ROLE IN RISK</w:t>
      </w:r>
    </w:p>
    <w:p>
      <w:pPr>
        <w:ind w:left="520"/>
        <w:spacing w:after="0"/>
        <w:rPr>
          <w:sz w:val="20"/>
          <w:szCs w:val="20"/>
          <w:color w:val="auto"/>
        </w:rPr>
      </w:pPr>
      <w:r>
        <w:rPr>
          <w:rFonts w:ascii="Arial" w:cs="Arial" w:eastAsia="Arial" w:hAnsi="Arial"/>
          <w:sz w:val="26"/>
          <w:szCs w:val="26"/>
          <w:b w:val="1"/>
          <w:bCs w:val="1"/>
          <w:color w:val="D61C5A"/>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2533650</wp:posOffset>
            </wp:positionV>
            <wp:extent cx="16497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9" w:right="580"/>
        <w:spacing w:after="0" w:line="220" w:lineRule="auto"/>
        <w:rPr>
          <w:sz w:val="20"/>
          <w:szCs w:val="20"/>
          <w:color w:val="auto"/>
        </w:rPr>
      </w:pPr>
      <w:r>
        <w:rPr>
          <w:rFonts w:ascii="Arial" w:cs="Arial" w:eastAsia="Arial" w:hAnsi="Arial"/>
          <w:sz w:val="15"/>
          <w:szCs w:val="15"/>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140" w:lineRule="exact"/>
        <w:rPr>
          <w:sz w:val="20"/>
          <w:szCs w:val="20"/>
          <w:color w:val="auto"/>
        </w:rPr>
      </w:pPr>
    </w:p>
    <w:p>
      <w:pPr>
        <w:ind w:left="9" w:right="1020"/>
        <w:spacing w:after="0" w:line="229" w:lineRule="auto"/>
        <w:rPr>
          <w:sz w:val="20"/>
          <w:szCs w:val="20"/>
          <w:color w:val="auto"/>
        </w:rPr>
      </w:pPr>
      <w:r>
        <w:rPr>
          <w:rFonts w:ascii="Arial" w:cs="Arial" w:eastAsia="Arial" w:hAnsi="Arial"/>
          <w:sz w:val="15"/>
          <w:szCs w:val="15"/>
          <w:color w:val="auto"/>
        </w:rPr>
        <w:t>The board executes its oversight responsibility for risk management directly and through its committees, as follows:</w:t>
      </w:r>
    </w:p>
    <w:p>
      <w:pPr>
        <w:spacing w:after="0" w:line="139" w:lineRule="exact"/>
        <w:rPr>
          <w:sz w:val="20"/>
          <w:szCs w:val="20"/>
          <w:color w:val="auto"/>
        </w:rPr>
      </w:pPr>
    </w:p>
    <w:p>
      <w:pPr>
        <w:ind w:left="229" w:right="580" w:hanging="229"/>
        <w:spacing w:after="0" w:line="237" w:lineRule="auto"/>
        <w:tabs>
          <w:tab w:leader="none" w:pos="229" w:val="left"/>
        </w:tabs>
        <w:numPr>
          <w:ilvl w:val="0"/>
          <w:numId w:val="32"/>
        </w:numPr>
        <w:rPr>
          <w:rFonts w:ascii="Arial" w:cs="Arial" w:eastAsia="Arial" w:hAnsi="Arial"/>
          <w:sz w:val="14"/>
          <w:szCs w:val="14"/>
          <w:color w:val="205BA8"/>
        </w:rPr>
      </w:pPr>
      <w:r>
        <w:rPr>
          <w:rFonts w:ascii="Arial" w:cs="Arial" w:eastAsia="Arial" w:hAnsi="Arial"/>
          <w:sz w:val="14"/>
          <w:szCs w:val="14"/>
          <w:color w:val="auto"/>
        </w:rPr>
        <w:t>The Audit Committee oversees the Company’s risk management program. The risk management program focuses on the most significant risks the Company faces. The Company’s Chief Audit Executive, who reports independently to the Committee, facilitates the risk management program. Audit Committee meetings include discussions of specific risk areas throughout the year, including, among others, those relating to cybersecurity, and reports from the Chief Audit Executive on the Company’s enterprise risk profile on an annual basis.</w:t>
      </w:r>
    </w:p>
    <w:p>
      <w:pPr>
        <w:spacing w:after="0" w:line="140" w:lineRule="exact"/>
        <w:rPr>
          <w:rFonts w:ascii="Arial" w:cs="Arial" w:eastAsia="Arial" w:hAnsi="Arial"/>
          <w:sz w:val="14"/>
          <w:szCs w:val="14"/>
          <w:color w:val="205BA8"/>
        </w:rPr>
      </w:pPr>
    </w:p>
    <w:p>
      <w:pPr>
        <w:ind w:left="229" w:right="520" w:hanging="229"/>
        <w:spacing w:after="0" w:line="220" w:lineRule="auto"/>
        <w:tabs>
          <w:tab w:leader="none" w:pos="229" w:val="left"/>
        </w:tabs>
        <w:numPr>
          <w:ilvl w:val="0"/>
          <w:numId w:val="32"/>
        </w:numPr>
        <w:rPr>
          <w:rFonts w:ascii="Arial" w:cs="Arial" w:eastAsia="Arial" w:hAnsi="Arial"/>
          <w:sz w:val="15"/>
          <w:szCs w:val="15"/>
          <w:color w:val="205BA8"/>
        </w:rPr>
      </w:pPr>
      <w:r>
        <w:rPr>
          <w:rFonts w:ascii="Arial" w:cs="Arial" w:eastAsia="Arial" w:hAnsi="Arial"/>
          <w:sz w:val="15"/>
          <w:szCs w:val="15"/>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140" w:lineRule="exact"/>
        <w:rPr>
          <w:rFonts w:ascii="Arial" w:cs="Arial" w:eastAsia="Arial" w:hAnsi="Arial"/>
          <w:sz w:val="15"/>
          <w:szCs w:val="15"/>
          <w:color w:val="205BA8"/>
        </w:rPr>
      </w:pPr>
    </w:p>
    <w:p>
      <w:pPr>
        <w:ind w:left="229" w:right="540" w:hanging="229"/>
        <w:spacing w:after="0" w:line="220" w:lineRule="auto"/>
        <w:tabs>
          <w:tab w:leader="none" w:pos="229" w:val="left"/>
        </w:tabs>
        <w:numPr>
          <w:ilvl w:val="0"/>
          <w:numId w:val="32"/>
        </w:numPr>
        <w:rPr>
          <w:rFonts w:ascii="Arial" w:cs="Arial" w:eastAsia="Arial" w:hAnsi="Arial"/>
          <w:sz w:val="15"/>
          <w:szCs w:val="15"/>
          <w:color w:val="205BA8"/>
        </w:rPr>
      </w:pPr>
      <w:r>
        <w:rPr>
          <w:rFonts w:ascii="Arial" w:cs="Arial" w:eastAsia="Arial" w:hAnsi="Arial"/>
          <w:sz w:val="15"/>
          <w:szCs w:val="15"/>
          <w:color w:val="auto"/>
        </w:rPr>
        <w:t>The board is kept abreast of its committees’ risk oversight and other activities via reports of the committee chairpersons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4686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11"/>
            <w:col w:w="7889"/>
          </w:cols>
          <w:pgMar w:left="240" w:top="396" w:right="239" w:bottom="1440" w:gutter="0" w:footer="0" w:header="0"/>
          <w:type w:val="continuous"/>
        </w:sectPr>
      </w:pPr>
    </w:p>
    <w:p>
      <w:pPr>
        <w:spacing w:after="0" w:line="130" w:lineRule="exact"/>
        <w:rPr>
          <w:sz w:val="20"/>
          <w:szCs w:val="20"/>
          <w:color w:val="auto"/>
        </w:rPr>
      </w:pPr>
    </w:p>
    <w:p>
      <w:pPr>
        <w:ind w:left="520" w:right="60"/>
        <w:spacing w:after="0" w:line="257" w:lineRule="auto"/>
        <w:rPr>
          <w:sz w:val="20"/>
          <w:szCs w:val="20"/>
          <w:color w:val="auto"/>
        </w:rPr>
      </w:pPr>
      <w:r>
        <w:rPr>
          <w:rFonts w:ascii="Arial" w:cs="Arial" w:eastAsia="Arial" w:hAnsi="Arial"/>
          <w:sz w:val="25"/>
          <w:szCs w:val="25"/>
          <w:b w:val="1"/>
          <w:bCs w:val="1"/>
          <w:color w:val="D61C5A"/>
        </w:rPr>
        <w:t>EXECUTIVE COMPENSATION PROCESSES AND PROCEDURES; ROLE OF COMPENSATION CONSULTANTS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580"/>
        <w:spacing w:after="0" w:line="232" w:lineRule="auto"/>
        <w:rPr>
          <w:sz w:val="20"/>
          <w:szCs w:val="20"/>
          <w:color w:val="auto"/>
        </w:rPr>
      </w:pPr>
      <w:r>
        <w:rPr>
          <w:rFonts w:ascii="Arial" w:cs="Arial" w:eastAsia="Arial" w:hAnsi="Arial"/>
          <w:sz w:val="14"/>
          <w:szCs w:val="14"/>
          <w:color w:val="auto"/>
        </w:rPr>
        <w:t>The Compensation Committee is responsible for overseeing the Company’s general compensation objectives and programs. We describe below under “Compensation-Related Matters — Compensation Discussion and Analysis</w:t>
      </w:r>
    </w:p>
    <w:p>
      <w:pPr>
        <w:spacing w:after="0" w:line="1" w:lineRule="exact"/>
        <w:rPr>
          <w:sz w:val="20"/>
          <w:szCs w:val="20"/>
          <w:color w:val="auto"/>
        </w:rPr>
      </w:pPr>
    </w:p>
    <w:p>
      <w:pPr>
        <w:ind w:right="760"/>
        <w:spacing w:after="0" w:line="225" w:lineRule="auto"/>
        <w:rPr>
          <w:sz w:val="20"/>
          <w:szCs w:val="20"/>
          <w:color w:val="auto"/>
        </w:rPr>
      </w:pPr>
      <w:r>
        <w:rPr>
          <w:rFonts w:ascii="Arial" w:cs="Arial" w:eastAsia="Arial" w:hAnsi="Arial"/>
          <w:sz w:val="15"/>
          <w:szCs w:val="15"/>
          <w:color w:val="auto"/>
        </w:rPr>
        <w:t>— Our Compensation Processes” the role of the Compensation Committee, as well as the role of our executive officers, in decisions regarding executive compensation (particularly with respect to our Named Executive Officers).</w:t>
      </w:r>
    </w:p>
    <w:p>
      <w:pPr>
        <w:spacing w:after="0" w:line="139" w:lineRule="exact"/>
        <w:rPr>
          <w:sz w:val="20"/>
          <w:szCs w:val="20"/>
          <w:color w:val="auto"/>
        </w:rPr>
      </w:pPr>
    </w:p>
    <w:p>
      <w:pPr>
        <w:ind w:right="540"/>
        <w:spacing w:after="0" w:line="220" w:lineRule="auto"/>
        <w:rPr>
          <w:sz w:val="20"/>
          <w:szCs w:val="20"/>
          <w:color w:val="auto"/>
        </w:rPr>
      </w:pPr>
      <w:r>
        <w:rPr>
          <w:rFonts w:ascii="Arial" w:cs="Arial" w:eastAsia="Arial" w:hAnsi="Arial"/>
          <w:sz w:val="15"/>
          <w:szCs w:val="15"/>
          <w:color w:val="auto"/>
        </w:rPr>
        <w:t>The Compensation Committee has the sole authority to retain its own third-party compensation consultants, and in 2018 utilized the services of Frederic W. Cook &amp; Co., Inc. (“Frederic W. Cook &amp; Co.”), an independent compensation consultant. Advice and recommendations provided by Frederic W. Cook &amp; Co. relate to both executive compensation (discussed in the section “Compensation-Related Matters” below) and director compensation matters (discussed in the subsection “Compensation of Directors” below). As discussed further below, the Corporate Governance and Compliance Committee has adopted a policy requiring the annual review of non-employee director compensation by an independent compensation consultant and separately engaged Frederic W. Cook &amp; Co. for that purpose.</w:t>
      </w:r>
    </w:p>
    <w:p>
      <w:pPr>
        <w:spacing w:after="0" w:line="138" w:lineRule="exact"/>
        <w:rPr>
          <w:sz w:val="20"/>
          <w:szCs w:val="20"/>
          <w:color w:val="auto"/>
        </w:rPr>
      </w:pPr>
    </w:p>
    <w:p>
      <w:pPr>
        <w:ind w:right="520"/>
        <w:spacing w:after="0" w:line="220" w:lineRule="auto"/>
        <w:rPr>
          <w:sz w:val="20"/>
          <w:szCs w:val="20"/>
          <w:color w:val="auto"/>
        </w:rPr>
      </w:pPr>
      <w:r>
        <w:rPr>
          <w:rFonts w:ascii="Arial" w:cs="Arial" w:eastAsia="Arial" w:hAnsi="Arial"/>
          <w:sz w:val="15"/>
          <w:szCs w:val="15"/>
          <w:color w:val="auto"/>
        </w:rPr>
        <w:t>Management also retains another compensation consultant for its own use. In 2018,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Market Composite Data discussed in “Compensation-Related Matters — Compensation Discussion and Analysis” below);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spacing w:after="0" w:line="168" w:lineRule="exact"/>
        <w:rPr>
          <w:sz w:val="20"/>
          <w:szCs w:val="20"/>
          <w:color w:val="auto"/>
        </w:rPr>
      </w:pPr>
    </w:p>
    <w:p>
      <w:pPr>
        <w:sectPr>
          <w:pgSz w:w="11900" w:h="16838" w:orient="portrait"/>
          <w:cols w:equalWidth="0" w:num="2">
            <w:col w:w="2820" w:space="72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25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Arial" w:cs="Arial" w:eastAsia="Arial" w:hAnsi="Arial"/>
          <w:sz w:val="37"/>
          <w:szCs w:val="37"/>
          <w:b w:val="1"/>
          <w:bCs w:val="1"/>
          <w:color w:val="FFFFFF"/>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895350</wp:posOffset>
            </wp:positionV>
            <wp:extent cx="66001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D61C5A"/>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color w:val="auto"/>
        </w:rPr>
        <w:t>In November 2018, the board of directors, upon the recommendation of the Corporate Governance and Compliance Committee, approved a new compensation program for our non-employee directors and the Chairman of the Board (the “New Compensation Program”), as discussed further below. The New Compensation Program became effective in December 2018 following court approval of the previously disclosed settlement of two shareholder derivative actions (the “Settlement”). The terms of the Settlement are described in Regeneron’s Current Report on Form 8-K filed on October 12, 2018. In approving the New Compensation Program, the board of directors considered the analysis and recommendations of Frederic W. Cook &amp; Co. This analysis took into account, among other matters, the market practices of companies in our Peer Group, other relevant industry and market data points, Regeneron’s long-term compensation philosophy, and the terms of the Settlement. The awards made under the New Compensation Program comply with the terms of the Settlement, including its limitations on annual cash and equity compensation for the non-employee directors and the Chairman of the Board.</w:t>
      </w:r>
    </w:p>
    <w:p>
      <w:pPr>
        <w:spacing w:after="0" w:line="144" w:lineRule="exact"/>
        <w:rPr>
          <w:sz w:val="20"/>
          <w:szCs w:val="20"/>
          <w:color w:val="auto"/>
        </w:rPr>
      </w:pPr>
    </w:p>
    <w:p>
      <w:pPr>
        <w:ind w:right="40"/>
        <w:spacing w:after="0" w:line="218" w:lineRule="auto"/>
        <w:rPr>
          <w:sz w:val="20"/>
          <w:szCs w:val="20"/>
          <w:color w:val="auto"/>
        </w:rPr>
      </w:pPr>
      <w:r>
        <w:rPr>
          <w:rFonts w:ascii="Arial" w:cs="Arial" w:eastAsia="Arial" w:hAnsi="Arial"/>
          <w:sz w:val="15"/>
          <w:szCs w:val="15"/>
          <w:color w:val="auto"/>
        </w:rPr>
        <w:t>At Regeneron, non-employee director compensation is subject to annual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and recommends changes to such compensation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expertise, and demands on our directors, practices of similar companies in the biotechnology industry (including the Peer Group), and any comparative information provided by Frederic W. Cook &amp; Co. In addition, in November 2018, the Corporate Governance and Compliance Committee adopted a policy requiring the annual review of non-employee director compensation by an independent compensation consultant for a term to extend to no fewer than five calendar years following final approval of the Settlement. The Corporate Governance and Compliance Committee engaged Frederic W. Cook &amp; Co. for this purpose. Frederic W. Cook &amp; Co. conducted its first such review in 2018 and provided its recommendations to the Corporate Governance and Compliance Committee concerning the non-employee director compensation to be awarded with respect to 2019.</w:t>
      </w:r>
    </w:p>
    <w:p>
      <w:pPr>
        <w:spacing w:after="0" w:line="144" w:lineRule="exact"/>
        <w:rPr>
          <w:sz w:val="20"/>
          <w:szCs w:val="20"/>
          <w:color w:val="auto"/>
        </w:rPr>
      </w:pPr>
    </w:p>
    <w:p>
      <w:pPr>
        <w:ind w:right="660"/>
        <w:spacing w:after="0" w:line="229" w:lineRule="auto"/>
        <w:rPr>
          <w:sz w:val="20"/>
          <w:szCs w:val="20"/>
          <w:color w:val="auto"/>
        </w:rPr>
      </w:pPr>
      <w:r>
        <w:rPr>
          <w:rFonts w:ascii="Arial" w:cs="Arial" w:eastAsia="Arial" w:hAnsi="Arial"/>
          <w:sz w:val="15"/>
          <w:szCs w:val="15"/>
          <w:color w:val="auto"/>
        </w:rPr>
        <w:t>The process governing the compensation arrangements of the Chairman of the Board is described under “Compensation Arrangements of the Chairman of the Board of Directors” below.</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1440" w:right="739" w:bottom="1440" w:gutter="0" w:footer="0" w:header="0"/>
          <w:type w:val="continuous"/>
        </w:sectPr>
      </w:pPr>
    </w:p>
    <w:bookmarkStart w:id="39" w:name="page40"/>
    <w:bookmarkEnd w:id="39"/>
    <w:p>
      <w:pPr>
        <w:ind w:left="634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0" w:right="200"/>
        <w:spacing w:after="0" w:line="265" w:lineRule="auto"/>
        <w:rPr>
          <w:sz w:val="20"/>
          <w:szCs w:val="20"/>
          <w:color w:val="auto"/>
        </w:rPr>
      </w:pPr>
      <w:r>
        <w:rPr>
          <w:rFonts w:ascii="Arial" w:cs="Arial" w:eastAsia="Arial" w:hAnsi="Arial"/>
          <w:sz w:val="25"/>
          <w:szCs w:val="25"/>
          <w:b w:val="1"/>
          <w:bCs w:val="1"/>
          <w:color w:val="D61C5A"/>
        </w:rPr>
        <w:t>NON-EMPLOYEE DIRECTOR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600710</wp:posOffset>
            </wp:positionV>
            <wp:extent cx="16497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520"/>
        <w:spacing w:after="0" w:line="218" w:lineRule="auto"/>
        <w:rPr>
          <w:sz w:val="20"/>
          <w:szCs w:val="20"/>
          <w:color w:val="auto"/>
        </w:rPr>
      </w:pPr>
      <w:r>
        <w:rPr>
          <w:rFonts w:ascii="Arial" w:cs="Arial" w:eastAsia="Arial" w:hAnsi="Arial"/>
          <w:sz w:val="15"/>
          <w:szCs w:val="15"/>
          <w:color w:val="auto"/>
        </w:rPr>
        <w:t>Our philosophy for non-employee director compensation is simple: to attract the most highly qualified directors with a diverse skillset who will serve as stewards of the Company’s long-term prospects and scientific focus.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New Compensation Program, we have introduced value-denominated equity compensation awards (granted in the form of stock options and a relatively small percentage of restricted stock units (“RSUs”)), resulting in a nearly 50% year-over-year decrease in the reported grant date fair value of the 2019 non-employee director equity awards, and have increased the annual cash retainer by $35,000 per non-employee director. These features of the New Compensation Program are meant to, among other things, ensure greater stability in reported non-employee director compensation on a year-over-year basis. The board of directors believes that the New Compensation Program is consistent with Regeneron’s philosophy for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46863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880"/>
          </w:cols>
          <w:pgMar w:left="240" w:top="396" w:right="239" w:bottom="1440" w:gutter="0" w:footer="0" w:header="0"/>
          <w:type w:val="continuous"/>
        </w:sectPr>
      </w:pPr>
    </w:p>
    <w:p>
      <w:pPr>
        <w:spacing w:after="0" w:line="96" w:lineRule="exact"/>
        <w:rPr>
          <w:sz w:val="20"/>
          <w:szCs w:val="20"/>
          <w:color w:val="auto"/>
        </w:rPr>
      </w:pPr>
    </w:p>
    <w:p>
      <w:pPr>
        <w:jc w:val="both"/>
        <w:ind w:left="520" w:right="171"/>
        <w:spacing w:after="0" w:line="258" w:lineRule="auto"/>
        <w:rPr>
          <w:sz w:val="20"/>
          <w:szCs w:val="20"/>
          <w:color w:val="auto"/>
        </w:rPr>
      </w:pPr>
      <w:r>
        <w:rPr>
          <w:rFonts w:ascii="Arial" w:cs="Arial" w:eastAsia="Arial" w:hAnsi="Arial"/>
          <w:sz w:val="26"/>
          <w:szCs w:val="26"/>
          <w:b w:val="1"/>
          <w:bCs w:val="1"/>
          <w:color w:val="D61C5A"/>
        </w:rPr>
        <w:t>CASH FEES AND MATCHING GIFT PROGRAM</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9" w:right="560"/>
        <w:spacing w:after="0" w:line="231" w:lineRule="auto"/>
        <w:rPr>
          <w:sz w:val="20"/>
          <w:szCs w:val="20"/>
          <w:color w:val="auto"/>
        </w:rPr>
      </w:pPr>
      <w:r>
        <w:rPr>
          <w:rFonts w:ascii="Arial" w:cs="Arial" w:eastAsia="Arial" w:hAnsi="Arial"/>
          <w:sz w:val="14"/>
          <w:szCs w:val="14"/>
          <w:color w:val="auto"/>
        </w:rPr>
        <w:t>In 2018, each non-employee director received an annual retainer of $55,000 and an annual committee retainer of $10,000 for each standing committee of the Company’s board of directors on which the director served. In addition, each chairperson of each standing committee received an additional annual retainer of $10,000. Compared to cash compensation of non-employee directors in our Peer Group, the 2018 annual retainer for board service was below the 25th percentile and the additional retainers provided to our committee chairpersons were</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below the median.</w:t>
      </w:r>
      <w:r>
        <w:rPr>
          <w:rFonts w:ascii="Arial" w:cs="Arial" w:eastAsia="Arial" w:hAnsi="Arial"/>
          <w:sz w:val="24"/>
          <w:szCs w:val="24"/>
          <w:color w:val="auto"/>
          <w:vertAlign w:val="superscript"/>
        </w:rPr>
        <w:t>2</w:t>
      </w:r>
    </w:p>
    <w:p>
      <w:pPr>
        <w:spacing w:after="0" w:line="66" w:lineRule="exact"/>
        <w:rPr>
          <w:sz w:val="20"/>
          <w:szCs w:val="20"/>
          <w:color w:val="auto"/>
        </w:rPr>
      </w:pPr>
    </w:p>
    <w:p>
      <w:pPr>
        <w:ind w:left="9" w:right="600"/>
        <w:spacing w:after="0" w:line="239" w:lineRule="auto"/>
        <w:rPr>
          <w:sz w:val="20"/>
          <w:szCs w:val="20"/>
          <w:color w:val="auto"/>
        </w:rPr>
      </w:pPr>
      <w:r>
        <w:rPr>
          <w:rFonts w:ascii="Arial" w:cs="Arial" w:eastAsia="Arial" w:hAnsi="Arial"/>
          <w:sz w:val="14"/>
          <w:szCs w:val="14"/>
          <w:color w:val="auto"/>
        </w:rPr>
        <w:t>Under the New Compensation Program, each non-employee director receives an annual retainer of $90,000. The annual committee retainer and the additional retainers provided to committee chairpersons remain at $10,000 (as described above). Compared to cash compensation of non-employee directors in our Peer Group, the annual retainer under the New Compensation Program would have been below the 75th percentile if paid in 2018.</w:t>
      </w:r>
    </w:p>
    <w:p>
      <w:pPr>
        <w:spacing w:after="0" w:line="138" w:lineRule="exact"/>
        <w:rPr>
          <w:sz w:val="20"/>
          <w:szCs w:val="20"/>
          <w:color w:val="auto"/>
        </w:rPr>
      </w:pPr>
    </w:p>
    <w:p>
      <w:pPr>
        <w:ind w:left="9" w:right="680"/>
        <w:spacing w:after="0" w:line="221" w:lineRule="auto"/>
        <w:rPr>
          <w:sz w:val="20"/>
          <w:szCs w:val="20"/>
          <w:color w:val="auto"/>
        </w:rPr>
      </w:pPr>
      <w:r>
        <w:rPr>
          <w:rFonts w:ascii="Arial" w:cs="Arial" w:eastAsia="Arial" w:hAnsi="Arial"/>
          <w:sz w:val="15"/>
          <w:szCs w:val="15"/>
          <w:color w:val="auto"/>
        </w:rPr>
        <w:t>Non-employee directors are reimbursed for their actual expenses incurred in connection with their activities as directors, which included travel, hotel, and food and entertainment expenses.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of $5,000 per director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46863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19" w:lineRule="exact"/>
        <w:rPr>
          <w:sz w:val="20"/>
          <w:szCs w:val="20"/>
          <w:color w:val="auto"/>
        </w:rPr>
      </w:pPr>
    </w:p>
    <w:p>
      <w:pPr>
        <w:ind w:left="149" w:right="1020" w:hanging="149"/>
        <w:spacing w:after="0" w:line="237" w:lineRule="auto"/>
        <w:tabs>
          <w:tab w:leader="none" w:pos="149" w:val="left"/>
        </w:tabs>
        <w:numPr>
          <w:ilvl w:val="0"/>
          <w:numId w:val="34"/>
        </w:numPr>
        <w:rPr>
          <w:rFonts w:ascii="Arial" w:cs="Arial" w:eastAsia="Arial" w:hAnsi="Arial"/>
          <w:sz w:val="14"/>
          <w:szCs w:val="14"/>
          <w:b w:val="1"/>
          <w:bCs w:val="1"/>
          <w:color w:val="205BA8"/>
        </w:rPr>
      </w:pPr>
      <w:r>
        <w:rPr>
          <w:rFonts w:ascii="Arial" w:cs="Arial" w:eastAsia="Arial" w:hAnsi="Arial"/>
          <w:sz w:val="14"/>
          <w:szCs w:val="14"/>
          <w:color w:val="auto"/>
        </w:rPr>
        <w:t>Based on information reported by our Peer Group companies in 2018. See “Compensation-Related Matters— Compensation Discussion and Analysis—Our Compensation Processes—Peer Data” below for a list of the companies included in our Peer Group.</w:t>
      </w:r>
    </w:p>
    <w:p>
      <w:pPr>
        <w:spacing w:after="0" w:line="170" w:lineRule="exact"/>
        <w:rPr>
          <w:sz w:val="20"/>
          <w:szCs w:val="20"/>
          <w:color w:val="auto"/>
        </w:rPr>
      </w:pPr>
    </w:p>
    <w:p>
      <w:pPr>
        <w:sectPr>
          <w:pgSz w:w="11900" w:h="16838" w:orient="portrait"/>
          <w:cols w:equalWidth="0" w:num="2">
            <w:col w:w="2811" w:space="720"/>
            <w:col w:w="7889"/>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27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6001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right="160"/>
        <w:spacing w:after="0" w:line="276" w:lineRule="auto"/>
        <w:rPr>
          <w:sz w:val="20"/>
          <w:szCs w:val="20"/>
          <w:color w:val="auto"/>
        </w:rPr>
      </w:pPr>
      <w:r>
        <w:rPr>
          <w:rFonts w:ascii="Arial" w:cs="Arial" w:eastAsia="Arial" w:hAnsi="Arial"/>
          <w:sz w:val="26"/>
          <w:szCs w:val="26"/>
          <w:b w:val="1"/>
          <w:bCs w:val="1"/>
          <w:color w:val="D61C5A"/>
        </w:rPr>
        <w:t>ANNUAL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color w:val="205BA8"/>
        </w:rPr>
        <w:t>The Amended and Restated Regeneron Pharmaceuticals, Inc. 2014 Long-Term Incentive Plan</w:t>
      </w:r>
    </w:p>
    <w:p>
      <w:pPr>
        <w:spacing w:after="0" w:line="146" w:lineRule="exact"/>
        <w:rPr>
          <w:sz w:val="20"/>
          <w:szCs w:val="20"/>
          <w:color w:val="auto"/>
        </w:rPr>
      </w:pPr>
    </w:p>
    <w:p>
      <w:pPr>
        <w:ind w:right="20"/>
        <w:spacing w:after="0" w:line="218" w:lineRule="auto"/>
        <w:rPr>
          <w:sz w:val="20"/>
          <w:szCs w:val="20"/>
          <w:color w:val="auto"/>
        </w:rPr>
      </w:pPr>
      <w:r>
        <w:rPr>
          <w:rFonts w:ascii="Arial" w:cs="Arial" w:eastAsia="Arial" w:hAnsi="Arial"/>
          <w:sz w:val="15"/>
          <w:szCs w:val="15"/>
          <w:color w:val="auto"/>
        </w:rPr>
        <w:t>As amended and restated and approved by the shareholders in June 2017, the Amended and Restated Regeneron Pharmaceuticals, Inc. 2014 Long-Term Incentive Plan imposes limits on non-employee director awards. The Plan requires that during any calendar year commencing with the 2018 calendar year, the aggregate number of shares subject to one or more awards granted to a non-employee director in a year may not exceed 12,750 shares, except that during the first calendar year in which a non-employee director serves on the board of directors, such limit will be 34,000 shares. In addition, during any calendar year commencing with the 2018 calendar year, the aggregate number of shares subject to one or more awards granted to a non-employee director then serving as chairman of the board of directors in such year may not exceed 25,500 shares, except that during the first calendar year in which a non-employee director serves as chairman of the board of directors, such limit will be 68,000 shares. For purposes of applying this limit, the Plan treats a full-value award (</w:t>
      </w:r>
      <w:r>
        <w:rPr>
          <w:rFonts w:ascii="Arial" w:cs="Arial" w:eastAsia="Arial" w:hAnsi="Arial"/>
          <w:sz w:val="15"/>
          <w:szCs w:val="15"/>
          <w:i w:val="1"/>
          <w:iCs w:val="1"/>
          <w:color w:val="auto"/>
        </w:rPr>
        <w:t>i.e.</w:t>
      </w:r>
      <w:r>
        <w:rPr>
          <w:rFonts w:ascii="Arial" w:cs="Arial" w:eastAsia="Arial" w:hAnsi="Arial"/>
          <w:sz w:val="15"/>
          <w:szCs w:val="15"/>
          <w:color w:val="auto"/>
        </w:rPr>
        <w:t>, an award other than a stock option or stock appreciation right) as an award of one and one-half (1.5) shares for each share actually subject to such award, and an award of a stock option or stock appreciation right as an award of one share for each share actually subject to such award.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2019 Equity Awards</w:t>
      </w:r>
    </w:p>
    <w:p>
      <w:pPr>
        <w:spacing w:after="0" w:line="215" w:lineRule="exact"/>
        <w:rPr>
          <w:sz w:val="20"/>
          <w:szCs w:val="20"/>
          <w:color w:val="auto"/>
        </w:rPr>
      </w:pPr>
    </w:p>
    <w:p>
      <w:pPr>
        <w:ind w:right="80"/>
        <w:spacing w:after="0" w:line="219" w:lineRule="auto"/>
        <w:rPr>
          <w:sz w:val="20"/>
          <w:szCs w:val="20"/>
          <w:color w:val="auto"/>
        </w:rPr>
      </w:pPr>
      <w:r>
        <w:rPr>
          <w:rFonts w:ascii="Arial" w:cs="Arial" w:eastAsia="Arial" w:hAnsi="Arial"/>
          <w:sz w:val="15"/>
          <w:szCs w:val="15"/>
          <w:color w:val="auto"/>
        </w:rPr>
        <w:t>The January 2019 annual equity awards to our non-employee directors were made in accordance with the New Compensation Program. In 2018, the board of directors (upon the recommendation of the Corporate Governance and Compliance Committee) determined that the targeted aggregate grant date fair value of such equity awards would be set at $600,000 per non-employee director and consist of stock options with a grant date fair value of $480,000 (or 80% thereof) and RSUs with a grant date fair value of $120,000 (or 20% thereof). On January 2, 2019, each of the then-serving nine non-employee directors received an equity award comprised of stock options representing 3,784 shares of common stock (with a grant date fair value of $480,031) and 323 RSUs (with a grant date fair value of $119,962). The aggregate grant date fair value of these equity awards was $599,993 per non-employee director.</w:t>
      </w:r>
    </w:p>
    <w:p>
      <w:pPr>
        <w:spacing w:after="0" w:line="143" w:lineRule="exact"/>
        <w:rPr>
          <w:sz w:val="20"/>
          <w:szCs w:val="20"/>
          <w:color w:val="auto"/>
        </w:rPr>
      </w:pPr>
    </w:p>
    <w:p>
      <w:pPr>
        <w:ind w:right="80"/>
        <w:spacing w:after="0" w:line="221" w:lineRule="auto"/>
        <w:rPr>
          <w:sz w:val="20"/>
          <w:szCs w:val="20"/>
          <w:color w:val="auto"/>
        </w:rPr>
      </w:pPr>
      <w:r>
        <w:rPr>
          <w:rFonts w:ascii="Arial" w:cs="Arial" w:eastAsia="Arial" w:hAnsi="Arial"/>
          <w:sz w:val="15"/>
          <w:szCs w:val="15"/>
          <w:color w:val="auto"/>
        </w:rPr>
        <w:t>The Corporate Governance and Compliance Committee recommended the approval of, and the board of directors approved, the terms of the January 2019 annual equity awards after consideration of the review, analysis, and recommendations of Frederic W. Cook &amp; Co. Such analysis focused on, among other matters, the market practices of companies in our Peer Group, other relevant industry and market data points, Regeneron’s non-employee director compensation philosophy (including its emphasis on long-term incentives), and the terms of the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Terms of Equity Awards</w:t>
      </w:r>
    </w:p>
    <w:p>
      <w:pPr>
        <w:spacing w:after="0" w:line="215" w:lineRule="exact"/>
        <w:rPr>
          <w:sz w:val="20"/>
          <w:szCs w:val="20"/>
          <w:color w:val="auto"/>
        </w:rPr>
      </w:pPr>
    </w:p>
    <w:p>
      <w:pPr>
        <w:ind w:right="100"/>
        <w:spacing w:after="0" w:line="221" w:lineRule="auto"/>
        <w:rPr>
          <w:sz w:val="20"/>
          <w:szCs w:val="20"/>
          <w:color w:val="auto"/>
        </w:rPr>
      </w:pPr>
      <w:r>
        <w:rPr>
          <w:rFonts w:ascii="Arial" w:cs="Arial" w:eastAsia="Arial" w:hAnsi="Arial"/>
          <w:sz w:val="15"/>
          <w:szCs w:val="15"/>
          <w:color w:val="auto"/>
        </w:rPr>
        <w:t>The exercise price of a non-employee director stock option is equal to the fair market value of a share of common stock on the date of grant (determined as the average of the high and low sales price per share of common stock on the NASDAQ Global Select Market on the date of grant or, if such date is not a trading day, on the last preceding date on which there was a sale of the Company’s common stock on the NASDAQ Global Select Market).</w:t>
      </w:r>
    </w:p>
    <w:p>
      <w:pPr>
        <w:spacing w:after="0" w:line="127" w:lineRule="exact"/>
        <w:rPr>
          <w:sz w:val="20"/>
          <w:szCs w:val="20"/>
          <w:color w:val="auto"/>
        </w:rPr>
      </w:pPr>
    </w:p>
    <w:p>
      <w:pPr>
        <w:ind w:right="100"/>
        <w:spacing w:after="0" w:line="220" w:lineRule="auto"/>
        <w:rPr>
          <w:sz w:val="20"/>
          <w:szCs w:val="20"/>
          <w:color w:val="auto"/>
        </w:rPr>
      </w:pPr>
      <w:r>
        <w:rPr>
          <w:rFonts w:ascii="Arial" w:cs="Arial" w:eastAsia="Arial" w:hAnsi="Arial"/>
          <w:sz w:val="15"/>
          <w:szCs w:val="15"/>
          <w:color w:val="auto"/>
        </w:rPr>
        <w:t>Under the New Compensation Program, a pro-rata portion of each equity award (</w:t>
      </w:r>
      <w:r>
        <w:rPr>
          <w:rFonts w:ascii="Arial" w:cs="Arial" w:eastAsia="Arial" w:hAnsi="Arial"/>
          <w:sz w:val="15"/>
          <w:szCs w:val="15"/>
          <w:i w:val="1"/>
          <w:iCs w:val="1"/>
          <w:color w:val="auto"/>
        </w:rPr>
        <w:t>i.e.</w:t>
      </w:r>
      <w:r>
        <w:rPr>
          <w:rFonts w:ascii="Arial" w:cs="Arial" w:eastAsia="Arial" w:hAnsi="Arial"/>
          <w:sz w:val="15"/>
          <w:szCs w:val="15"/>
          <w:color w:val="auto"/>
        </w:rPr>
        <w:t>,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Amended and Restated Regeneron Pharmaceuticals, Inc. 2014 Long-Term Incentive Plan). A non-employee director may, subject to compliance with applicable tax rules, elect in writing a maximum deferral period longer than the seventh anniversary of the grant date. Stock options awarded to non-employee directors prior to the adoption of the New Compensation Program (including those reported in the Director</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396" w:right="739" w:bottom="1440" w:gutter="0" w:footer="0" w:header="0"/>
          <w:type w:val="continuous"/>
        </w:sectPr>
      </w:pPr>
    </w:p>
    <w:bookmarkStart w:id="41" w:name="page42"/>
    <w:bookmarkEnd w:id="41"/>
    <w:p>
      <w:pPr>
        <w:ind w:left="6340"/>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61C5A"/>
        </w:rPr>
        <w:t>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-276225</wp:posOffset>
            </wp:positionV>
            <wp:extent cx="16497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3"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TO NEW</w:t>
      </w:r>
    </w:p>
    <w:p>
      <w:pPr>
        <w:ind w:left="520"/>
        <w:spacing w:after="0"/>
        <w:rPr>
          <w:sz w:val="20"/>
          <w:szCs w:val="20"/>
          <w:color w:val="auto"/>
        </w:rPr>
      </w:pPr>
      <w:r>
        <w:rPr>
          <w:rFonts w:ascii="Arial" w:cs="Arial" w:eastAsia="Arial" w:hAnsi="Arial"/>
          <w:sz w:val="26"/>
          <w:szCs w:val="26"/>
          <w:b w:val="1"/>
          <w:bCs w:val="1"/>
          <w:color w:val="D61C5A"/>
        </w:rPr>
        <w:t>DIRECTORS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540"/>
        <w:spacing w:after="0" w:line="223" w:lineRule="auto"/>
        <w:rPr>
          <w:sz w:val="20"/>
          <w:szCs w:val="20"/>
          <w:color w:val="auto"/>
        </w:rPr>
      </w:pPr>
      <w:r>
        <w:rPr>
          <w:rFonts w:ascii="Arial" w:cs="Arial" w:eastAsia="Arial" w:hAnsi="Arial"/>
          <w:sz w:val="15"/>
          <w:szCs w:val="15"/>
          <w:color w:val="auto"/>
        </w:rPr>
        <w:t>Compensation Table below) become exercisable as to one-third of the shares on the anniversary of the date of grant in each of the three subsequent calendar years. Other than as discussed below, the vesting of equity awards is generally subject to continued service on the board, and stock option awards generally expire ten years following the date of grant.</w:t>
      </w:r>
    </w:p>
    <w:p>
      <w:pPr>
        <w:spacing w:after="0" w:line="138"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spacing w:after="0" w:line="138" w:lineRule="exact"/>
        <w:rPr>
          <w:sz w:val="20"/>
          <w:szCs w:val="20"/>
          <w:color w:val="auto"/>
        </w:rPr>
      </w:pPr>
    </w:p>
    <w:p>
      <w:pPr>
        <w:jc w:val="both"/>
        <w:ind w:right="680"/>
        <w:spacing w:after="0" w:line="223" w:lineRule="auto"/>
        <w:rPr>
          <w:sz w:val="20"/>
          <w:szCs w:val="20"/>
          <w:color w:val="auto"/>
        </w:rPr>
      </w:pPr>
      <w:r>
        <w:rPr>
          <w:rFonts w:ascii="Arial" w:cs="Arial" w:eastAsia="Arial" w:hAnsi="Arial"/>
          <w:sz w:val="15"/>
          <w:szCs w:val="15"/>
          <w:color w:val="auto"/>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4686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00" w:lineRule="exact"/>
        <w:rPr>
          <w:sz w:val="20"/>
          <w:szCs w:val="20"/>
          <w:color w:val="auto"/>
        </w:rPr>
      </w:pPr>
    </w:p>
    <w:p>
      <w:pPr>
        <w:ind w:right="520"/>
        <w:spacing w:after="0" w:line="219" w:lineRule="auto"/>
        <w:rPr>
          <w:sz w:val="20"/>
          <w:szCs w:val="20"/>
          <w:color w:val="auto"/>
        </w:rPr>
      </w:pPr>
      <w:r>
        <w:rPr>
          <w:rFonts w:ascii="Arial" w:cs="Arial" w:eastAsia="Arial" w:hAnsi="Arial"/>
          <w:sz w:val="15"/>
          <w:szCs w:val="15"/>
          <w:color w:val="auto"/>
        </w:rPr>
        <w:t>Under the New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 The January 2018 prorated annual stock option award to Dr. Coles (shown in the table below) was granted prior to the adoption of the New Compensation Program; in accordance with the guidelines then in effect, the number of shares of common stock underlying such award was prorated based on the date of which Dr. Coles first became a member of the board of directors.</w:t>
      </w:r>
    </w:p>
    <w:p>
      <w:pPr>
        <w:spacing w:after="0" w:line="172" w:lineRule="exact"/>
        <w:rPr>
          <w:sz w:val="20"/>
          <w:szCs w:val="20"/>
          <w:color w:val="auto"/>
        </w:rPr>
      </w:pPr>
    </w:p>
    <w:p>
      <w:pPr>
        <w:sectPr>
          <w:pgSz w:w="11900" w:h="16838" w:orient="portrait"/>
          <w:cols w:equalWidth="0" w:num="2">
            <w:col w:w="2820" w:space="72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29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b w:val="1"/>
          <w:bCs w:val="1"/>
          <w:color w:val="205BA8"/>
        </w:rPr>
        <w:t xml:space="preserve">BOARD OF DIRECTORS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6001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25"/>
          <w:szCs w:val="25"/>
          <w:b w:val="1"/>
          <w:bCs w:val="1"/>
          <w:color w:val="D61C5A"/>
        </w:rPr>
        <w:t>COMPENSATION ARRANGEMENTS OF THE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00"/>
        <w:spacing w:after="0" w:line="225" w:lineRule="auto"/>
        <w:rPr>
          <w:sz w:val="20"/>
          <w:szCs w:val="20"/>
          <w:color w:val="auto"/>
        </w:rPr>
      </w:pPr>
      <w:r>
        <w:rPr>
          <w:rFonts w:ascii="Arial" w:cs="Arial" w:eastAsia="Arial" w:hAnsi="Arial"/>
          <w:sz w:val="15"/>
          <w:szCs w:val="15"/>
          <w:color w:val="auto"/>
        </w:rPr>
        <w:t>On December 31, 1998, we entered into an employment agreement with the Chairman of the board of directors, Dr. Vagelos. Pursuant to the terms of his employment agreement, Dr. Vagelos receives an annual salary of $100,000 as a non-officer employee.</w:t>
      </w:r>
    </w:p>
    <w:p>
      <w:pPr>
        <w:spacing w:after="0" w:line="139"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Under the New Compensation Program, the board of directors determined that the 2018 annual equity award to Dr. Vagelos would consist entirely of stock options and set the targeted aggregate grant date fair value of such award at (but no more than) ten times the aggregate grant date fair value of the corresponding annual equity award for our non-employee directors. As in prior years, Dr. Vagelos’s 2018 stock option award reflects, among other things, the key contributions that Dr. Vagelos makes as the Company continues to develop into a fully integrated biotech company with multiple class-leading products, as well as Dr. Vagelos’s crucial role as a trusted advisor to the CEO, other senior managers, and the non-employee directors. It is also designed to incentivize further contributions and ensure Dr. Vagelos’s continued service to the Company in the future.</w:t>
      </w:r>
    </w:p>
    <w:p>
      <w:pPr>
        <w:spacing w:after="0" w:line="142" w:lineRule="exact"/>
        <w:rPr>
          <w:sz w:val="20"/>
          <w:szCs w:val="20"/>
          <w:color w:val="auto"/>
        </w:rPr>
      </w:pPr>
    </w:p>
    <w:p>
      <w:pPr>
        <w:ind w:right="80"/>
        <w:spacing w:after="0" w:line="220" w:lineRule="auto"/>
        <w:rPr>
          <w:sz w:val="20"/>
          <w:szCs w:val="20"/>
          <w:color w:val="auto"/>
        </w:rPr>
      </w:pPr>
      <w:r>
        <w:rPr>
          <w:rFonts w:ascii="Arial" w:cs="Arial" w:eastAsia="Arial" w:hAnsi="Arial"/>
          <w:sz w:val="15"/>
          <w:szCs w:val="15"/>
          <w:color w:val="auto"/>
        </w:rPr>
        <w:t>The 2018 stock option award granted to Dr. Vagelos vests ratably over four years subject to his continued service and contains change-of-control provisions consistent with those described above for equity grants to non-employee directors. Pursuant to the terms of his employment agreement, if Dr. Vagelos dies or is disabled during the term of his employment, all stock options granted to him by the Company will immediately become vested and exercisable. In addition, the stock option agreement with Dr. Vagelos relating to his 2018 stock option award provides that the stock option award will continue to vest following his qualified retirement (as defined in the applicable Company policy; Dr. Vagelos currently meets the policy requirement).</w:t>
      </w:r>
    </w:p>
    <w:p>
      <w:pPr>
        <w:spacing w:after="0" w:line="140" w:lineRule="exact"/>
        <w:rPr>
          <w:sz w:val="20"/>
          <w:szCs w:val="20"/>
          <w:color w:val="auto"/>
        </w:rPr>
      </w:pPr>
    </w:p>
    <w:p>
      <w:pPr>
        <w:jc w:val="both"/>
        <w:ind w:right="60"/>
        <w:spacing w:after="0" w:line="232" w:lineRule="auto"/>
        <w:rPr>
          <w:sz w:val="20"/>
          <w:szCs w:val="20"/>
          <w:color w:val="auto"/>
        </w:rPr>
      </w:pPr>
      <w:r>
        <w:rPr>
          <w:rFonts w:ascii="Arial" w:cs="Arial" w:eastAsia="Arial" w:hAnsi="Arial"/>
          <w:sz w:val="14"/>
          <w:szCs w:val="14"/>
          <w:color w:val="auto"/>
        </w:rPr>
        <w:t>In 2018, we paid a $125,000 filing fee relating to the Hart-Scott-Rodino (“HSR”) filing for Dr. Vagelos, as well as a tax reimbursement of $120,101 to Dr. Vagelos to cover Dr. Vagelos’s imputed income associated with the filing fee payment. The filing and the associated filing fee were triggered under the HSR regulations as a result of Dr.</w:t>
      </w:r>
    </w:p>
    <w:p>
      <w:pPr>
        <w:spacing w:after="0" w:line="1" w:lineRule="exact"/>
        <w:rPr>
          <w:sz w:val="20"/>
          <w:szCs w:val="20"/>
          <w:color w:val="auto"/>
        </w:rPr>
      </w:pPr>
    </w:p>
    <w:p>
      <w:pPr>
        <w:ind w:right="140"/>
        <w:spacing w:after="0" w:line="220" w:lineRule="auto"/>
        <w:rPr>
          <w:sz w:val="20"/>
          <w:szCs w:val="20"/>
          <w:color w:val="auto"/>
        </w:rPr>
      </w:pPr>
      <w:r>
        <w:rPr>
          <w:rFonts w:ascii="Arial" w:cs="Arial" w:eastAsia="Arial" w:hAnsi="Arial"/>
          <w:sz w:val="15"/>
          <w:szCs w:val="15"/>
          <w:color w:val="auto"/>
        </w:rPr>
        <w:t>Vagelos’s then-current and anticipated future total holdings of Regeneron stock exceeding a specified threshold. The Compensation Committee determined it appropriate to pay these amounts because the HSR filing obligation resulted from equity awards granted to Dr. Vagelos under the Company’s compensation program and the price appreciation in Regeneron stock acquired by Dr. Vagelos over a period of time during which he made substantial contributions toward such appreciation. The Compensation Committee also recognized that Regeneron had required Dr. Vagelos (as well as other directors and senior executives) to hold Regeneron stock under the Company’s stock ownership guidelines and encouraged alignment of his interests with those of Regeneron’s shareholders through share ownership.</w:t>
      </w:r>
    </w:p>
    <w:p>
      <w:pPr>
        <w:spacing w:after="0" w:line="138" w:lineRule="exact"/>
        <w:rPr>
          <w:sz w:val="20"/>
          <w:szCs w:val="20"/>
          <w:color w:val="auto"/>
        </w:rPr>
      </w:pPr>
    </w:p>
    <w:p>
      <w:pPr>
        <w:ind w:right="440"/>
        <w:spacing w:after="0" w:line="225" w:lineRule="auto"/>
        <w:rPr>
          <w:sz w:val="20"/>
          <w:szCs w:val="20"/>
          <w:color w:val="auto"/>
        </w:rPr>
      </w:pPr>
      <w:r>
        <w:rPr>
          <w:rFonts w:ascii="Arial" w:cs="Arial" w:eastAsia="Arial" w:hAnsi="Arial"/>
          <w:sz w:val="15"/>
          <w:szCs w:val="15"/>
          <w:color w:val="auto"/>
        </w:rPr>
        <w:t>The following table and explanatory footnotes provide information with respect to compensation paid to Dr. Vagelos and each non-employee director for their service in 2018 in accordance with the policies, plans, and employment agreement described above: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440" w:space="580"/>
            <w:col w:w="7380"/>
          </w:cols>
          <w:pgMar w:left="760" w:top="396" w:right="739" w:bottom="1440" w:gutter="0" w:footer="0" w:header="0"/>
          <w:type w:val="continuous"/>
        </w:sectPr>
      </w:pPr>
    </w:p>
    <w:bookmarkStart w:id="43" w:name="page44"/>
    <w:bookmarkEnd w:id="43"/>
    <w:p>
      <w:pPr>
        <w:ind w:left="6340"/>
        <w:spacing w:after="0"/>
        <w:rPr>
          <w:sz w:val="20"/>
          <w:szCs w:val="20"/>
          <w:color w:val="auto"/>
        </w:rPr>
      </w:pPr>
      <w:r>
        <w:rPr>
          <w:rFonts w:ascii="Arial" w:cs="Arial" w:eastAsia="Arial" w:hAnsi="Arial"/>
          <w:sz w:val="16"/>
          <w:szCs w:val="16"/>
          <w:b w:val="1"/>
          <w:bCs w:val="1"/>
          <w:color w:val="205BA8"/>
        </w:rPr>
        <w:t xml:space="preserve">BOARD OF DIRECTORS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D61C5A"/>
        </w:rPr>
        <w:t>Director Compensation</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48"/>
        </w:trPr>
        <w:tc>
          <w:tcPr>
            <w:tcW w:w="2000" w:type="dxa"/>
            <w:vAlign w:val="bottom"/>
            <w:tcBorders>
              <w:top w:val="single" w:sz="8" w:color="205BA8"/>
              <w:bottom w:val="single" w:sz="8" w:color="205BA8"/>
            </w:tcBorders>
          </w:tcPr>
          <w:p>
            <w:pPr>
              <w:ind w:left="940"/>
              <w:spacing w:after="0"/>
              <w:rPr>
                <w:sz w:val="20"/>
                <w:szCs w:val="20"/>
                <w:color w:val="auto"/>
              </w:rPr>
            </w:pPr>
            <w:r>
              <w:rPr>
                <w:rFonts w:ascii="Arial" w:cs="Arial" w:eastAsia="Arial" w:hAnsi="Arial"/>
                <w:sz w:val="11"/>
                <w:szCs w:val="11"/>
                <w:b w:val="1"/>
                <w:bCs w:val="1"/>
                <w:color w:val="205BA8"/>
              </w:rPr>
              <w:t>A</w:t>
            </w:r>
          </w:p>
        </w:tc>
        <w:tc>
          <w:tcPr>
            <w:tcW w:w="1340" w:type="dxa"/>
            <w:vAlign w:val="bottom"/>
            <w:tcBorders>
              <w:top w:val="single" w:sz="8" w:color="205BA8"/>
              <w:bottom w:val="single" w:sz="8" w:color="205BA8"/>
            </w:tcBorders>
          </w:tcPr>
          <w:p>
            <w:pPr>
              <w:jc w:val="center"/>
              <w:ind w:left="79"/>
              <w:spacing w:after="0"/>
              <w:rPr>
                <w:sz w:val="20"/>
                <w:szCs w:val="20"/>
                <w:color w:val="auto"/>
              </w:rPr>
            </w:pPr>
            <w:r>
              <w:rPr>
                <w:rFonts w:ascii="Arial" w:cs="Arial" w:eastAsia="Arial" w:hAnsi="Arial"/>
                <w:sz w:val="11"/>
                <w:szCs w:val="11"/>
                <w:b w:val="1"/>
                <w:bCs w:val="1"/>
                <w:color w:val="205BA8"/>
              </w:rPr>
              <w:t>B</w:t>
            </w:r>
          </w:p>
        </w:tc>
        <w:tc>
          <w:tcPr>
            <w:tcW w:w="114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C</w:t>
            </w:r>
          </w:p>
        </w:tc>
        <w:tc>
          <w:tcPr>
            <w:tcW w:w="102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D</w:t>
            </w:r>
          </w:p>
        </w:tc>
        <w:tc>
          <w:tcPr>
            <w:tcW w:w="114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81"/>
              </w:rPr>
              <w:t>E</w:t>
            </w:r>
          </w:p>
        </w:tc>
        <w:tc>
          <w:tcPr>
            <w:tcW w:w="174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F</w:t>
            </w:r>
          </w:p>
        </w:tc>
        <w:tc>
          <w:tcPr>
            <w:tcW w:w="1140" w:type="dxa"/>
            <w:vAlign w:val="bottom"/>
            <w:tcBorders>
              <w:top w:val="single" w:sz="8" w:color="205BA8"/>
              <w:bottom w:val="single" w:sz="8" w:color="205BA8"/>
            </w:tcBorders>
          </w:tcPr>
          <w:p>
            <w:pPr>
              <w:jc w:val="right"/>
              <w:ind w:right="600"/>
              <w:spacing w:after="0"/>
              <w:rPr>
                <w:sz w:val="20"/>
                <w:szCs w:val="20"/>
                <w:color w:val="auto"/>
              </w:rPr>
            </w:pPr>
            <w:r>
              <w:rPr>
                <w:rFonts w:ascii="Arial" w:cs="Arial" w:eastAsia="Arial" w:hAnsi="Arial"/>
                <w:sz w:val="11"/>
                <w:szCs w:val="11"/>
                <w:b w:val="1"/>
                <w:bCs w:val="1"/>
                <w:color w:val="205BA8"/>
              </w:rPr>
              <w:t>G</w:t>
            </w:r>
          </w:p>
        </w:tc>
        <w:tc>
          <w:tcPr>
            <w:tcW w:w="880" w:type="dxa"/>
            <w:vAlign w:val="bottom"/>
            <w:tcBorders>
              <w:top w:val="single" w:sz="8" w:color="205BA8"/>
              <w:bottom w:val="single" w:sz="8" w:color="205BA8"/>
            </w:tcBorders>
          </w:tcPr>
          <w:p>
            <w:pPr>
              <w:jc w:val="center"/>
              <w:ind w:left="19"/>
              <w:spacing w:after="0"/>
              <w:rPr>
                <w:sz w:val="20"/>
                <w:szCs w:val="20"/>
                <w:color w:val="auto"/>
              </w:rPr>
            </w:pPr>
            <w:r>
              <w:rPr>
                <w:rFonts w:ascii="Arial" w:cs="Arial" w:eastAsia="Arial" w:hAnsi="Arial"/>
                <w:sz w:val="11"/>
                <w:szCs w:val="11"/>
                <w:b w:val="1"/>
                <w:bCs w:val="1"/>
                <w:color w:val="205BA8"/>
              </w:rPr>
              <w:t>H</w:t>
            </w: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Option</w:t>
            </w:r>
          </w:p>
        </w:tc>
        <w:tc>
          <w:tcPr>
            <w:tcW w:w="1140" w:type="dxa"/>
            <w:vAlign w:val="bottom"/>
          </w:tcPr>
          <w:p>
            <w:pPr>
              <w:jc w:val="center"/>
              <w:spacing w:after="0" w:line="112" w:lineRule="exact"/>
              <w:rPr>
                <w:sz w:val="20"/>
                <w:szCs w:val="20"/>
                <w:color w:val="auto"/>
              </w:rPr>
            </w:pPr>
            <w:r>
              <w:rPr>
                <w:rFonts w:ascii="Arial" w:cs="Arial" w:eastAsia="Arial" w:hAnsi="Arial"/>
                <w:sz w:val="11"/>
                <w:szCs w:val="11"/>
                <w:b w:val="1"/>
                <w:bCs w:val="1"/>
                <w:color w:val="205BA8"/>
              </w:rPr>
              <w:t>Non-equity</w:t>
            </w:r>
          </w:p>
        </w:tc>
        <w:tc>
          <w:tcPr>
            <w:tcW w:w="1740" w:type="dxa"/>
            <w:vAlign w:val="bottom"/>
          </w:tcPr>
          <w:p>
            <w:pPr>
              <w:jc w:val="center"/>
              <w:spacing w:after="0" w:line="112" w:lineRule="exact"/>
              <w:rPr>
                <w:sz w:val="20"/>
                <w:szCs w:val="20"/>
                <w:color w:val="auto"/>
              </w:rPr>
            </w:pPr>
            <w:r>
              <w:rPr>
                <w:rFonts w:ascii="Arial" w:cs="Arial" w:eastAsia="Arial" w:hAnsi="Arial"/>
                <w:sz w:val="11"/>
                <w:szCs w:val="11"/>
                <w:b w:val="1"/>
                <w:bCs w:val="1"/>
                <w:color w:val="205BA8"/>
              </w:rPr>
              <w:t>Change in pension value</w:t>
            </w: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340" w:type="dxa"/>
            <w:vAlign w:val="bottom"/>
            <w:vMerge w:val="restart"/>
          </w:tcPr>
          <w:p>
            <w:pPr>
              <w:jc w:val="center"/>
              <w:ind w:left="59"/>
              <w:spacing w:after="0"/>
              <w:rPr>
                <w:sz w:val="20"/>
                <w:szCs w:val="20"/>
                <w:color w:val="auto"/>
              </w:rPr>
            </w:pPr>
            <w:r>
              <w:rPr>
                <w:rFonts w:ascii="Arial" w:cs="Arial" w:eastAsia="Arial" w:hAnsi="Arial"/>
                <w:sz w:val="11"/>
                <w:szCs w:val="11"/>
                <w:b w:val="1"/>
                <w:bCs w:val="1"/>
                <w:color w:val="205BA8"/>
              </w:rPr>
              <w:t>Fees earned</w:t>
            </w:r>
          </w:p>
        </w:tc>
        <w:tc>
          <w:tcPr>
            <w:tcW w:w="11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incentive plan</w:t>
            </w:r>
          </w:p>
        </w:tc>
        <w:tc>
          <w:tcPr>
            <w:tcW w:w="174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and non-qualified deferred</w:t>
            </w: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All other</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vMerge w:val="restart"/>
          </w:tcPr>
          <w:p>
            <w:pPr>
              <w:jc w:val="center"/>
              <w:spacing w:after="0" w:line="163" w:lineRule="exact"/>
              <w:rPr>
                <w:sz w:val="20"/>
                <w:szCs w:val="20"/>
                <w:color w:val="auto"/>
              </w:rPr>
            </w:pPr>
            <w:r>
              <w:rPr>
                <w:rFonts w:ascii="Arial" w:cs="Arial" w:eastAsia="Arial" w:hAnsi="Arial"/>
                <w:sz w:val="11"/>
                <w:szCs w:val="11"/>
                <w:b w:val="1"/>
                <w:bCs w:val="1"/>
                <w:color w:val="205BA8"/>
                <w:w w:val="95"/>
              </w:rPr>
              <w:t>awards</w:t>
            </w:r>
            <w:r>
              <w:rPr>
                <w:rFonts w:ascii="Arial" w:cs="Arial" w:eastAsia="Arial" w:hAnsi="Arial"/>
                <w:sz w:val="18"/>
                <w:szCs w:val="18"/>
                <w:b w:val="1"/>
                <w:bCs w:val="1"/>
                <w:color w:val="205BA8"/>
                <w:w w:val="95"/>
                <w:vertAlign w:val="superscript"/>
              </w:rPr>
              <w:t>1,2</w:t>
            </w:r>
          </w:p>
        </w:tc>
        <w:tc>
          <w:tcPr>
            <w:tcW w:w="1140" w:type="dxa"/>
            <w:vAlign w:val="bottom"/>
            <w:vMerge w:val="continue"/>
          </w:tcPr>
          <w:p>
            <w:pPr>
              <w:spacing w:after="0"/>
              <w:rPr>
                <w:sz w:val="2"/>
                <w:szCs w:val="2"/>
                <w:color w:val="auto"/>
              </w:rPr>
            </w:pPr>
          </w:p>
        </w:tc>
        <w:tc>
          <w:tcPr>
            <w:tcW w:w="174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tcPr>
          <w:p>
            <w:pPr>
              <w:spacing w:after="0"/>
              <w:rPr>
                <w:sz w:val="11"/>
                <w:szCs w:val="11"/>
                <w:color w:val="auto"/>
              </w:rPr>
            </w:pPr>
          </w:p>
        </w:tc>
        <w:tc>
          <w:tcPr>
            <w:tcW w:w="1340" w:type="dxa"/>
            <w:vAlign w:val="bottom"/>
          </w:tcPr>
          <w:p>
            <w:pPr>
              <w:jc w:val="center"/>
              <w:ind w:left="59"/>
              <w:spacing w:after="0"/>
              <w:rPr>
                <w:sz w:val="20"/>
                <w:szCs w:val="20"/>
                <w:color w:val="auto"/>
              </w:rPr>
            </w:pPr>
            <w:r>
              <w:rPr>
                <w:rFonts w:ascii="Arial" w:cs="Arial" w:eastAsia="Arial" w:hAnsi="Arial"/>
                <w:sz w:val="11"/>
                <w:szCs w:val="11"/>
                <w:b w:val="1"/>
                <w:bCs w:val="1"/>
                <w:color w:val="205BA8"/>
              </w:rPr>
              <w:t>or paid in cash</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205BA8"/>
              </w:rPr>
              <w:t>Stock awards</w:t>
            </w:r>
          </w:p>
        </w:tc>
        <w:tc>
          <w:tcPr>
            <w:tcW w:w="1020" w:type="dxa"/>
            <w:vAlign w:val="bottom"/>
            <w:vMerge w:val="continue"/>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205BA8"/>
              </w:rPr>
              <w:t>compensation</w:t>
            </w:r>
          </w:p>
        </w:tc>
        <w:tc>
          <w:tcPr>
            <w:tcW w:w="1740" w:type="dxa"/>
            <w:vAlign w:val="bottom"/>
          </w:tcPr>
          <w:p>
            <w:pPr>
              <w:jc w:val="center"/>
              <w:spacing w:after="0"/>
              <w:rPr>
                <w:sz w:val="20"/>
                <w:szCs w:val="20"/>
                <w:color w:val="auto"/>
              </w:rPr>
            </w:pPr>
            <w:r>
              <w:rPr>
                <w:rFonts w:ascii="Arial" w:cs="Arial" w:eastAsia="Arial" w:hAnsi="Arial"/>
                <w:sz w:val="11"/>
                <w:szCs w:val="11"/>
                <w:b w:val="1"/>
                <w:bCs w:val="1"/>
                <w:color w:val="205BA8"/>
              </w:rPr>
              <w:t>compensation earnings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205BA8"/>
              </w:rPr>
              <w:t>compensation</w:t>
            </w:r>
          </w:p>
        </w:tc>
        <w:tc>
          <w:tcPr>
            <w:tcW w:w="880" w:type="dxa"/>
            <w:vAlign w:val="bottom"/>
          </w:tcPr>
          <w:p>
            <w:pPr>
              <w:jc w:val="center"/>
              <w:ind w:left="39"/>
              <w:spacing w:after="0"/>
              <w:rPr>
                <w:sz w:val="20"/>
                <w:szCs w:val="20"/>
                <w:color w:val="auto"/>
              </w:rPr>
            </w:pPr>
            <w:r>
              <w:rPr>
                <w:rFonts w:ascii="Arial" w:cs="Arial" w:eastAsia="Arial" w:hAnsi="Arial"/>
                <w:sz w:val="11"/>
                <w:szCs w:val="11"/>
                <w:b w:val="1"/>
                <w:bCs w:val="1"/>
                <w:color w:val="205BA8"/>
                <w:w w:val="98"/>
              </w:rPr>
              <w:t>Total</w:t>
            </w:r>
          </w:p>
        </w:tc>
        <w:tc>
          <w:tcPr>
            <w:tcW w:w="0" w:type="dxa"/>
            <w:vAlign w:val="bottom"/>
          </w:tcPr>
          <w:p>
            <w:pPr>
              <w:spacing w:after="0"/>
              <w:rPr>
                <w:sz w:val="1"/>
                <w:szCs w:val="1"/>
                <w:color w:val="auto"/>
              </w:rPr>
            </w:pPr>
          </w:p>
        </w:tc>
      </w:tr>
      <w:tr>
        <w:trPr>
          <w:trHeight w:val="148"/>
        </w:trPr>
        <w:tc>
          <w:tcPr>
            <w:tcW w:w="2000" w:type="dxa"/>
            <w:vAlign w:val="bottom"/>
            <w:tcBorders>
              <w:bottom w:val="single" w:sz="8" w:color="205BA8"/>
            </w:tcBorders>
          </w:tcPr>
          <w:p>
            <w:pPr>
              <w:ind w:left="840"/>
              <w:spacing w:after="0"/>
              <w:rPr>
                <w:sz w:val="20"/>
                <w:szCs w:val="20"/>
                <w:color w:val="auto"/>
              </w:rPr>
            </w:pPr>
            <w:r>
              <w:rPr>
                <w:rFonts w:ascii="Arial" w:cs="Arial" w:eastAsia="Arial" w:hAnsi="Arial"/>
                <w:sz w:val="11"/>
                <w:szCs w:val="11"/>
                <w:b w:val="1"/>
                <w:bCs w:val="1"/>
                <w:color w:val="205BA8"/>
              </w:rPr>
              <w:t>Name</w:t>
            </w:r>
          </w:p>
        </w:tc>
        <w:tc>
          <w:tcPr>
            <w:tcW w:w="1340" w:type="dxa"/>
            <w:vAlign w:val="bottom"/>
            <w:tcBorders>
              <w:bottom w:val="single" w:sz="8" w:color="205BA8"/>
            </w:tcBorders>
          </w:tcPr>
          <w:p>
            <w:pPr>
              <w:jc w:val="center"/>
              <w:ind w:left="59"/>
              <w:spacing w:after="0"/>
              <w:rPr>
                <w:sz w:val="20"/>
                <w:szCs w:val="20"/>
                <w:color w:val="auto"/>
              </w:rPr>
            </w:pPr>
            <w:r>
              <w:rPr>
                <w:rFonts w:ascii="Arial" w:cs="Arial" w:eastAsia="Arial" w:hAnsi="Arial"/>
                <w:sz w:val="11"/>
                <w:szCs w:val="11"/>
                <w:b w:val="1"/>
                <w:bCs w:val="1"/>
                <w:color w:val="205BA8"/>
              </w:rPr>
              <w:t>($)</w:t>
            </w:r>
          </w:p>
        </w:tc>
        <w:tc>
          <w:tcPr>
            <w:tcW w:w="11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02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1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7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93"/>
              </w:rPr>
              <w:t>(%)</w:t>
            </w:r>
          </w:p>
        </w:tc>
        <w:tc>
          <w:tcPr>
            <w:tcW w:w="11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880" w:type="dxa"/>
            <w:vAlign w:val="bottom"/>
            <w:tcBorders>
              <w:bottom w:val="single" w:sz="8" w:color="205BA8"/>
            </w:tcBorders>
          </w:tcPr>
          <w:p>
            <w:pPr>
              <w:jc w:val="center"/>
              <w:ind w:left="39"/>
              <w:spacing w:after="0"/>
              <w:rPr>
                <w:sz w:val="20"/>
                <w:szCs w:val="20"/>
                <w:color w:val="auto"/>
              </w:rPr>
            </w:pPr>
            <w:r>
              <w:rPr>
                <w:rFonts w:ascii="Arial" w:cs="Arial" w:eastAsia="Arial" w:hAnsi="Arial"/>
                <w:sz w:val="11"/>
                <w:szCs w:val="11"/>
                <w:b w:val="1"/>
                <w:bCs w:val="1"/>
                <w:color w:val="205BA8"/>
              </w:rPr>
              <w:t>($)</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2"/>
                <w:szCs w:val="12"/>
                <w:b w:val="1"/>
                <w:bCs w:val="1"/>
                <w:color w:val="D61C5A"/>
              </w:rPr>
              <w:t>Charles A. Baker</w:t>
            </w:r>
            <w:r>
              <w:rPr>
                <w:rFonts w:ascii="Arial" w:cs="Arial" w:eastAsia="Arial" w:hAnsi="Arial"/>
                <w:sz w:val="20"/>
                <w:szCs w:val="20"/>
                <w:b w:val="1"/>
                <w:bCs w:val="1"/>
                <w:color w:val="D61C5A"/>
                <w:vertAlign w:val="superscript"/>
              </w:rPr>
              <w:t>3</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rPr>
              <w:t>32,967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center"/>
              <w:ind w:left="19"/>
              <w:spacing w:after="0"/>
              <w:rPr>
                <w:sz w:val="20"/>
                <w:szCs w:val="20"/>
                <w:color w:val="auto"/>
              </w:rPr>
            </w:pPr>
            <w:r>
              <w:rPr>
                <w:rFonts w:ascii="Arial" w:cs="Arial" w:eastAsia="Arial" w:hAnsi="Arial"/>
                <w:sz w:val="13"/>
                <w:szCs w:val="13"/>
                <w:color w:val="auto"/>
                <w:w w:val="96"/>
              </w:rPr>
              <w:t>1,176,874</w:t>
            </w:r>
          </w:p>
        </w:tc>
        <w:tc>
          <w:tcPr>
            <w:tcW w:w="0" w:type="dxa"/>
            <w:vAlign w:val="bottom"/>
          </w:tcPr>
          <w:p>
            <w:pPr>
              <w:spacing w:after="0"/>
              <w:rPr>
                <w:sz w:val="1"/>
                <w:szCs w:val="1"/>
                <w:color w:val="auto"/>
              </w:rPr>
            </w:pPr>
          </w:p>
        </w:tc>
      </w:tr>
      <w:tr>
        <w:trPr>
          <w:trHeight w:val="160"/>
        </w:trPr>
        <w:tc>
          <w:tcPr>
            <w:tcW w:w="200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2"/>
                <w:szCs w:val="12"/>
                <w:b w:val="1"/>
                <w:bCs w:val="1"/>
                <w:color w:val="D61C5A"/>
              </w:rPr>
              <w:t>Bonnie L. Bassler, Ph.D.</w:t>
            </w:r>
          </w:p>
        </w:tc>
        <w:tc>
          <w:tcPr>
            <w:tcW w:w="1340" w:type="dxa"/>
            <w:vAlign w:val="bottom"/>
            <w:tcBorders>
              <w:bottom w:val="single" w:sz="8" w:color="auto"/>
            </w:tcBorders>
            <w:shd w:val="clear" w:color="auto" w:fill="ECEDED"/>
          </w:tcPr>
          <w:p>
            <w:pPr>
              <w:jc w:val="right"/>
              <w:ind w:right="299"/>
              <w:spacing w:after="0"/>
              <w:rPr>
                <w:sz w:val="20"/>
                <w:szCs w:val="20"/>
                <w:color w:val="auto"/>
              </w:rPr>
            </w:pPr>
            <w:r>
              <w:rPr>
                <w:rFonts w:ascii="Arial" w:cs="Arial" w:eastAsia="Arial" w:hAnsi="Arial"/>
                <w:sz w:val="13"/>
                <w:szCs w:val="13"/>
                <w:color w:val="auto"/>
              </w:rPr>
              <w:t>75,000</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shd w:val="clear" w:color="auto" w:fill="ECEDED"/>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ECEDED"/>
          </w:tcPr>
          <w:p>
            <w:pPr>
              <w:jc w:val="center"/>
              <w:ind w:left="19"/>
              <w:spacing w:after="0"/>
              <w:rPr>
                <w:sz w:val="20"/>
                <w:szCs w:val="20"/>
                <w:color w:val="auto"/>
              </w:rPr>
            </w:pPr>
            <w:r>
              <w:rPr>
                <w:rFonts w:ascii="Arial" w:cs="Arial" w:eastAsia="Arial" w:hAnsi="Arial"/>
                <w:sz w:val="13"/>
                <w:szCs w:val="13"/>
                <w:color w:val="auto"/>
                <w:w w:val="96"/>
              </w:rPr>
              <w:t>1,218,907</w:t>
            </w:r>
          </w:p>
        </w:tc>
        <w:tc>
          <w:tcPr>
            <w:tcW w:w="0" w:type="dxa"/>
            <w:vAlign w:val="bottom"/>
          </w:tcPr>
          <w:p>
            <w:pPr>
              <w:spacing w:after="0"/>
              <w:rPr>
                <w:sz w:val="1"/>
                <w:szCs w:val="1"/>
                <w:color w:val="auto"/>
              </w:rPr>
            </w:pPr>
          </w:p>
        </w:tc>
      </w:tr>
      <w:tr>
        <w:trPr>
          <w:trHeight w:val="163"/>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D61C5A"/>
              </w:rPr>
              <w:t>Michael S. Brown, M.D.</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rPr>
              <w:t>85,000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tcPr>
          <w:p>
            <w:pPr>
              <w:jc w:val="right"/>
              <w:ind w:right="300"/>
              <w:spacing w:after="0" w:line="164" w:lineRule="exact"/>
              <w:rPr>
                <w:sz w:val="20"/>
                <w:szCs w:val="20"/>
                <w:color w:val="auto"/>
              </w:rPr>
            </w:pPr>
            <w:r>
              <w:rPr>
                <w:rFonts w:ascii="Arial" w:cs="Arial" w:eastAsia="Arial" w:hAnsi="Arial"/>
                <w:sz w:val="11"/>
                <w:szCs w:val="11"/>
                <w:color w:val="auto"/>
              </w:rPr>
              <w:t>5,000</w:t>
            </w:r>
            <w:r>
              <w:rPr>
                <w:rFonts w:ascii="Arial" w:cs="Arial" w:eastAsia="Arial" w:hAnsi="Arial"/>
                <w:sz w:val="18"/>
                <w:szCs w:val="18"/>
                <w:color w:val="auto"/>
                <w:vertAlign w:val="superscript"/>
              </w:rPr>
              <w:t>5</w:t>
            </w:r>
          </w:p>
        </w:tc>
        <w:tc>
          <w:tcPr>
            <w:tcW w:w="880" w:type="dxa"/>
            <w:vAlign w:val="bottom"/>
            <w:tcBorders>
              <w:bottom w:val="single" w:sz="8" w:color="auto"/>
            </w:tcBorders>
          </w:tcPr>
          <w:p>
            <w:pPr>
              <w:jc w:val="center"/>
              <w:ind w:left="19"/>
              <w:spacing w:after="0"/>
              <w:rPr>
                <w:sz w:val="20"/>
                <w:szCs w:val="20"/>
                <w:color w:val="auto"/>
              </w:rPr>
            </w:pPr>
            <w:r>
              <w:rPr>
                <w:rFonts w:ascii="Arial" w:cs="Arial" w:eastAsia="Arial" w:hAnsi="Arial"/>
                <w:sz w:val="13"/>
                <w:szCs w:val="13"/>
                <w:color w:val="auto"/>
                <w:w w:val="96"/>
              </w:rPr>
              <w:t>1,233,907</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shd w:val="clear" w:color="auto" w:fill="ECEDED"/>
          </w:tcPr>
          <w:p>
            <w:pPr>
              <w:ind w:left="40"/>
              <w:spacing w:after="0" w:line="188" w:lineRule="exact"/>
              <w:rPr>
                <w:sz w:val="20"/>
                <w:szCs w:val="20"/>
                <w:color w:val="auto"/>
              </w:rPr>
            </w:pPr>
            <w:r>
              <w:rPr>
                <w:rFonts w:ascii="Arial" w:cs="Arial" w:eastAsia="Arial" w:hAnsi="Arial"/>
                <w:sz w:val="12"/>
                <w:szCs w:val="12"/>
                <w:b w:val="1"/>
                <w:bCs w:val="1"/>
                <w:color w:val="D61C5A"/>
              </w:rPr>
              <w:t>N. Anthony Coles, M.D.</w:t>
            </w:r>
            <w:r>
              <w:rPr>
                <w:rFonts w:ascii="Arial" w:cs="Arial" w:eastAsia="Arial" w:hAnsi="Arial"/>
                <w:sz w:val="20"/>
                <w:szCs w:val="20"/>
                <w:b w:val="1"/>
                <w:bCs w:val="1"/>
                <w:color w:val="D61C5A"/>
                <w:vertAlign w:val="superscript"/>
              </w:rPr>
              <w:t>4</w:t>
            </w:r>
          </w:p>
        </w:tc>
        <w:tc>
          <w:tcPr>
            <w:tcW w:w="1340" w:type="dxa"/>
            <w:vAlign w:val="bottom"/>
            <w:tcBorders>
              <w:bottom w:val="single" w:sz="8" w:color="auto"/>
            </w:tcBorders>
            <w:shd w:val="clear" w:color="auto" w:fill="ECEDED"/>
          </w:tcPr>
          <w:p>
            <w:pPr>
              <w:jc w:val="right"/>
              <w:ind w:right="299"/>
              <w:spacing w:after="0"/>
              <w:rPr>
                <w:sz w:val="20"/>
                <w:szCs w:val="20"/>
                <w:color w:val="auto"/>
              </w:rPr>
            </w:pPr>
            <w:r>
              <w:rPr>
                <w:rFonts w:ascii="Arial" w:cs="Arial" w:eastAsia="Arial" w:hAnsi="Arial"/>
                <w:sz w:val="13"/>
                <w:szCs w:val="13"/>
                <w:color w:val="auto"/>
              </w:rPr>
              <w:t>65,000</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6"/>
              </w:rPr>
              <w:t>1,062,423</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shd w:val="clear" w:color="auto" w:fill="ECEDED"/>
          </w:tcPr>
          <w:p>
            <w:pPr>
              <w:jc w:val="right"/>
              <w:ind w:right="300"/>
              <w:spacing w:after="0" w:line="188" w:lineRule="exact"/>
              <w:rPr>
                <w:sz w:val="20"/>
                <w:szCs w:val="20"/>
                <w:color w:val="auto"/>
              </w:rPr>
            </w:pPr>
            <w:r>
              <w:rPr>
                <w:rFonts w:ascii="Arial" w:cs="Arial" w:eastAsia="Arial" w:hAnsi="Arial"/>
                <w:sz w:val="13"/>
                <w:szCs w:val="13"/>
                <w:color w:val="auto"/>
              </w:rPr>
              <w:t>5,000</w:t>
            </w:r>
            <w:r>
              <w:rPr>
                <w:rFonts w:ascii="Arial" w:cs="Arial" w:eastAsia="Arial" w:hAnsi="Arial"/>
                <w:sz w:val="20"/>
                <w:szCs w:val="20"/>
                <w:color w:val="auto"/>
                <w:vertAlign w:val="superscript"/>
              </w:rPr>
              <w:t>5</w:t>
            </w:r>
          </w:p>
        </w:tc>
        <w:tc>
          <w:tcPr>
            <w:tcW w:w="880" w:type="dxa"/>
            <w:vAlign w:val="bottom"/>
            <w:tcBorders>
              <w:bottom w:val="single" w:sz="8" w:color="auto"/>
            </w:tcBorders>
            <w:shd w:val="clear" w:color="auto" w:fill="ECEDED"/>
          </w:tcPr>
          <w:p>
            <w:pPr>
              <w:jc w:val="center"/>
              <w:ind w:left="19"/>
              <w:spacing w:after="0"/>
              <w:rPr>
                <w:sz w:val="20"/>
                <w:szCs w:val="20"/>
                <w:color w:val="auto"/>
              </w:rPr>
            </w:pPr>
            <w:r>
              <w:rPr>
                <w:rFonts w:ascii="Arial" w:cs="Arial" w:eastAsia="Arial" w:hAnsi="Arial"/>
                <w:sz w:val="13"/>
                <w:szCs w:val="13"/>
                <w:color w:val="auto"/>
                <w:w w:val="96"/>
              </w:rPr>
              <w:t>1,132,423</w:t>
            </w:r>
          </w:p>
        </w:tc>
        <w:tc>
          <w:tcPr>
            <w:tcW w:w="0" w:type="dxa"/>
            <w:vAlign w:val="bottom"/>
          </w:tcPr>
          <w:p>
            <w:pPr>
              <w:spacing w:after="0"/>
              <w:rPr>
                <w:sz w:val="1"/>
                <w:szCs w:val="1"/>
                <w:color w:val="auto"/>
              </w:rPr>
            </w:pPr>
          </w:p>
        </w:tc>
      </w:tr>
      <w:tr>
        <w:trPr>
          <w:trHeight w:val="160"/>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D61C5A"/>
              </w:rPr>
              <w:t>Joseph L. Goldstein, M.D.</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rPr>
              <w:t>75,000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center"/>
              <w:ind w:left="19"/>
              <w:spacing w:after="0"/>
              <w:rPr>
                <w:sz w:val="20"/>
                <w:szCs w:val="20"/>
                <w:color w:val="auto"/>
              </w:rPr>
            </w:pPr>
            <w:r>
              <w:rPr>
                <w:rFonts w:ascii="Arial" w:cs="Arial" w:eastAsia="Arial" w:hAnsi="Arial"/>
                <w:sz w:val="13"/>
                <w:szCs w:val="13"/>
                <w:color w:val="auto"/>
                <w:w w:val="96"/>
              </w:rPr>
              <w:t>1,218,907</w:t>
            </w:r>
          </w:p>
        </w:tc>
        <w:tc>
          <w:tcPr>
            <w:tcW w:w="0" w:type="dxa"/>
            <w:vAlign w:val="bottom"/>
          </w:tcPr>
          <w:p>
            <w:pPr>
              <w:spacing w:after="0"/>
              <w:rPr>
                <w:sz w:val="1"/>
                <w:szCs w:val="1"/>
                <w:color w:val="auto"/>
              </w:rPr>
            </w:pPr>
          </w:p>
        </w:tc>
      </w:tr>
      <w:tr>
        <w:trPr>
          <w:trHeight w:val="162"/>
        </w:trPr>
        <w:tc>
          <w:tcPr>
            <w:tcW w:w="200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2"/>
                <w:szCs w:val="12"/>
                <w:b w:val="1"/>
                <w:bCs w:val="1"/>
                <w:color w:val="D61C5A"/>
              </w:rPr>
              <w:t>Christine A. Poon</w:t>
            </w:r>
          </w:p>
        </w:tc>
        <w:tc>
          <w:tcPr>
            <w:tcW w:w="1340" w:type="dxa"/>
            <w:vAlign w:val="bottom"/>
            <w:tcBorders>
              <w:bottom w:val="single" w:sz="8" w:color="auto"/>
            </w:tcBorders>
            <w:shd w:val="clear" w:color="auto" w:fill="ECEDED"/>
          </w:tcPr>
          <w:p>
            <w:pPr>
              <w:jc w:val="right"/>
              <w:ind w:right="299"/>
              <w:spacing w:after="0"/>
              <w:rPr>
                <w:sz w:val="20"/>
                <w:szCs w:val="20"/>
                <w:color w:val="auto"/>
              </w:rPr>
            </w:pPr>
            <w:r>
              <w:rPr>
                <w:rFonts w:ascii="Arial" w:cs="Arial" w:eastAsia="Arial" w:hAnsi="Arial"/>
                <w:sz w:val="13"/>
                <w:szCs w:val="13"/>
                <w:color w:val="auto"/>
              </w:rPr>
              <w:t>85,000</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shd w:val="clear" w:color="auto" w:fill="ECEDED"/>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ECEDED"/>
          </w:tcPr>
          <w:p>
            <w:pPr>
              <w:jc w:val="center"/>
              <w:ind w:left="19"/>
              <w:spacing w:after="0"/>
              <w:rPr>
                <w:sz w:val="20"/>
                <w:szCs w:val="20"/>
                <w:color w:val="auto"/>
              </w:rPr>
            </w:pPr>
            <w:r>
              <w:rPr>
                <w:rFonts w:ascii="Arial" w:cs="Arial" w:eastAsia="Arial" w:hAnsi="Arial"/>
                <w:sz w:val="13"/>
                <w:szCs w:val="13"/>
                <w:color w:val="auto"/>
                <w:w w:val="96"/>
              </w:rPr>
              <w:t>1,228,907</w:t>
            </w:r>
          </w:p>
        </w:tc>
        <w:tc>
          <w:tcPr>
            <w:tcW w:w="0" w:type="dxa"/>
            <w:vAlign w:val="bottom"/>
          </w:tcPr>
          <w:p>
            <w:pPr>
              <w:spacing w:after="0"/>
              <w:rPr>
                <w:sz w:val="1"/>
                <w:szCs w:val="1"/>
                <w:color w:val="auto"/>
              </w:rPr>
            </w:pPr>
          </w:p>
        </w:tc>
      </w:tr>
      <w:tr>
        <w:trPr>
          <w:trHeight w:val="163"/>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D61C5A"/>
              </w:rPr>
              <w:t>Arthur F. Ryan</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rPr>
              <w:t>85,000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tcPr>
          <w:p>
            <w:pPr>
              <w:jc w:val="right"/>
              <w:ind w:right="300"/>
              <w:spacing w:after="0" w:line="164" w:lineRule="exact"/>
              <w:rPr>
                <w:sz w:val="20"/>
                <w:szCs w:val="20"/>
                <w:color w:val="auto"/>
              </w:rPr>
            </w:pPr>
            <w:r>
              <w:rPr>
                <w:rFonts w:ascii="Arial" w:cs="Arial" w:eastAsia="Arial" w:hAnsi="Arial"/>
                <w:sz w:val="11"/>
                <w:szCs w:val="11"/>
                <w:color w:val="auto"/>
              </w:rPr>
              <w:t>5,000</w:t>
            </w:r>
            <w:r>
              <w:rPr>
                <w:rFonts w:ascii="Arial" w:cs="Arial" w:eastAsia="Arial" w:hAnsi="Arial"/>
                <w:sz w:val="18"/>
                <w:szCs w:val="18"/>
                <w:color w:val="auto"/>
                <w:vertAlign w:val="superscript"/>
              </w:rPr>
              <w:t>5</w:t>
            </w:r>
          </w:p>
        </w:tc>
        <w:tc>
          <w:tcPr>
            <w:tcW w:w="880" w:type="dxa"/>
            <w:vAlign w:val="bottom"/>
            <w:tcBorders>
              <w:bottom w:val="single" w:sz="8" w:color="auto"/>
            </w:tcBorders>
          </w:tcPr>
          <w:p>
            <w:pPr>
              <w:jc w:val="center"/>
              <w:ind w:left="19"/>
              <w:spacing w:after="0"/>
              <w:rPr>
                <w:sz w:val="20"/>
                <w:szCs w:val="20"/>
                <w:color w:val="auto"/>
              </w:rPr>
            </w:pPr>
            <w:r>
              <w:rPr>
                <w:rFonts w:ascii="Arial" w:cs="Arial" w:eastAsia="Arial" w:hAnsi="Arial"/>
                <w:sz w:val="13"/>
                <w:szCs w:val="13"/>
                <w:color w:val="auto"/>
                <w:w w:val="96"/>
              </w:rPr>
              <w:t>1,233,907</w:t>
            </w:r>
          </w:p>
        </w:tc>
        <w:tc>
          <w:tcPr>
            <w:tcW w:w="0" w:type="dxa"/>
            <w:vAlign w:val="bottom"/>
          </w:tcPr>
          <w:p>
            <w:pPr>
              <w:spacing w:after="0"/>
              <w:rPr>
                <w:sz w:val="1"/>
                <w:szCs w:val="1"/>
                <w:color w:val="auto"/>
              </w:rPr>
            </w:pPr>
          </w:p>
        </w:tc>
      </w:tr>
      <w:tr>
        <w:trPr>
          <w:trHeight w:val="160"/>
        </w:trPr>
        <w:tc>
          <w:tcPr>
            <w:tcW w:w="200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2"/>
                <w:szCs w:val="12"/>
                <w:b w:val="1"/>
                <w:bCs w:val="1"/>
                <w:color w:val="D61C5A"/>
              </w:rPr>
              <w:t>George L. Sing</w:t>
            </w:r>
          </w:p>
        </w:tc>
        <w:tc>
          <w:tcPr>
            <w:tcW w:w="1340" w:type="dxa"/>
            <w:vAlign w:val="bottom"/>
            <w:tcBorders>
              <w:bottom w:val="single" w:sz="8" w:color="auto"/>
            </w:tcBorders>
            <w:shd w:val="clear" w:color="auto" w:fill="ECEDED"/>
          </w:tcPr>
          <w:p>
            <w:pPr>
              <w:jc w:val="right"/>
              <w:ind w:right="299"/>
              <w:spacing w:after="0"/>
              <w:rPr>
                <w:sz w:val="20"/>
                <w:szCs w:val="20"/>
                <w:color w:val="auto"/>
              </w:rPr>
            </w:pPr>
            <w:r>
              <w:rPr>
                <w:rFonts w:ascii="Arial" w:cs="Arial" w:eastAsia="Arial" w:hAnsi="Arial"/>
                <w:sz w:val="13"/>
                <w:szCs w:val="13"/>
                <w:color w:val="auto"/>
              </w:rPr>
              <w:t>85,000</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shd w:val="clear" w:color="auto" w:fill="ECEDED"/>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ECEDED"/>
          </w:tcPr>
          <w:p>
            <w:pPr>
              <w:jc w:val="center"/>
              <w:ind w:left="19"/>
              <w:spacing w:after="0"/>
              <w:rPr>
                <w:sz w:val="20"/>
                <w:szCs w:val="20"/>
                <w:color w:val="auto"/>
              </w:rPr>
            </w:pPr>
            <w:r>
              <w:rPr>
                <w:rFonts w:ascii="Arial" w:cs="Arial" w:eastAsia="Arial" w:hAnsi="Arial"/>
                <w:sz w:val="13"/>
                <w:szCs w:val="13"/>
                <w:color w:val="auto"/>
                <w:w w:val="96"/>
              </w:rPr>
              <w:t>1,228,907</w:t>
            </w:r>
          </w:p>
        </w:tc>
        <w:tc>
          <w:tcPr>
            <w:tcW w:w="0" w:type="dxa"/>
            <w:vAlign w:val="bottom"/>
          </w:tcPr>
          <w:p>
            <w:pPr>
              <w:spacing w:after="0"/>
              <w:rPr>
                <w:sz w:val="1"/>
                <w:szCs w:val="1"/>
                <w:color w:val="auto"/>
              </w:rPr>
            </w:pPr>
          </w:p>
        </w:tc>
      </w:tr>
      <w:tr>
        <w:trPr>
          <w:trHeight w:val="162"/>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D61C5A"/>
              </w:rPr>
              <w:t>Marc Tessier-Lavigne, Ph.D.</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rPr>
              <w:t>65,000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center"/>
              <w:ind w:left="19"/>
              <w:spacing w:after="0"/>
              <w:rPr>
                <w:sz w:val="20"/>
                <w:szCs w:val="20"/>
                <w:color w:val="auto"/>
              </w:rPr>
            </w:pPr>
            <w:r>
              <w:rPr>
                <w:rFonts w:ascii="Arial" w:cs="Arial" w:eastAsia="Arial" w:hAnsi="Arial"/>
                <w:sz w:val="13"/>
                <w:szCs w:val="13"/>
                <w:color w:val="auto"/>
                <w:w w:val="96"/>
              </w:rPr>
              <w:t>1,208,907</w:t>
            </w:r>
          </w:p>
        </w:tc>
        <w:tc>
          <w:tcPr>
            <w:tcW w:w="0" w:type="dxa"/>
            <w:vAlign w:val="bottom"/>
          </w:tcPr>
          <w:p>
            <w:pPr>
              <w:spacing w:after="0"/>
              <w:rPr>
                <w:sz w:val="1"/>
                <w:szCs w:val="1"/>
                <w:color w:val="auto"/>
              </w:rPr>
            </w:pPr>
          </w:p>
        </w:tc>
      </w:tr>
      <w:tr>
        <w:trPr>
          <w:trHeight w:val="163"/>
        </w:trPr>
        <w:tc>
          <w:tcPr>
            <w:tcW w:w="200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2"/>
                <w:szCs w:val="12"/>
                <w:b w:val="1"/>
                <w:bCs w:val="1"/>
                <w:color w:val="D61C5A"/>
              </w:rPr>
              <w:t>P. Roy Vagelos, M.D.</w:t>
            </w:r>
          </w:p>
        </w:tc>
        <w:tc>
          <w:tcPr>
            <w:tcW w:w="1340" w:type="dxa"/>
            <w:vAlign w:val="bottom"/>
            <w:tcBorders>
              <w:bottom w:val="single" w:sz="8" w:color="auto"/>
            </w:tcBorders>
            <w:shd w:val="clear" w:color="auto" w:fill="ECEDED"/>
          </w:tcPr>
          <w:p>
            <w:pPr>
              <w:jc w:val="right"/>
              <w:ind w:right="29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6"/>
              </w:rPr>
              <w:t>5,999,864</w:t>
            </w:r>
          </w:p>
        </w:tc>
        <w:tc>
          <w:tcPr>
            <w:tcW w:w="11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ECEDED"/>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shd w:val="clear" w:color="auto" w:fill="ECEDED"/>
          </w:tcPr>
          <w:p>
            <w:pPr>
              <w:jc w:val="right"/>
              <w:ind w:right="300"/>
              <w:spacing w:after="0" w:line="164" w:lineRule="exact"/>
              <w:rPr>
                <w:sz w:val="20"/>
                <w:szCs w:val="20"/>
                <w:color w:val="auto"/>
              </w:rPr>
            </w:pPr>
            <w:r>
              <w:rPr>
                <w:rFonts w:ascii="Arial" w:cs="Arial" w:eastAsia="Arial" w:hAnsi="Arial"/>
                <w:sz w:val="11"/>
                <w:szCs w:val="11"/>
                <w:color w:val="auto"/>
              </w:rPr>
              <w:t>349,101</w:t>
            </w:r>
            <w:r>
              <w:rPr>
                <w:rFonts w:ascii="Arial" w:cs="Arial" w:eastAsia="Arial" w:hAnsi="Arial"/>
                <w:sz w:val="18"/>
                <w:szCs w:val="18"/>
                <w:color w:val="auto"/>
                <w:vertAlign w:val="superscript"/>
              </w:rPr>
              <w:t>6</w:t>
            </w:r>
          </w:p>
        </w:tc>
        <w:tc>
          <w:tcPr>
            <w:tcW w:w="880" w:type="dxa"/>
            <w:vAlign w:val="bottom"/>
            <w:tcBorders>
              <w:bottom w:val="single" w:sz="8" w:color="auto"/>
            </w:tcBorders>
            <w:shd w:val="clear" w:color="auto" w:fill="ECEDED"/>
          </w:tcPr>
          <w:p>
            <w:pPr>
              <w:jc w:val="center"/>
              <w:ind w:left="19"/>
              <w:spacing w:after="0"/>
              <w:rPr>
                <w:sz w:val="20"/>
                <w:szCs w:val="20"/>
                <w:color w:val="auto"/>
              </w:rPr>
            </w:pPr>
            <w:r>
              <w:rPr>
                <w:rFonts w:ascii="Arial" w:cs="Arial" w:eastAsia="Arial" w:hAnsi="Arial"/>
                <w:sz w:val="13"/>
                <w:szCs w:val="13"/>
                <w:color w:val="auto"/>
                <w:w w:val="96"/>
              </w:rPr>
              <w:t>6,348,965</w:t>
            </w:r>
          </w:p>
        </w:tc>
        <w:tc>
          <w:tcPr>
            <w:tcW w:w="0" w:type="dxa"/>
            <w:vAlign w:val="bottom"/>
          </w:tcPr>
          <w:p>
            <w:pPr>
              <w:spacing w:after="0"/>
              <w:rPr>
                <w:sz w:val="1"/>
                <w:szCs w:val="1"/>
                <w:color w:val="auto"/>
              </w:rPr>
            </w:pPr>
          </w:p>
        </w:tc>
      </w:tr>
      <w:tr>
        <w:trPr>
          <w:trHeight w:val="162"/>
        </w:trPr>
        <w:tc>
          <w:tcPr>
            <w:tcW w:w="2000" w:type="dxa"/>
            <w:vAlign w:val="bottom"/>
            <w:tcBorders>
              <w:bottom w:val="single" w:sz="8" w:color="205BA8"/>
            </w:tcBorders>
          </w:tcPr>
          <w:p>
            <w:pPr>
              <w:ind w:left="40"/>
              <w:spacing w:after="0"/>
              <w:rPr>
                <w:sz w:val="20"/>
                <w:szCs w:val="20"/>
                <w:color w:val="auto"/>
              </w:rPr>
            </w:pPr>
            <w:r>
              <w:rPr>
                <w:rFonts w:ascii="Arial" w:cs="Arial" w:eastAsia="Arial" w:hAnsi="Arial"/>
                <w:sz w:val="12"/>
                <w:szCs w:val="12"/>
                <w:b w:val="1"/>
                <w:bCs w:val="1"/>
                <w:color w:val="D61C5A"/>
              </w:rPr>
              <w:t>Huda Y. Zoghbi, M.D.</w:t>
            </w:r>
          </w:p>
        </w:tc>
        <w:tc>
          <w:tcPr>
            <w:tcW w:w="1340" w:type="dxa"/>
            <w:vAlign w:val="bottom"/>
            <w:tcBorders>
              <w:bottom w:val="single" w:sz="8" w:color="205BA8"/>
            </w:tcBorders>
          </w:tcPr>
          <w:p>
            <w:pPr>
              <w:jc w:val="right"/>
              <w:ind w:right="299"/>
              <w:spacing w:after="0"/>
              <w:rPr>
                <w:sz w:val="20"/>
                <w:szCs w:val="20"/>
                <w:color w:val="auto"/>
              </w:rPr>
            </w:pPr>
            <w:r>
              <w:rPr>
                <w:rFonts w:ascii="Arial" w:cs="Arial" w:eastAsia="Arial" w:hAnsi="Arial"/>
                <w:sz w:val="13"/>
                <w:szCs w:val="13"/>
                <w:color w:val="auto"/>
              </w:rPr>
              <w:t>75,000</w:t>
            </w:r>
          </w:p>
        </w:tc>
        <w:tc>
          <w:tcPr>
            <w:tcW w:w="114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w w:val="96"/>
              </w:rPr>
              <w:t>1,143,907</w:t>
            </w:r>
          </w:p>
        </w:tc>
        <w:tc>
          <w:tcPr>
            <w:tcW w:w="114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205BA8"/>
            </w:tcBorders>
          </w:tcPr>
          <w:p>
            <w:pPr>
              <w:jc w:val="right"/>
              <w:ind w:right="300"/>
              <w:spacing w:after="0" w:line="162" w:lineRule="exact"/>
              <w:rPr>
                <w:sz w:val="20"/>
                <w:szCs w:val="20"/>
                <w:color w:val="auto"/>
              </w:rPr>
            </w:pPr>
            <w:r>
              <w:rPr>
                <w:rFonts w:ascii="Arial" w:cs="Arial" w:eastAsia="Arial" w:hAnsi="Arial"/>
                <w:sz w:val="11"/>
                <w:szCs w:val="11"/>
                <w:color w:val="auto"/>
              </w:rPr>
              <w:t>5,000</w:t>
            </w:r>
            <w:r>
              <w:rPr>
                <w:rFonts w:ascii="Arial" w:cs="Arial" w:eastAsia="Arial" w:hAnsi="Arial"/>
                <w:sz w:val="18"/>
                <w:szCs w:val="18"/>
                <w:color w:val="auto"/>
                <w:vertAlign w:val="superscript"/>
              </w:rPr>
              <w:t>5</w:t>
            </w:r>
          </w:p>
        </w:tc>
        <w:tc>
          <w:tcPr>
            <w:tcW w:w="880" w:type="dxa"/>
            <w:vAlign w:val="bottom"/>
            <w:tcBorders>
              <w:bottom w:val="single" w:sz="8" w:color="205BA8"/>
            </w:tcBorders>
          </w:tcPr>
          <w:p>
            <w:pPr>
              <w:jc w:val="center"/>
              <w:ind w:left="19"/>
              <w:spacing w:after="0"/>
              <w:rPr>
                <w:sz w:val="20"/>
                <w:szCs w:val="20"/>
                <w:color w:val="auto"/>
              </w:rPr>
            </w:pPr>
            <w:r>
              <w:rPr>
                <w:rFonts w:ascii="Arial" w:cs="Arial" w:eastAsia="Arial" w:hAnsi="Arial"/>
                <w:sz w:val="13"/>
                <w:szCs w:val="13"/>
                <w:color w:val="auto"/>
                <w:w w:val="96"/>
              </w:rPr>
              <w:t>1,223,907</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205BA8"/>
            </w:tcBorders>
          </w:tcPr>
          <w:p>
            <w:pPr>
              <w:spacing w:after="0"/>
              <w:rPr>
                <w:sz w:val="16"/>
                <w:szCs w:val="16"/>
                <w:color w:val="auto"/>
              </w:rPr>
            </w:pPr>
          </w:p>
        </w:tc>
        <w:tc>
          <w:tcPr>
            <w:tcW w:w="1340" w:type="dxa"/>
            <w:vAlign w:val="bottom"/>
            <w:tcBorders>
              <w:bottom w:val="single" w:sz="8" w:color="205BA8"/>
            </w:tcBorders>
          </w:tcPr>
          <w:p>
            <w:pPr>
              <w:spacing w:after="0"/>
              <w:rPr>
                <w:sz w:val="16"/>
                <w:szCs w:val="16"/>
                <w:color w:val="auto"/>
              </w:rPr>
            </w:pPr>
          </w:p>
        </w:tc>
        <w:tc>
          <w:tcPr>
            <w:tcW w:w="1140" w:type="dxa"/>
            <w:vAlign w:val="bottom"/>
            <w:tcBorders>
              <w:bottom w:val="single" w:sz="8" w:color="205BA8"/>
            </w:tcBorders>
          </w:tcPr>
          <w:p>
            <w:pPr>
              <w:spacing w:after="0"/>
              <w:rPr>
                <w:sz w:val="16"/>
                <w:szCs w:val="16"/>
                <w:color w:val="auto"/>
              </w:rPr>
            </w:pPr>
          </w:p>
        </w:tc>
        <w:tc>
          <w:tcPr>
            <w:tcW w:w="1020" w:type="dxa"/>
            <w:vAlign w:val="bottom"/>
            <w:tcBorders>
              <w:bottom w:val="single" w:sz="8" w:color="205BA8"/>
            </w:tcBorders>
          </w:tcPr>
          <w:p>
            <w:pPr>
              <w:spacing w:after="0"/>
              <w:rPr>
                <w:sz w:val="16"/>
                <w:szCs w:val="16"/>
                <w:color w:val="auto"/>
              </w:rPr>
            </w:pPr>
          </w:p>
        </w:tc>
        <w:tc>
          <w:tcPr>
            <w:tcW w:w="1140" w:type="dxa"/>
            <w:vAlign w:val="bottom"/>
            <w:tcBorders>
              <w:bottom w:val="single" w:sz="8" w:color="205BA8"/>
            </w:tcBorders>
          </w:tcPr>
          <w:p>
            <w:pPr>
              <w:spacing w:after="0"/>
              <w:rPr>
                <w:sz w:val="16"/>
                <w:szCs w:val="16"/>
                <w:color w:val="auto"/>
              </w:rPr>
            </w:pPr>
          </w:p>
        </w:tc>
        <w:tc>
          <w:tcPr>
            <w:tcW w:w="1740" w:type="dxa"/>
            <w:vAlign w:val="bottom"/>
            <w:tcBorders>
              <w:bottom w:val="single" w:sz="8" w:color="205BA8"/>
            </w:tcBorders>
          </w:tcPr>
          <w:p>
            <w:pPr>
              <w:spacing w:after="0"/>
              <w:rPr>
                <w:sz w:val="16"/>
                <w:szCs w:val="16"/>
                <w:color w:val="auto"/>
              </w:rPr>
            </w:pPr>
          </w:p>
        </w:tc>
        <w:tc>
          <w:tcPr>
            <w:tcW w:w="1140" w:type="dxa"/>
            <w:vAlign w:val="bottom"/>
            <w:tcBorders>
              <w:bottom w:val="single" w:sz="8" w:color="205BA8"/>
            </w:tcBorders>
          </w:tcPr>
          <w:p>
            <w:pPr>
              <w:spacing w:after="0"/>
              <w:rPr>
                <w:sz w:val="16"/>
                <w:szCs w:val="16"/>
                <w:color w:val="auto"/>
              </w:rPr>
            </w:pPr>
          </w:p>
        </w:tc>
        <w:tc>
          <w:tcPr>
            <w:tcW w:w="880" w:type="dxa"/>
            <w:vAlign w:val="bottom"/>
            <w:tcBorders>
              <w:bottom w:val="single" w:sz="8" w:color="205BA8"/>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720" w:hanging="203"/>
        <w:spacing w:after="0" w:line="235" w:lineRule="auto"/>
        <w:tabs>
          <w:tab w:leader="none" w:pos="720" w:val="left"/>
        </w:tabs>
        <w:numPr>
          <w:ilvl w:val="0"/>
          <w:numId w:val="35"/>
        </w:numPr>
        <w:rPr>
          <w:rFonts w:ascii="Arial" w:cs="Arial" w:eastAsia="Arial" w:hAnsi="Arial"/>
          <w:sz w:val="14"/>
          <w:szCs w:val="14"/>
          <w:b w:val="1"/>
          <w:bCs w:val="1"/>
          <w:color w:val="205BA8"/>
        </w:rPr>
      </w:pPr>
      <w:r>
        <w:rPr>
          <w:rFonts w:ascii="Arial" w:cs="Arial" w:eastAsia="Arial" w:hAnsi="Arial"/>
          <w:sz w:val="14"/>
          <w:szCs w:val="14"/>
          <w:color w:val="auto"/>
        </w:rPr>
        <w:t>The amounts in column (d) reflect the aggregate grant date fair value of options awarded during the year ended December 31, 2018 pursuant to the Amended and Restated Regeneron Pharmaceuticals, Inc. 2014 Long-Term Incentive Plan. Assumptions used in the calculation of this amount do not take into account expected forfeitures and are otherwise described in Note 14 to the Company’s audited financial statements for the fiscal year ended December 31, 2018 included in the 2018 Annual Report.</w:t>
      </w:r>
    </w:p>
    <w:p>
      <w:pPr>
        <w:spacing w:after="0" w:line="144" w:lineRule="exact"/>
        <w:rPr>
          <w:sz w:val="20"/>
          <w:szCs w:val="20"/>
          <w:color w:val="auto"/>
        </w:rPr>
      </w:pPr>
    </w:p>
    <w:p>
      <w:pPr>
        <w:ind w:left="720" w:hanging="203"/>
        <w:spacing w:after="0"/>
        <w:tabs>
          <w:tab w:leader="none" w:pos="720" w:val="left"/>
        </w:tabs>
        <w:numPr>
          <w:ilvl w:val="0"/>
          <w:numId w:val="36"/>
        </w:numPr>
        <w:rPr>
          <w:rFonts w:ascii="Arial" w:cs="Arial" w:eastAsia="Arial" w:hAnsi="Arial"/>
          <w:sz w:val="14"/>
          <w:szCs w:val="14"/>
          <w:b w:val="1"/>
          <w:bCs w:val="1"/>
          <w:color w:val="205BA8"/>
        </w:rPr>
      </w:pPr>
      <w:r>
        <w:rPr>
          <w:rFonts w:ascii="Arial" w:cs="Arial" w:eastAsia="Arial" w:hAnsi="Arial"/>
          <w:sz w:val="14"/>
          <w:szCs w:val="14"/>
          <w:color w:val="auto"/>
        </w:rPr>
        <w:t>At December 31, 2018, the non-employee directors and Dr. Vagelos had the following stock option awards outstanding: Mr. Baker: 108,069; Dr. Bassler: 25,230; Dr.</w:t>
      </w:r>
    </w:p>
    <w:p>
      <w:pPr>
        <w:ind w:left="720"/>
        <w:spacing w:after="0" w:line="232" w:lineRule="auto"/>
        <w:rPr>
          <w:rFonts w:ascii="Arial" w:cs="Arial" w:eastAsia="Arial" w:hAnsi="Arial"/>
          <w:sz w:val="14"/>
          <w:szCs w:val="14"/>
          <w:b w:val="1"/>
          <w:bCs w:val="1"/>
          <w:color w:val="205BA8"/>
        </w:rPr>
      </w:pPr>
      <w:r>
        <w:rPr>
          <w:rFonts w:ascii="Arial" w:cs="Arial" w:eastAsia="Arial" w:hAnsi="Arial"/>
          <w:sz w:val="14"/>
          <w:szCs w:val="14"/>
          <w:color w:val="auto"/>
        </w:rPr>
        <w:t>Brown: 46,069; Dr. Coles: 19,959; Dr. Goldstein: 42,110; Ms. Poon: 117,599; Mr. Ryan: 48,819; Mr. Sing: 108,069; Dr. Tessier-Lavigne: 77,348; Dr. Vagelos:</w:t>
      </w:r>
    </w:p>
    <w:p>
      <w:pPr>
        <w:ind w:left="720"/>
        <w:spacing w:after="0"/>
        <w:rPr>
          <w:rFonts w:ascii="Arial" w:cs="Arial" w:eastAsia="Arial" w:hAnsi="Arial"/>
          <w:sz w:val="14"/>
          <w:szCs w:val="14"/>
          <w:b w:val="1"/>
          <w:bCs w:val="1"/>
          <w:color w:val="205BA8"/>
        </w:rPr>
      </w:pPr>
      <w:r>
        <w:rPr>
          <w:rFonts w:ascii="Arial" w:cs="Arial" w:eastAsia="Arial" w:hAnsi="Arial"/>
          <w:sz w:val="14"/>
          <w:szCs w:val="14"/>
          <w:color w:val="auto"/>
        </w:rPr>
        <w:t>1,537,053; and Dr. Zoghbi: 25,230.</w:t>
      </w:r>
    </w:p>
    <w:p>
      <w:pPr>
        <w:spacing w:after="0" w:line="151" w:lineRule="exact"/>
        <w:rPr>
          <w:sz w:val="20"/>
          <w:szCs w:val="20"/>
          <w:color w:val="auto"/>
        </w:rPr>
      </w:pPr>
    </w:p>
    <w:p>
      <w:pPr>
        <w:ind w:left="720" w:right="660" w:hanging="203"/>
        <w:spacing w:after="0" w:line="239" w:lineRule="auto"/>
        <w:tabs>
          <w:tab w:leader="none" w:pos="720" w:val="left"/>
        </w:tabs>
        <w:numPr>
          <w:ilvl w:val="0"/>
          <w:numId w:val="37"/>
        </w:numPr>
        <w:rPr>
          <w:rFonts w:ascii="Arial" w:cs="Arial" w:eastAsia="Arial" w:hAnsi="Arial"/>
          <w:sz w:val="14"/>
          <w:szCs w:val="14"/>
          <w:b w:val="1"/>
          <w:bCs w:val="1"/>
          <w:color w:val="205BA8"/>
        </w:rPr>
      </w:pPr>
      <w:r>
        <w:rPr>
          <w:rFonts w:ascii="Arial" w:cs="Arial" w:eastAsia="Arial" w:hAnsi="Arial"/>
          <w:sz w:val="14"/>
          <w:szCs w:val="14"/>
          <w:color w:val="auto"/>
        </w:rPr>
        <w:t>Mr. Baker served as a director through the conclusion of the 2018 Annual Meeting of Shareholders on June 8, 2018; accordingly, his 2018 fees were prorated based on his time of service.</w:t>
      </w:r>
    </w:p>
    <w:p>
      <w:pPr>
        <w:spacing w:after="0" w:line="147" w:lineRule="exact"/>
        <w:rPr>
          <w:sz w:val="20"/>
          <w:szCs w:val="20"/>
          <w:color w:val="auto"/>
        </w:rPr>
      </w:pPr>
    </w:p>
    <w:p>
      <w:pPr>
        <w:ind w:left="720" w:right="700" w:hanging="203"/>
        <w:spacing w:after="0" w:line="239" w:lineRule="auto"/>
        <w:tabs>
          <w:tab w:leader="none" w:pos="720" w:val="left"/>
        </w:tabs>
        <w:numPr>
          <w:ilvl w:val="0"/>
          <w:numId w:val="38"/>
        </w:numPr>
        <w:rPr>
          <w:rFonts w:ascii="Arial" w:cs="Arial" w:eastAsia="Arial" w:hAnsi="Arial"/>
          <w:sz w:val="14"/>
          <w:szCs w:val="14"/>
          <w:b w:val="1"/>
          <w:bCs w:val="1"/>
          <w:color w:val="205BA8"/>
        </w:rPr>
      </w:pPr>
      <w:r>
        <w:rPr>
          <w:rFonts w:ascii="Arial" w:cs="Arial" w:eastAsia="Arial" w:hAnsi="Arial"/>
          <w:sz w:val="14"/>
          <w:szCs w:val="14"/>
          <w:color w:val="auto"/>
        </w:rPr>
        <w:t>Dr. Coles was elected as a member of the board of directors on January 27, 2017; accordingly, the number of shares of common stock underlying his January 2018 annual stock option award was prorated based on his election date.</w:t>
      </w:r>
    </w:p>
    <w:p>
      <w:pPr>
        <w:spacing w:after="0" w:line="147" w:lineRule="exact"/>
        <w:rPr>
          <w:sz w:val="20"/>
          <w:szCs w:val="20"/>
          <w:color w:val="auto"/>
        </w:rPr>
      </w:pPr>
    </w:p>
    <w:p>
      <w:pPr>
        <w:ind w:left="720" w:right="820" w:hanging="203"/>
        <w:spacing w:after="0" w:line="239" w:lineRule="auto"/>
        <w:tabs>
          <w:tab w:leader="none" w:pos="720" w:val="left"/>
        </w:tabs>
        <w:numPr>
          <w:ilvl w:val="0"/>
          <w:numId w:val="39"/>
        </w:numPr>
        <w:rPr>
          <w:rFonts w:ascii="Arial" w:cs="Arial" w:eastAsia="Arial" w:hAnsi="Arial"/>
          <w:sz w:val="14"/>
          <w:szCs w:val="14"/>
          <w:b w:val="1"/>
          <w:bCs w:val="1"/>
          <w:color w:val="205BA8"/>
        </w:rPr>
      </w:pPr>
      <w:r>
        <w:rPr>
          <w:rFonts w:ascii="Arial" w:cs="Arial" w:eastAsia="Arial" w:hAnsi="Arial"/>
          <w:sz w:val="14"/>
          <w:szCs w:val="14"/>
          <w:color w:val="auto"/>
        </w:rPr>
        <w:t>Consists of a Company contribution paid or payable on or before April 17, 2019 under the Regeneron Matching Gift Program in respect of charitable gifts made in 2018.</w:t>
      </w:r>
    </w:p>
    <w:p>
      <w:pPr>
        <w:spacing w:after="0" w:line="147" w:lineRule="exact"/>
        <w:rPr>
          <w:sz w:val="20"/>
          <w:szCs w:val="20"/>
          <w:color w:val="auto"/>
        </w:rPr>
      </w:pPr>
    </w:p>
    <w:p>
      <w:pPr>
        <w:ind w:left="720" w:right="640" w:hanging="203"/>
        <w:spacing w:after="0" w:line="235" w:lineRule="auto"/>
        <w:tabs>
          <w:tab w:leader="none" w:pos="720" w:val="left"/>
        </w:tabs>
        <w:numPr>
          <w:ilvl w:val="0"/>
          <w:numId w:val="40"/>
        </w:numPr>
        <w:rPr>
          <w:rFonts w:ascii="Arial" w:cs="Arial" w:eastAsia="Arial" w:hAnsi="Arial"/>
          <w:sz w:val="14"/>
          <w:szCs w:val="14"/>
          <w:b w:val="1"/>
          <w:bCs w:val="1"/>
          <w:color w:val="205BA8"/>
        </w:rPr>
      </w:pPr>
      <w:r>
        <w:rPr>
          <w:rFonts w:ascii="Arial" w:cs="Arial" w:eastAsia="Arial" w:hAnsi="Arial"/>
          <w:sz w:val="14"/>
          <w:szCs w:val="14"/>
          <w:color w:val="auto"/>
        </w:rPr>
        <w:t>Consists of (i) $100,000 for the salary paid pursuant to the terms of our employment agreement with Dr. Vagelos; (ii) $4,000 for 401(k) Savings Plan matching contributions in respect of 2018 paid in February 2019; (iii) $125,000 for fees the Company paid on behalf of Dr. Vagelos associated with a filing required to be made by Dr. Vagelos under the Hart-Scott-Rodino Antitrust Improvements Act of 1976, as amended, which related to an anticipated acquisition by Dr. Vagelos of common stock upon exercise of his stock options; and (iv) $120,101 for a tax reimbursement related to the fees referenced in (iii).</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31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9050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00190" cy="905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FFFFFF"/>
        </w:rPr>
        <w:t>PROPOSAL</w:t>
      </w:r>
    </w:p>
    <w:p>
      <w:pPr>
        <w:jc w:val="center"/>
        <w:spacing w:after="0"/>
        <w:rPr>
          <w:sz w:val="20"/>
          <w:szCs w:val="20"/>
          <w:color w:val="auto"/>
        </w:rPr>
      </w:pPr>
      <w:r>
        <w:rPr>
          <w:rFonts w:ascii="Arial" w:cs="Arial" w:eastAsia="Arial" w:hAnsi="Arial"/>
          <w:sz w:val="194"/>
          <w:szCs w:val="194"/>
          <w:b w:val="1"/>
          <w:bCs w:val="1"/>
          <w:color w:val="FFFFFF"/>
        </w:rPr>
        <w:t>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right="940"/>
        <w:spacing w:after="0" w:line="244" w:lineRule="auto"/>
        <w:rPr>
          <w:sz w:val="20"/>
          <w:szCs w:val="20"/>
          <w:color w:val="auto"/>
        </w:rPr>
      </w:pPr>
      <w:r>
        <w:rPr>
          <w:rFonts w:ascii="Arial" w:cs="Arial" w:eastAsia="Arial" w:hAnsi="Arial"/>
          <w:sz w:val="17"/>
          <w:szCs w:val="17"/>
          <w:color w:val="FFFFFF"/>
        </w:rPr>
        <w:t>The board of directors, upon the recommendation of the Corporate Governance and Compliance Committee, has nominated for election at the 2019 Annual Meeting Bonnie L. Bassler, Ph.D., Michael S. Brown, M.D., Leonard S. Schleifer, M.D., Ph.D., and George D. Yancopoulos, M.D., Ph.D., as Class I Directors for a three-year term expiring at the 2022 Annual Meeting.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580" w:right="460"/>
        <w:spacing w:after="0" w:line="277" w:lineRule="auto"/>
        <w:rPr>
          <w:sz w:val="20"/>
          <w:szCs w:val="20"/>
          <w:color w:val="auto"/>
        </w:rPr>
      </w:pPr>
      <w:r>
        <w:rPr>
          <w:rFonts w:ascii="Arial" w:cs="Arial" w:eastAsia="Arial" w:hAnsi="Arial"/>
          <w:sz w:val="23"/>
          <w:szCs w:val="23"/>
          <w:color w:val="FFFFFF"/>
        </w:rPr>
        <w:t xml:space="preserve">The board of directors unanimously recommends a vote </w:t>
      </w:r>
      <w:r>
        <w:rPr>
          <w:rFonts w:ascii="Arial" w:cs="Arial" w:eastAsia="Arial" w:hAnsi="Arial"/>
          <w:sz w:val="23"/>
          <w:szCs w:val="23"/>
          <w:b w:val="1"/>
          <w:bCs w:val="1"/>
          <w:color w:val="FFFFFF"/>
        </w:rPr>
        <w:t>FOR</w:t>
      </w:r>
      <w:r>
        <w:rPr>
          <w:rFonts w:ascii="Arial" w:cs="Arial" w:eastAsia="Arial" w:hAnsi="Arial"/>
          <w:sz w:val="23"/>
          <w:szCs w:val="23"/>
          <w:color w:val="FFFFFF"/>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 xml:space="preserve">32  </w:t>
      </w:r>
      <w:r>
        <w:rPr>
          <w:rFonts w:ascii="Arial" w:cs="Arial" w:eastAsia="Arial" w:hAnsi="Arial"/>
          <w:sz w:val="14"/>
          <w:szCs w:val="14"/>
          <w:color w:val="FFFFFF"/>
        </w:rPr>
        <w:t xml:space="preserve">/  </w:t>
      </w:r>
      <w:r>
        <w:rPr>
          <w:sz w:val="1"/>
          <w:szCs w:val="1"/>
          <w:color w:val="auto"/>
        </w:rPr>
        <w:drawing>
          <wp:inline distT="0" distB="0" distL="0" distR="0">
            <wp:extent cx="684530" cy="825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4530" cy="82550"/>
                    </a:xfrm>
                    <a:prstGeom prst="rect">
                      <a:avLst/>
                    </a:prstGeom>
                    <a:noFill/>
                    <a:ln>
                      <a:noFill/>
                    </a:ln>
                  </pic:spPr>
                </pic:pic>
              </a:graphicData>
            </a:graphic>
          </wp:inline>
        </w:drawing>
      </w:r>
      <w:r>
        <w:rPr>
          <w:rFonts w:ascii="Arial" w:cs="Arial" w:eastAsia="Arial" w:hAnsi="Arial"/>
          <w:sz w:val="12"/>
          <w:szCs w:val="12"/>
          <w:b w:val="1"/>
          <w:bCs w:val="1"/>
          <w:color w:val="FFFFFF"/>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688975</wp:posOffset>
            </wp:positionV>
            <wp:extent cx="7251700"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360"/>
          </w:cols>
          <w:pgMar w:left="1280" w:top="1440" w:right="1259" w:bottom="1440" w:gutter="0" w:footer="0" w:header="0"/>
        </w:sectPr>
      </w:pPr>
    </w:p>
    <w:bookmarkStart w:id="45" w:name="page46"/>
    <w:bookmarkEnd w:id="45"/>
    <w:p>
      <w:pPr>
        <w:ind w:left="6240"/>
        <w:spacing w:after="0"/>
        <w:rPr>
          <w:sz w:val="20"/>
          <w:szCs w:val="20"/>
          <w:color w:val="auto"/>
        </w:rPr>
      </w:pPr>
      <w:r>
        <w:rPr>
          <w:rFonts w:ascii="Arial" w:cs="Arial" w:eastAsia="Arial" w:hAnsi="Arial"/>
          <w:sz w:val="55"/>
          <w:szCs w:val="55"/>
          <w:b w:val="1"/>
          <w:bCs w:val="1"/>
          <w:color w:val="205BA8"/>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380" w:right="740"/>
        <w:spacing w:after="0" w:line="281" w:lineRule="auto"/>
        <w:rPr>
          <w:sz w:val="20"/>
          <w:szCs w:val="20"/>
          <w:color w:val="auto"/>
        </w:rPr>
      </w:pPr>
      <w:r>
        <w:rPr>
          <w:rFonts w:ascii="Arial" w:cs="Arial" w:eastAsia="Arial" w:hAnsi="Arial"/>
          <w:sz w:val="55"/>
          <w:szCs w:val="55"/>
          <w:b w:val="1"/>
          <w:bCs w:val="1"/>
          <w:color w:val="205BA8"/>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-90170</wp:posOffset>
            </wp:positionV>
            <wp:extent cx="54121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12105" cy="8255"/>
                    </a:xfrm>
                    <a:prstGeom prst="rect">
                      <a:avLst/>
                    </a:prstGeom>
                    <a:noFill/>
                  </pic:spPr>
                </pic:pic>
              </a:graphicData>
            </a:graphic>
          </wp:anchor>
        </w:drawing>
      </w:r>
    </w:p>
    <w:p>
      <w:pPr>
        <w:spacing w:after="0" w:line="4" w:lineRule="exact"/>
        <w:rPr>
          <w:sz w:val="20"/>
          <w:szCs w:val="20"/>
          <w:color w:val="auto"/>
        </w:rPr>
      </w:pPr>
    </w:p>
    <w:p>
      <w:pPr>
        <w:ind w:left="2380" w:right="600"/>
        <w:spacing w:after="0" w:line="239" w:lineRule="auto"/>
        <w:rPr>
          <w:sz w:val="20"/>
          <w:szCs w:val="20"/>
          <w:color w:val="auto"/>
        </w:rPr>
      </w:pPr>
      <w:r>
        <w:rPr>
          <w:rFonts w:ascii="Arial" w:cs="Arial" w:eastAsia="Arial" w:hAnsi="Arial"/>
          <w:sz w:val="14"/>
          <w:szCs w:val="14"/>
          <w:color w:val="auto"/>
        </w:rPr>
        <w:t>All officers of the Company are appointed annually and serve at the pleasure of the board of directors. The names, positions, ages, and background of the Company’s executive officers as of April 17, 2019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-9525</wp:posOffset>
            </wp:positionV>
            <wp:extent cx="824865" cy="824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4865" cy="824865"/>
                    </a:xfrm>
                    <a:prstGeom prst="rect">
                      <a:avLst/>
                    </a:prstGeom>
                    <a:noFill/>
                  </pic:spPr>
                </pic:pic>
              </a:graphicData>
            </a:graphic>
          </wp:anchor>
        </w:drawing>
      </w:r>
    </w:p>
    <w:p>
      <w:pPr>
        <w:spacing w:after="0" w:line="152" w:lineRule="exact"/>
        <w:rPr>
          <w:sz w:val="20"/>
          <w:szCs w:val="20"/>
          <w:color w:val="auto"/>
        </w:rPr>
      </w:pPr>
    </w:p>
    <w:p>
      <w:pPr>
        <w:ind w:left="2380" w:right="520"/>
        <w:spacing w:after="0" w:line="226" w:lineRule="auto"/>
        <w:rPr>
          <w:sz w:val="20"/>
          <w:szCs w:val="20"/>
          <w:color w:val="auto"/>
        </w:rPr>
      </w:pPr>
      <w:r>
        <w:rPr>
          <w:rFonts w:ascii="Arial" w:cs="Arial" w:eastAsia="Arial" w:hAnsi="Arial"/>
          <w:sz w:val="15"/>
          <w:szCs w:val="15"/>
          <w:b w:val="1"/>
          <w:bCs w:val="1"/>
          <w:color w:val="205BA8"/>
        </w:rPr>
        <w:t xml:space="preserve">Leonard S. Schleifer, M.D., Ph.D., </w:t>
      </w:r>
      <w:r>
        <w:rPr>
          <w:rFonts w:ascii="Arial" w:cs="Arial" w:eastAsia="Arial" w:hAnsi="Arial"/>
          <w:sz w:val="15"/>
          <w:szCs w:val="15"/>
          <w:color w:val="000000"/>
        </w:rPr>
        <w:t>66, founded the Company in 1988, has been a Director and its President and Chief Executive</w:t>
      </w:r>
      <w:r>
        <w:rPr>
          <w:rFonts w:ascii="Arial" w:cs="Arial" w:eastAsia="Arial" w:hAnsi="Arial"/>
          <w:sz w:val="15"/>
          <w:szCs w:val="15"/>
          <w:b w:val="1"/>
          <w:bCs w:val="1"/>
          <w:color w:val="205BA8"/>
        </w:rPr>
        <w:t xml:space="preserve"> </w:t>
      </w:r>
      <w:r>
        <w:rPr>
          <w:rFonts w:ascii="Arial" w:cs="Arial" w:eastAsia="Arial" w:hAnsi="Arial"/>
          <w:sz w:val="15"/>
          <w:szCs w:val="15"/>
          <w:color w:val="000000"/>
        </w:rPr>
        <w:t>Officer since its inception, and served as Chairman of the Board from 1990 through 1994. Dr. Schleifer, together with Regeneron’s founding scientist, Dr. Yancopoulos, built and has managed the Company over the past 31 years. Dr. Schleifer received his M.D. and Ph.D. in Pharmacology from the University of Virginia. Dr. Schleifer is a licensed physician and is certified in Neurology by the American Board of Psychiatry and Neurology.</w:t>
      </w:r>
    </w:p>
    <w:p>
      <w:pPr>
        <w:spacing w:after="0" w:line="200" w:lineRule="exact"/>
        <w:rPr>
          <w:sz w:val="20"/>
          <w:szCs w:val="20"/>
          <w:color w:val="auto"/>
        </w:rPr>
      </w:pPr>
    </w:p>
    <w:p>
      <w:pPr>
        <w:spacing w:after="0" w:line="248" w:lineRule="exact"/>
        <w:rPr>
          <w:sz w:val="20"/>
          <w:szCs w:val="20"/>
          <w:color w:val="auto"/>
        </w:rPr>
      </w:pPr>
    </w:p>
    <w:p>
      <w:pPr>
        <w:ind w:left="2380" w:right="560"/>
        <w:spacing w:after="0" w:line="236" w:lineRule="auto"/>
        <w:rPr>
          <w:sz w:val="20"/>
          <w:szCs w:val="20"/>
          <w:color w:val="auto"/>
        </w:rPr>
      </w:pPr>
      <w:r>
        <w:rPr>
          <w:rFonts w:ascii="Arial" w:cs="Arial" w:eastAsia="Arial" w:hAnsi="Arial"/>
          <w:sz w:val="14"/>
          <w:szCs w:val="14"/>
          <w:b w:val="1"/>
          <w:bCs w:val="1"/>
          <w:color w:val="205BA8"/>
        </w:rPr>
        <w:t xml:space="preserve">George D. Yancopoulos, M.D., Ph.D., </w:t>
      </w:r>
      <w:r>
        <w:rPr>
          <w:rFonts w:ascii="Arial" w:cs="Arial" w:eastAsia="Arial" w:hAnsi="Arial"/>
          <w:sz w:val="14"/>
          <w:szCs w:val="14"/>
          <w:color w:val="000000"/>
        </w:rPr>
        <w:t>59, joined Dr. Schleifer in 1989 as founding scientist of the Company, and together they built</w:t>
      </w:r>
      <w:r>
        <w:rPr>
          <w:rFonts w:ascii="Arial" w:cs="Arial" w:eastAsia="Arial" w:hAnsi="Arial"/>
          <w:sz w:val="14"/>
          <w:szCs w:val="14"/>
          <w:b w:val="1"/>
          <w:bCs w:val="1"/>
          <w:color w:val="205BA8"/>
        </w:rPr>
        <w:t xml:space="preserve"> </w:t>
      </w:r>
      <w:r>
        <w:rPr>
          <w:rFonts w:ascii="Arial" w:cs="Arial" w:eastAsia="Arial" w:hAnsi="Arial"/>
          <w:sz w:val="14"/>
          <w:szCs w:val="14"/>
          <w:color w:val="000000"/>
        </w:rPr>
        <w:t>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seven FDA-approved drugs the</w:t>
      </w:r>
    </w:p>
    <w:p>
      <w:pPr>
        <w:spacing w:after="0" w:line="2" w:lineRule="exact"/>
        <w:rPr>
          <w:sz w:val="20"/>
          <w:szCs w:val="20"/>
          <w:color w:val="auto"/>
        </w:rPr>
      </w:pPr>
    </w:p>
    <w:p>
      <w:pPr>
        <w:ind w:left="2380" w:right="900"/>
        <w:spacing w:after="0" w:line="213" w:lineRule="auto"/>
        <w:rPr>
          <w:sz w:val="20"/>
          <w:szCs w:val="20"/>
          <w:color w:val="auto"/>
        </w:rPr>
      </w:pPr>
      <w:r>
        <w:rPr>
          <w:rFonts w:ascii="Arial" w:cs="Arial" w:eastAsia="Arial" w:hAnsi="Arial"/>
          <w:sz w:val="15"/>
          <w:szCs w:val="15"/>
          <w:color w:val="auto"/>
        </w:rPr>
        <w:t>Company has developed, EYLEA</w:t>
      </w:r>
      <w:r>
        <w:rPr>
          <w:rFonts w:ascii="Arial" w:cs="Arial" w:eastAsia="Arial" w:hAnsi="Arial"/>
          <w:sz w:val="24"/>
          <w:szCs w:val="24"/>
          <w:color w:val="auto"/>
          <w:vertAlign w:val="superscript"/>
        </w:rPr>
        <w:t>®</w:t>
      </w:r>
      <w:r>
        <w:rPr>
          <w:rFonts w:ascii="Arial" w:cs="Arial" w:eastAsia="Arial" w:hAnsi="Arial"/>
          <w:sz w:val="15"/>
          <w:szCs w:val="15"/>
          <w:color w:val="auto"/>
        </w:rPr>
        <w:t>, Praluent</w:t>
      </w:r>
      <w:r>
        <w:rPr>
          <w:rFonts w:ascii="Arial" w:cs="Arial" w:eastAsia="Arial" w:hAnsi="Arial"/>
          <w:sz w:val="24"/>
          <w:szCs w:val="24"/>
          <w:color w:val="auto"/>
          <w:vertAlign w:val="superscript"/>
        </w:rPr>
        <w:t>®</w:t>
      </w:r>
      <w:r>
        <w:rPr>
          <w:rFonts w:ascii="Arial" w:cs="Arial" w:eastAsia="Arial" w:hAnsi="Arial"/>
          <w:sz w:val="15"/>
          <w:szCs w:val="15"/>
          <w:color w:val="auto"/>
        </w:rPr>
        <w:t>, Dupixent</w:t>
      </w:r>
      <w:r>
        <w:rPr>
          <w:rFonts w:ascii="Arial" w:cs="Arial" w:eastAsia="Arial" w:hAnsi="Arial"/>
          <w:sz w:val="24"/>
          <w:szCs w:val="24"/>
          <w:color w:val="auto"/>
          <w:vertAlign w:val="superscript"/>
        </w:rPr>
        <w:t>®</w:t>
      </w:r>
      <w:r>
        <w:rPr>
          <w:rFonts w:ascii="Arial" w:cs="Arial" w:eastAsia="Arial" w:hAnsi="Arial"/>
          <w:sz w:val="15"/>
          <w:szCs w:val="15"/>
          <w:color w:val="auto"/>
        </w:rPr>
        <w:t>, Kevzara</w:t>
      </w:r>
      <w:r>
        <w:rPr>
          <w:rFonts w:ascii="Arial" w:cs="Arial" w:eastAsia="Arial" w:hAnsi="Arial"/>
          <w:sz w:val="24"/>
          <w:szCs w:val="24"/>
          <w:color w:val="auto"/>
          <w:vertAlign w:val="superscript"/>
        </w:rPr>
        <w:t>®</w:t>
      </w:r>
      <w:r>
        <w:rPr>
          <w:rFonts w:ascii="Arial" w:cs="Arial" w:eastAsia="Arial" w:hAnsi="Arial"/>
          <w:sz w:val="15"/>
          <w:szCs w:val="15"/>
          <w:color w:val="auto"/>
        </w:rPr>
        <w:t>, Libtayo</w:t>
      </w:r>
      <w:r>
        <w:rPr>
          <w:rFonts w:ascii="Arial" w:cs="Arial" w:eastAsia="Arial" w:hAnsi="Arial"/>
          <w:sz w:val="24"/>
          <w:szCs w:val="24"/>
          <w:color w:val="auto"/>
          <w:vertAlign w:val="superscript"/>
        </w:rPr>
        <w:t>®</w:t>
      </w:r>
      <w:r>
        <w:rPr>
          <w:rFonts w:ascii="Arial" w:cs="Arial" w:eastAsia="Arial" w:hAnsi="Arial"/>
          <w:sz w:val="15"/>
          <w:szCs w:val="15"/>
          <w:color w:val="auto"/>
        </w:rPr>
        <w:t>, ZALTRAP</w:t>
      </w:r>
      <w:r>
        <w:rPr>
          <w:rFonts w:ascii="Arial" w:cs="Arial" w:eastAsia="Arial" w:hAnsi="Arial"/>
          <w:sz w:val="24"/>
          <w:szCs w:val="24"/>
          <w:color w:val="auto"/>
          <w:vertAlign w:val="superscript"/>
        </w:rPr>
        <w:t>®</w:t>
      </w:r>
      <w:r>
        <w:rPr>
          <w:rFonts w:ascii="Arial" w:cs="Arial" w:eastAsia="Arial" w:hAnsi="Arial"/>
          <w:sz w:val="15"/>
          <w:szCs w:val="15"/>
          <w:color w:val="auto"/>
        </w:rPr>
        <w:t>, and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as well as of its foundation technologies, including the TRAP technology, </w:t>
      </w:r>
      <w:r>
        <w:rPr>
          <w:rFonts w:ascii="Arial" w:cs="Arial" w:eastAsia="Arial" w:hAnsi="Arial"/>
          <w:sz w:val="15"/>
          <w:szCs w:val="15"/>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5"/>
          <w:szCs w:val="15"/>
          <w:color w:val="auto"/>
        </w:rPr>
        <w:t>.</w:t>
      </w:r>
    </w:p>
    <w:p>
      <w:pPr>
        <w:spacing w:after="0" w:line="172" w:lineRule="exact"/>
        <w:rPr>
          <w:sz w:val="20"/>
          <w:szCs w:val="20"/>
          <w:color w:val="auto"/>
        </w:rPr>
      </w:pPr>
    </w:p>
    <w:p>
      <w:pPr>
        <w:ind w:left="2380" w:right="640"/>
        <w:spacing w:after="0" w:line="224" w:lineRule="auto"/>
        <w:rPr>
          <w:sz w:val="20"/>
          <w:szCs w:val="20"/>
          <w:color w:val="auto"/>
        </w:rPr>
      </w:pPr>
      <w:r>
        <w:rPr>
          <w:rFonts w:ascii="Arial" w:cs="Arial" w:eastAsia="Arial" w:hAnsi="Arial"/>
          <w:sz w:val="15"/>
          <w:szCs w:val="15"/>
          <w:b w:val="1"/>
          <w:bCs w:val="1"/>
          <w:color w:val="205BA8"/>
        </w:rPr>
        <w:t xml:space="preserve">Christopher Fenimore, </w:t>
      </w:r>
      <w:r>
        <w:rPr>
          <w:rFonts w:ascii="Arial" w:cs="Arial" w:eastAsia="Arial" w:hAnsi="Arial"/>
          <w:sz w:val="15"/>
          <w:szCs w:val="15"/>
          <w:color w:val="000000"/>
        </w:rPr>
        <w:t>48, has been Vice President, Controller since March 2017. From January 2017 to March 2017, he served</w:t>
      </w:r>
      <w:r>
        <w:rPr>
          <w:rFonts w:ascii="Arial" w:cs="Arial" w:eastAsia="Arial" w:hAnsi="Arial"/>
          <w:sz w:val="15"/>
          <w:szCs w:val="15"/>
          <w:b w:val="1"/>
          <w:bCs w:val="1"/>
          <w:color w:val="205BA8"/>
        </w:rPr>
        <w:t xml:space="preserve"> </w:t>
      </w:r>
      <w:r>
        <w:rPr>
          <w:rFonts w:ascii="Arial" w:cs="Arial" w:eastAsia="Arial" w:hAnsi="Arial"/>
          <w:sz w:val="15"/>
          <w:szCs w:val="15"/>
          <w:color w:val="000000"/>
        </w:rPr>
        <w:t>as Vice President, Deputy Controller, and previously served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-702310</wp:posOffset>
            </wp:positionV>
            <wp:extent cx="824865" cy="8166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4865" cy="816610"/>
                    </a:xfrm>
                    <a:prstGeom prst="rect">
                      <a:avLst/>
                    </a:prstGeom>
                    <a:noFill/>
                  </pic:spPr>
                </pic:pic>
              </a:graphicData>
            </a:graphic>
          </wp:anchor>
        </w:drawing>
      </w:r>
    </w:p>
    <w:p>
      <w:pPr>
        <w:spacing w:after="0" w:line="295" w:lineRule="exact"/>
        <w:rPr>
          <w:sz w:val="20"/>
          <w:szCs w:val="20"/>
          <w:color w:val="auto"/>
        </w:rPr>
      </w:pPr>
    </w:p>
    <w:p>
      <w:pPr>
        <w:ind w:left="2380" w:right="640"/>
        <w:spacing w:after="0" w:line="223" w:lineRule="auto"/>
        <w:rPr>
          <w:sz w:val="20"/>
          <w:szCs w:val="20"/>
          <w:color w:val="auto"/>
        </w:rPr>
      </w:pPr>
      <w:r>
        <w:rPr>
          <w:rFonts w:ascii="Arial" w:cs="Arial" w:eastAsia="Arial" w:hAnsi="Arial"/>
          <w:sz w:val="15"/>
          <w:szCs w:val="15"/>
          <w:b w:val="1"/>
          <w:bCs w:val="1"/>
          <w:color w:val="205BA8"/>
        </w:rPr>
        <w:t xml:space="preserve">Robert E. Landry, </w:t>
      </w:r>
      <w:r>
        <w:rPr>
          <w:rFonts w:ascii="Arial" w:cs="Arial" w:eastAsia="Arial" w:hAnsi="Arial"/>
          <w:sz w:val="15"/>
          <w:szCs w:val="15"/>
          <w:color w:val="000000"/>
        </w:rPr>
        <w:t>55, has been Executive Vice President, Finance since January 2019 and Chief Financial Officer since October</w:t>
      </w:r>
      <w:r>
        <w:rPr>
          <w:rFonts w:ascii="Arial" w:cs="Arial" w:eastAsia="Arial" w:hAnsi="Arial"/>
          <w:sz w:val="15"/>
          <w:szCs w:val="15"/>
          <w:b w:val="1"/>
          <w:bCs w:val="1"/>
          <w:color w:val="205BA8"/>
        </w:rPr>
        <w:t xml:space="preserve"> </w:t>
      </w:r>
      <w:r>
        <w:rPr>
          <w:rFonts w:ascii="Arial" w:cs="Arial" w:eastAsia="Arial" w:hAnsi="Arial"/>
          <w:sz w:val="15"/>
          <w:szCs w:val="15"/>
          <w:color w:val="000000"/>
        </w:rPr>
        <w:t>2013. From September 2013 to December 2018, he served as Senior Vice President, Finance.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 Mr. Landry holds a B.B.A. in Accounting from the University of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-800735</wp:posOffset>
            </wp:positionV>
            <wp:extent cx="824865" cy="816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4865" cy="81661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33</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26"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95" w:lineRule="exact"/>
        <w:rPr>
          <w:sz w:val="20"/>
          <w:szCs w:val="20"/>
          <w:color w:val="auto"/>
        </w:rPr>
      </w:pPr>
    </w:p>
    <w:p>
      <w:pPr>
        <w:ind w:left="1860" w:right="140"/>
        <w:spacing w:after="0" w:line="225" w:lineRule="auto"/>
        <w:rPr>
          <w:sz w:val="20"/>
          <w:szCs w:val="20"/>
          <w:color w:val="auto"/>
        </w:rPr>
      </w:pPr>
      <w:r>
        <w:rPr>
          <w:rFonts w:ascii="Arial" w:cs="Arial" w:eastAsia="Arial" w:hAnsi="Arial"/>
          <w:sz w:val="15"/>
          <w:szCs w:val="15"/>
          <w:b w:val="1"/>
          <w:bCs w:val="1"/>
          <w:color w:val="205BA8"/>
        </w:rPr>
        <w:t xml:space="preserve">Joseph J. LaRosa, </w:t>
      </w:r>
      <w:r>
        <w:rPr>
          <w:rFonts w:ascii="Arial" w:cs="Arial" w:eastAsia="Arial" w:hAnsi="Arial"/>
          <w:sz w:val="15"/>
          <w:szCs w:val="15"/>
          <w:color w:val="000000"/>
        </w:rPr>
        <w:t>60, has been Executive Vice President, General Counsel and Secretary since January 2019. From September</w:t>
      </w:r>
      <w:r>
        <w:rPr>
          <w:rFonts w:ascii="Arial" w:cs="Arial" w:eastAsia="Arial" w:hAnsi="Arial"/>
          <w:sz w:val="15"/>
          <w:szCs w:val="15"/>
          <w:b w:val="1"/>
          <w:bCs w:val="1"/>
          <w:color w:val="205BA8"/>
        </w:rPr>
        <w:t xml:space="preserve"> </w:t>
      </w:r>
      <w:r>
        <w:rPr>
          <w:rFonts w:ascii="Arial" w:cs="Arial" w:eastAsia="Arial" w:hAnsi="Arial"/>
          <w:sz w:val="15"/>
          <w:szCs w:val="15"/>
          <w:color w:val="000000"/>
        </w:rPr>
        <w:t>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-602615</wp:posOffset>
            </wp:positionV>
            <wp:extent cx="824865" cy="824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4865" cy="82486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860" w:right="40"/>
        <w:spacing w:after="0" w:line="237" w:lineRule="auto"/>
        <w:rPr>
          <w:sz w:val="20"/>
          <w:szCs w:val="20"/>
          <w:color w:val="auto"/>
        </w:rPr>
      </w:pPr>
      <w:r>
        <w:rPr>
          <w:rFonts w:ascii="Arial" w:cs="Arial" w:eastAsia="Arial" w:hAnsi="Arial"/>
          <w:sz w:val="14"/>
          <w:szCs w:val="14"/>
          <w:b w:val="1"/>
          <w:bCs w:val="1"/>
          <w:color w:val="205BA8"/>
        </w:rPr>
        <w:t xml:space="preserve">Marion McCourt, </w:t>
      </w:r>
      <w:r>
        <w:rPr>
          <w:rFonts w:ascii="Arial" w:cs="Arial" w:eastAsia="Arial" w:hAnsi="Arial"/>
          <w:sz w:val="14"/>
          <w:szCs w:val="14"/>
          <w:color w:val="000000"/>
        </w:rPr>
        <w:t>59, has been Senior Vice President, Commercial since February 2018. From April 2017 until joining the Company,</w:t>
      </w:r>
      <w:r>
        <w:rPr>
          <w:rFonts w:ascii="Arial" w:cs="Arial" w:eastAsia="Arial" w:hAnsi="Arial"/>
          <w:sz w:val="14"/>
          <w:szCs w:val="14"/>
          <w:b w:val="1"/>
          <w:bCs w:val="1"/>
          <w:color w:val="205BA8"/>
        </w:rPr>
        <w:t xml:space="preserve"> </w:t>
      </w:r>
      <w:r>
        <w:rPr>
          <w:rFonts w:ascii="Arial" w:cs="Arial" w:eastAsia="Arial" w:hAnsi="Arial"/>
          <w:sz w:val="14"/>
          <w:szCs w:val="14"/>
          <w:color w:val="000000"/>
        </w:rPr>
        <w:t>Ms. McCourt served as the Principal Operating Officer and the Chief Operating Officer and President of Axovant Sciences, Inc. Ms. 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-1097280</wp:posOffset>
            </wp:positionV>
            <wp:extent cx="824865" cy="824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4865" cy="824865"/>
                    </a:xfrm>
                    <a:prstGeom prst="rect">
                      <a:avLst/>
                    </a:prstGeom>
                    <a:noFill/>
                  </pic:spPr>
                </pic:pic>
              </a:graphicData>
            </a:graphic>
          </wp:anchor>
        </w:drawing>
      </w:r>
    </w:p>
    <w:p>
      <w:pPr>
        <w:spacing w:after="0" w:line="102" w:lineRule="exact"/>
        <w:rPr>
          <w:sz w:val="20"/>
          <w:szCs w:val="20"/>
          <w:color w:val="auto"/>
        </w:rPr>
      </w:pPr>
    </w:p>
    <w:p>
      <w:pPr>
        <w:ind w:left="1860" w:right="40"/>
        <w:spacing w:after="0" w:line="225" w:lineRule="auto"/>
        <w:rPr>
          <w:sz w:val="20"/>
          <w:szCs w:val="20"/>
          <w:color w:val="auto"/>
        </w:rPr>
      </w:pPr>
      <w:r>
        <w:rPr>
          <w:rFonts w:ascii="Arial" w:cs="Arial" w:eastAsia="Arial" w:hAnsi="Arial"/>
          <w:sz w:val="15"/>
          <w:szCs w:val="15"/>
          <w:b w:val="1"/>
          <w:bCs w:val="1"/>
          <w:color w:val="205BA8"/>
        </w:rPr>
        <w:t xml:space="preserve">Neil Stahl, Ph.D., </w:t>
      </w:r>
      <w:r>
        <w:rPr>
          <w:rFonts w:ascii="Arial" w:cs="Arial" w:eastAsia="Arial" w:hAnsi="Arial"/>
          <w:sz w:val="15"/>
          <w:szCs w:val="15"/>
          <w:color w:val="000000"/>
        </w:rPr>
        <w:t>62, has been Executive Vice President, Research and Development since January 2015. He previously served as</w:t>
      </w:r>
      <w:r>
        <w:rPr>
          <w:rFonts w:ascii="Arial" w:cs="Arial" w:eastAsia="Arial" w:hAnsi="Arial"/>
          <w:sz w:val="15"/>
          <w:szCs w:val="15"/>
          <w:b w:val="1"/>
          <w:bCs w:val="1"/>
          <w:color w:val="205BA8"/>
        </w:rPr>
        <w:t xml:space="preserve"> </w:t>
      </w:r>
      <w:r>
        <w:rPr>
          <w:rFonts w:ascii="Arial" w:cs="Arial" w:eastAsia="Arial" w:hAnsi="Arial"/>
          <w:sz w:val="15"/>
          <w:szCs w:val="15"/>
          <w:color w:val="000000"/>
        </w:rPr>
        <w:t>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-602615</wp:posOffset>
            </wp:positionV>
            <wp:extent cx="824865" cy="8166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4865" cy="81661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60" w:right="20"/>
        <w:spacing w:after="0" w:line="222" w:lineRule="auto"/>
        <w:rPr>
          <w:sz w:val="20"/>
          <w:szCs w:val="20"/>
          <w:color w:val="auto"/>
        </w:rPr>
      </w:pPr>
      <w:r>
        <w:rPr>
          <w:rFonts w:ascii="Arial" w:cs="Arial" w:eastAsia="Arial" w:hAnsi="Arial"/>
          <w:sz w:val="15"/>
          <w:szCs w:val="15"/>
          <w:b w:val="1"/>
          <w:bCs w:val="1"/>
          <w:color w:val="205BA8"/>
        </w:rPr>
        <w:t xml:space="preserve">Daniel P. Van Plew, </w:t>
      </w:r>
      <w:r>
        <w:rPr>
          <w:rFonts w:ascii="Arial" w:cs="Arial" w:eastAsia="Arial" w:hAnsi="Arial"/>
          <w:sz w:val="15"/>
          <w:szCs w:val="15"/>
          <w:color w:val="000000"/>
        </w:rPr>
        <w:t>46, has been Executive Vice President and General Manager, Industrial Operations and Product Supply since</w:t>
      </w:r>
      <w:r>
        <w:rPr>
          <w:rFonts w:ascii="Arial" w:cs="Arial" w:eastAsia="Arial" w:hAnsi="Arial"/>
          <w:sz w:val="15"/>
          <w:szCs w:val="15"/>
          <w:b w:val="1"/>
          <w:bCs w:val="1"/>
          <w:color w:val="205BA8"/>
        </w:rPr>
        <w:t xml:space="preserve"> </w:t>
      </w:r>
      <w:r>
        <w:rPr>
          <w:rFonts w:ascii="Arial" w:cs="Arial" w:eastAsia="Arial" w:hAnsi="Arial"/>
          <w:sz w:val="15"/>
          <w:szCs w:val="15"/>
          <w:color w:val="000000"/>
        </w:rPr>
        <w:t>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-898525</wp:posOffset>
            </wp:positionV>
            <wp:extent cx="824865" cy="8166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4865" cy="81661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34  /  </w:t>
      </w:r>
      <w:r>
        <w:rPr>
          <w:sz w:val="1"/>
          <w:szCs w:val="1"/>
          <w:color w:val="auto"/>
        </w:rPr>
        <w:drawing>
          <wp:inline distT="0" distB="0" distL="0" distR="0">
            <wp:extent cx="717550" cy="825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46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46910"/>
                    </a:xfrm>
                    <a:prstGeom prst="rect">
                      <a:avLst/>
                    </a:prstGeom>
                    <a:noFill/>
                  </pic:spPr>
                </pic:pic>
              </a:graphicData>
            </a:graphic>
          </wp:anchor>
        </w:drawing>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935990</wp:posOffset>
            </wp:positionV>
            <wp:extent cx="66001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2463165</wp:posOffset>
            </wp:positionV>
            <wp:extent cx="16497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61C5A"/>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655320</wp:posOffset>
            </wp:positionV>
            <wp:extent cx="1649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right="320"/>
        <w:spacing w:after="0" w:line="249" w:lineRule="auto"/>
        <w:rPr>
          <w:sz w:val="20"/>
          <w:szCs w:val="20"/>
          <w:color w:val="auto"/>
        </w:rPr>
      </w:pPr>
      <w:r>
        <w:rPr>
          <w:rFonts w:ascii="Arial" w:cs="Arial" w:eastAsia="Arial" w:hAnsi="Arial"/>
          <w:sz w:val="26"/>
          <w:szCs w:val="26"/>
          <w:b w:val="1"/>
          <w:bCs w:val="1"/>
          <w:color w:val="D61C5A"/>
        </w:rPr>
        <w:t>SUCCESSION PLANNING AND TALENT DEVELOPMENT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20"/>
        <w:spacing w:after="0" w:line="225" w:lineRule="auto"/>
        <w:rPr>
          <w:sz w:val="20"/>
          <w:szCs w:val="20"/>
          <w:color w:val="auto"/>
        </w:rPr>
      </w:pPr>
      <w:r>
        <w:rPr>
          <w:rFonts w:ascii="Arial" w:cs="Arial" w:eastAsia="Arial" w:hAnsi="Arial"/>
          <w:sz w:val="15"/>
          <w:szCs w:val="15"/>
          <w:color w:val="auto"/>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Borders>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Board and Other Governance Information</w:t>
            </w:r>
          </w:p>
        </w:tc>
        <w:tc>
          <w:tcPr>
            <w:tcW w:w="1460" w:type="dxa"/>
            <w:vAlign w:val="bottom"/>
            <w:tcBorders>
              <w:bottom w:val="single" w:sz="8" w:color="205BA8"/>
            </w:tcBorders>
          </w:tcPr>
          <w:p>
            <w:pPr>
              <w:jc w:val="center"/>
              <w:ind w:left="499"/>
              <w:spacing w:after="0"/>
              <w:rPr>
                <w:sz w:val="20"/>
                <w:szCs w:val="20"/>
                <w:color w:val="auto"/>
              </w:rPr>
            </w:pPr>
            <w:r>
              <w:rPr>
                <w:rFonts w:ascii="Arial" w:cs="Arial" w:eastAsia="Arial" w:hAnsi="Arial"/>
                <w:sz w:val="11"/>
                <w:szCs w:val="11"/>
                <w:b w:val="1"/>
                <w:bCs w:val="1"/>
                <w:color w:val="205BA8"/>
                <w:w w:val="96"/>
              </w:rPr>
              <w:t>2019</w:t>
            </w:r>
            <w:r>
              <w:rPr>
                <w:rFonts w:ascii="Arial" w:cs="Arial" w:eastAsia="Arial" w:hAnsi="Arial"/>
                <w:sz w:val="18"/>
                <w:szCs w:val="18"/>
                <w:b w:val="1"/>
                <w:bCs w:val="1"/>
                <w:color w:val="205BA8"/>
                <w:w w:val="96"/>
                <w:vertAlign w:val="superscript"/>
              </w:rPr>
              <w:t>1</w:t>
            </w:r>
          </w:p>
        </w:tc>
      </w:tr>
      <w:tr>
        <w:trPr>
          <w:trHeight w:val="18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Size of Board</w:t>
            </w:r>
          </w:p>
        </w:tc>
        <w:tc>
          <w:tcPr>
            <w:tcW w:w="1460" w:type="dxa"/>
            <w:vAlign w:val="bottom"/>
            <w:tcBorders>
              <w:bottom w:val="single" w:sz="8" w:color="auto"/>
            </w:tcBorders>
          </w:tcPr>
          <w:p>
            <w:pPr>
              <w:jc w:val="center"/>
              <w:ind w:left="499"/>
              <w:spacing w:after="0"/>
              <w:rPr>
                <w:sz w:val="20"/>
                <w:szCs w:val="20"/>
                <w:color w:val="auto"/>
              </w:rPr>
            </w:pPr>
            <w:r>
              <w:rPr>
                <w:rFonts w:ascii="Arial" w:cs="Arial" w:eastAsia="Arial" w:hAnsi="Arial"/>
                <w:sz w:val="13"/>
                <w:szCs w:val="13"/>
                <w:color w:val="auto"/>
                <w:w w:val="96"/>
              </w:rPr>
              <w:t>12</w:t>
            </w:r>
          </w:p>
        </w:tc>
      </w:tr>
      <w:tr>
        <w:trPr>
          <w:trHeight w:val="188"/>
        </w:trPr>
        <w:tc>
          <w:tcPr>
            <w:tcW w:w="592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Number of Independent Directors</w:t>
            </w:r>
          </w:p>
        </w:tc>
        <w:tc>
          <w:tcPr>
            <w:tcW w:w="1460" w:type="dxa"/>
            <w:vAlign w:val="bottom"/>
            <w:tcBorders>
              <w:bottom w:val="single" w:sz="8" w:color="auto"/>
            </w:tcBorders>
            <w:shd w:val="clear" w:color="auto" w:fill="ECEDED"/>
          </w:tcPr>
          <w:p>
            <w:pPr>
              <w:jc w:val="center"/>
              <w:ind w:left="499"/>
              <w:spacing w:after="0"/>
              <w:rPr>
                <w:sz w:val="20"/>
                <w:szCs w:val="20"/>
                <w:color w:val="auto"/>
              </w:rPr>
            </w:pPr>
            <w:r>
              <w:rPr>
                <w:rFonts w:ascii="Arial" w:cs="Arial" w:eastAsia="Arial" w:hAnsi="Arial"/>
                <w:sz w:val="13"/>
                <w:szCs w:val="13"/>
                <w:color w:val="auto"/>
                <w:w w:val="82"/>
              </w:rPr>
              <w:t>9</w:t>
            </w:r>
          </w:p>
        </w:tc>
      </w:tr>
      <w:tr>
        <w:trPr>
          <w:trHeight w:val="201"/>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Separate Chairman and Chief Executive Officer</w:t>
            </w:r>
          </w:p>
        </w:tc>
        <w:tc>
          <w:tcPr>
            <w:tcW w:w="1460" w:type="dxa"/>
            <w:vAlign w:val="bottom"/>
            <w:tcBorders>
              <w:bottom w:val="single" w:sz="8" w:color="auto"/>
            </w:tcBorders>
          </w:tcPr>
          <w:p>
            <w:pPr>
              <w:spacing w:after="0"/>
              <w:rPr>
                <w:sz w:val="17"/>
                <w:szCs w:val="17"/>
                <w:color w:val="auto"/>
              </w:rPr>
            </w:pPr>
          </w:p>
        </w:tc>
      </w:tr>
      <w:tr>
        <w:trPr>
          <w:trHeight w:val="201"/>
        </w:trPr>
        <w:tc>
          <w:tcPr>
            <w:tcW w:w="592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Majority Voting in the Election of Directors</w:t>
            </w:r>
          </w:p>
        </w:tc>
        <w:tc>
          <w:tcPr>
            <w:tcW w:w="1460" w:type="dxa"/>
            <w:vAlign w:val="bottom"/>
            <w:tcBorders>
              <w:bottom w:val="single" w:sz="8" w:color="auto"/>
            </w:tcBorders>
            <w:shd w:val="clear" w:color="auto" w:fill="ECEDED"/>
          </w:tcPr>
          <w:p>
            <w:pPr>
              <w:spacing w:after="0"/>
              <w:rPr>
                <w:sz w:val="17"/>
                <w:szCs w:val="17"/>
                <w:color w:val="auto"/>
              </w:rPr>
            </w:pPr>
          </w:p>
        </w:tc>
      </w:tr>
      <w:tr>
        <w:trPr>
          <w:trHeight w:val="201"/>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Director Resignation Policy</w:t>
            </w:r>
          </w:p>
        </w:tc>
        <w:tc>
          <w:tcPr>
            <w:tcW w:w="1460" w:type="dxa"/>
            <w:vAlign w:val="bottom"/>
            <w:tcBorders>
              <w:bottom w:val="single" w:sz="8" w:color="auto"/>
            </w:tcBorders>
          </w:tcPr>
          <w:p>
            <w:pPr>
              <w:spacing w:after="0"/>
              <w:rPr>
                <w:sz w:val="17"/>
                <w:szCs w:val="17"/>
                <w:color w:val="auto"/>
              </w:rPr>
            </w:pPr>
          </w:p>
        </w:tc>
      </w:tr>
      <w:tr>
        <w:trPr>
          <w:trHeight w:val="188"/>
        </w:trPr>
        <w:tc>
          <w:tcPr>
            <w:tcW w:w="592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Number of Meetings of the Board of Directors Held in 2018</w:t>
            </w:r>
          </w:p>
        </w:tc>
        <w:tc>
          <w:tcPr>
            <w:tcW w:w="1460" w:type="dxa"/>
            <w:vAlign w:val="bottom"/>
            <w:tcBorders>
              <w:bottom w:val="single" w:sz="8" w:color="auto"/>
            </w:tcBorders>
            <w:shd w:val="clear" w:color="auto" w:fill="ECEDED"/>
          </w:tcPr>
          <w:p>
            <w:pPr>
              <w:jc w:val="center"/>
              <w:ind w:left="499"/>
              <w:spacing w:after="0"/>
              <w:rPr>
                <w:sz w:val="20"/>
                <w:szCs w:val="20"/>
                <w:color w:val="auto"/>
              </w:rPr>
            </w:pPr>
            <w:r>
              <w:rPr>
                <w:rFonts w:ascii="Arial" w:cs="Arial" w:eastAsia="Arial" w:hAnsi="Arial"/>
                <w:sz w:val="13"/>
                <w:szCs w:val="13"/>
                <w:color w:val="auto"/>
                <w:w w:val="82"/>
              </w:rPr>
              <w:t>6</w:t>
            </w:r>
          </w:p>
        </w:tc>
      </w:tr>
      <w:tr>
        <w:trPr>
          <w:trHeight w:val="201"/>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Independent Directors Meet in Executive Sessions Without Management Present</w:t>
            </w:r>
          </w:p>
        </w:tc>
        <w:tc>
          <w:tcPr>
            <w:tcW w:w="1460" w:type="dxa"/>
            <w:vAlign w:val="bottom"/>
            <w:tcBorders>
              <w:bottom w:val="single" w:sz="8" w:color="auto"/>
            </w:tcBorders>
          </w:tcPr>
          <w:p>
            <w:pPr>
              <w:spacing w:after="0"/>
              <w:rPr>
                <w:sz w:val="17"/>
                <w:szCs w:val="17"/>
                <w:color w:val="auto"/>
              </w:rPr>
            </w:pPr>
          </w:p>
        </w:tc>
      </w:tr>
      <w:tr>
        <w:trPr>
          <w:trHeight w:val="201"/>
        </w:trPr>
        <w:tc>
          <w:tcPr>
            <w:tcW w:w="592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Code of Business Conduct and Ethics Applicable to All Employees, Officers, and Directors</w:t>
            </w:r>
          </w:p>
        </w:tc>
        <w:tc>
          <w:tcPr>
            <w:tcW w:w="1460" w:type="dxa"/>
            <w:vAlign w:val="bottom"/>
            <w:tcBorders>
              <w:bottom w:val="single" w:sz="8" w:color="auto"/>
            </w:tcBorders>
            <w:shd w:val="clear" w:color="auto" w:fill="ECEDED"/>
          </w:tcPr>
          <w:p>
            <w:pPr>
              <w:spacing w:after="0"/>
              <w:rPr>
                <w:sz w:val="17"/>
                <w:szCs w:val="17"/>
                <w:color w:val="auto"/>
              </w:rPr>
            </w:pPr>
          </w:p>
        </w:tc>
      </w:tr>
      <w:tr>
        <w:trPr>
          <w:trHeight w:val="201"/>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Annual Board and Committee Self-Evaluations</w:t>
            </w:r>
          </w:p>
        </w:tc>
        <w:tc>
          <w:tcPr>
            <w:tcW w:w="146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-956310</wp:posOffset>
            </wp:positionV>
            <wp:extent cx="123825" cy="990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3825" cy="9906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-815975</wp:posOffset>
            </wp:positionV>
            <wp:extent cx="123825" cy="990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3825" cy="9906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-675640</wp:posOffset>
            </wp:positionV>
            <wp:extent cx="123825" cy="990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3825" cy="9906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-403860</wp:posOffset>
            </wp:positionV>
            <wp:extent cx="123825" cy="990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3825" cy="9906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-263525</wp:posOffset>
            </wp:positionV>
            <wp:extent cx="123825" cy="990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3825" cy="990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-123190</wp:posOffset>
            </wp:positionV>
            <wp:extent cx="4686300" cy="255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86300" cy="25590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 Ownership Guidelines for Directors and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6863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8630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34925</wp:posOffset>
            </wp:positionV>
            <wp:extent cx="123825" cy="990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3825" cy="9906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Active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686300" cy="140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686300" cy="14033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Shareholder Right to Remove Directors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686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8630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34925</wp:posOffset>
            </wp:positionV>
            <wp:extent cx="123825" cy="990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3825" cy="9906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Shareholder Right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686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205BA8"/>
        </w:rPr>
        <w:t xml:space="preserve">1 </w:t>
      </w:r>
      <w:r>
        <w:rPr>
          <w:rFonts w:ascii="Arial" w:cs="Arial" w:eastAsia="Arial" w:hAnsi="Arial"/>
          <w:sz w:val="14"/>
          <w:szCs w:val="14"/>
          <w:color w:val="000000"/>
        </w:rPr>
        <w:t>As of April 17, 2019, except as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46863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74" w:lineRule="exact"/>
        <w:rPr>
          <w:sz w:val="20"/>
          <w:szCs w:val="20"/>
          <w:color w:val="auto"/>
        </w:rPr>
      </w:pPr>
    </w:p>
    <w:p>
      <w:pPr>
        <w:ind w:right="500"/>
        <w:spacing w:after="0" w:line="232" w:lineRule="auto"/>
        <w:rPr>
          <w:sz w:val="20"/>
          <w:szCs w:val="20"/>
          <w:color w:val="auto"/>
        </w:rPr>
      </w:pPr>
      <w:r>
        <w:rPr>
          <w:rFonts w:ascii="Arial" w:cs="Arial" w:eastAsia="Arial" w:hAnsi="Arial"/>
          <w:sz w:val="14"/>
          <w:szCs w:val="14"/>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4"/>
          <w:szCs w:val="14"/>
          <w:b w:val="1"/>
          <w:bCs w:val="1"/>
          <w:color w:val="auto"/>
        </w:rPr>
        <w:t>www.regeneron.com</w:t>
      </w:r>
      <w:r>
        <w:rPr>
          <w:rFonts w:ascii="Arial" w:cs="Arial" w:eastAsia="Arial" w:hAnsi="Arial"/>
          <w:sz w:val="14"/>
          <w:szCs w:val="14"/>
          <w:color w:val="auto"/>
        </w:rPr>
        <w:t xml:space="preserve"> under the “Corporate Governance” heading on the “Investors &amp; Media” page. We may satisfy the disclosure requirement under Item</w:t>
      </w:r>
    </w:p>
    <w:p>
      <w:pPr>
        <w:spacing w:after="0" w:line="1" w:lineRule="exact"/>
        <w:rPr>
          <w:sz w:val="20"/>
          <w:szCs w:val="20"/>
          <w:color w:val="auto"/>
        </w:rPr>
      </w:pPr>
    </w:p>
    <w:p>
      <w:pPr>
        <w:ind w:right="680"/>
        <w:spacing w:after="0" w:line="223" w:lineRule="auto"/>
        <w:rPr>
          <w:sz w:val="20"/>
          <w:szCs w:val="20"/>
          <w:color w:val="auto"/>
        </w:rPr>
      </w:pPr>
      <w:r>
        <w:rPr>
          <w:rFonts w:ascii="Arial" w:cs="Arial" w:eastAsia="Arial" w:hAnsi="Arial"/>
          <w:sz w:val="15"/>
          <w:szCs w:val="15"/>
          <w:color w:val="auto"/>
        </w:rPr>
        <w:t>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46863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39" w:lineRule="exact"/>
        <w:rPr>
          <w:sz w:val="20"/>
          <w:szCs w:val="20"/>
          <w:color w:val="auto"/>
        </w:rPr>
      </w:pPr>
    </w:p>
    <w:p>
      <w:pPr>
        <w:ind w:right="520"/>
        <w:spacing w:after="0" w:line="220" w:lineRule="auto"/>
        <w:rPr>
          <w:sz w:val="20"/>
          <w:szCs w:val="20"/>
          <w:color w:val="auto"/>
        </w:rPr>
      </w:pPr>
      <w:r>
        <w:rPr>
          <w:rFonts w:ascii="Arial" w:cs="Arial" w:eastAsia="Arial" w:hAnsi="Arial"/>
          <w:sz w:val="15"/>
          <w:szCs w:val="15"/>
          <w:color w:val="auto"/>
        </w:rPr>
        <w:t>Under our Corporate Governance Guidelines, the board of directors is required to periodically review with our CEO Regeneron’s plan for succession to the offices of the CEO and other senior executive positions. In 2017, the Corporate Governance and Compliance Committee, at the request of the board of directors, commenced a multi-year formal succession planning and talent review, which includes succession planning for the CEO and other senior management positions. In 2018,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w:t>
      </w:r>
    </w:p>
    <w:p>
      <w:pPr>
        <w:spacing w:after="0" w:line="414" w:lineRule="exact"/>
        <w:rPr>
          <w:sz w:val="20"/>
          <w:szCs w:val="20"/>
          <w:color w:val="auto"/>
        </w:rPr>
      </w:pPr>
    </w:p>
    <w:p>
      <w:pPr>
        <w:sectPr>
          <w:pgSz w:w="11900" w:h="16838" w:orient="portrait"/>
          <w:cols w:equalWidth="0" w:num="2">
            <w:col w:w="2820" w:space="720"/>
            <w:col w:w="788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35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color w:val="205BA8"/>
        </w:rPr>
        <w:t xml:space="preserve">THE COMPANY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31"/>
        <w:spacing w:after="0" w:line="297" w:lineRule="auto"/>
        <w:rPr>
          <w:sz w:val="20"/>
          <w:szCs w:val="20"/>
          <w:color w:val="auto"/>
        </w:rPr>
      </w:pPr>
      <w:r>
        <w:rPr>
          <w:rFonts w:ascii="Arial" w:cs="Arial" w:eastAsia="Arial" w:hAnsi="Arial"/>
          <w:sz w:val="25"/>
          <w:szCs w:val="25"/>
          <w:b w:val="1"/>
          <w:bCs w:val="1"/>
          <w:color w:val="D61C5A"/>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-553720</wp:posOffset>
            </wp:positionV>
            <wp:extent cx="16497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9" w:right="300"/>
        <w:spacing w:after="0" w:line="223" w:lineRule="auto"/>
        <w:rPr>
          <w:sz w:val="20"/>
          <w:szCs w:val="20"/>
          <w:color w:val="auto"/>
        </w:rPr>
      </w:pPr>
      <w:r>
        <w:rPr>
          <w:rFonts w:ascii="Arial" w:cs="Arial" w:eastAsia="Arial" w:hAnsi="Arial"/>
          <w:sz w:val="15"/>
          <w:szCs w:val="15"/>
          <w:color w:val="auto"/>
        </w:rPr>
        <w:t>while the Compensation Committee and the Technology Committee reviewed functions and roles within the Company’s commercial organization and the Company’s research &amp; development and global development organizations, respectively. Implementation of the succession planning and talent review plan has continued in 2019.</w:t>
      </w:r>
    </w:p>
    <w:p>
      <w:pPr>
        <w:spacing w:after="0" w:line="138" w:lineRule="exact"/>
        <w:rPr>
          <w:sz w:val="20"/>
          <w:szCs w:val="20"/>
          <w:color w:val="auto"/>
        </w:rPr>
      </w:pPr>
    </w:p>
    <w:p>
      <w:pPr>
        <w:ind w:left="9" w:right="60"/>
        <w:spacing w:after="0" w:line="225" w:lineRule="auto"/>
        <w:rPr>
          <w:sz w:val="20"/>
          <w:szCs w:val="20"/>
          <w:color w:val="auto"/>
        </w:rPr>
      </w:pPr>
      <w:r>
        <w:rPr>
          <w:rFonts w:ascii="Arial" w:cs="Arial" w:eastAsia="Arial" w:hAnsi="Arial"/>
          <w:sz w:val="15"/>
          <w:szCs w:val="15"/>
          <w:color w:val="auto"/>
        </w:rPr>
        <w:t>In addition to formal succession planning, directors also have exposure to Regeneron leaders through board and committee presentations and discussions and informal events and interactions with key talent throughout the year, both in small group and one-on-one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46863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52" w:lineRule="exact"/>
        <w:rPr>
          <w:sz w:val="20"/>
          <w:szCs w:val="20"/>
          <w:color w:val="auto"/>
        </w:rPr>
      </w:pPr>
    </w:p>
    <w:p>
      <w:pPr>
        <w:ind w:left="9" w:right="280"/>
        <w:spacing w:after="0" w:line="223" w:lineRule="auto"/>
        <w:rPr>
          <w:sz w:val="20"/>
          <w:szCs w:val="20"/>
          <w:color w:val="auto"/>
        </w:rPr>
      </w:pPr>
      <w:r>
        <w:rPr>
          <w:rFonts w:ascii="Arial" w:cs="Arial" w:eastAsia="Arial" w:hAnsi="Arial"/>
          <w:sz w:val="15"/>
          <w:szCs w:val="15"/>
          <w:color w:val="auto"/>
        </w:rPr>
        <w:t>Regeneron’s mission is to use the power of science to repeatedly bring new medicines to patients. We are committed to operating responsibly, communicating transparently about our impacts, and engaging all stakeholders in our mission. We strive to “do well by doing good” and have been publicly disclosing information about significant corporate responsibility matters since 2014.</w:t>
      </w:r>
    </w:p>
    <w:p>
      <w:pPr>
        <w:spacing w:after="0" w:line="138" w:lineRule="exact"/>
        <w:rPr>
          <w:sz w:val="20"/>
          <w:szCs w:val="20"/>
          <w:color w:val="auto"/>
        </w:rPr>
      </w:pPr>
    </w:p>
    <w:p>
      <w:pPr>
        <w:ind w:left="9" w:right="320"/>
        <w:spacing w:after="0" w:line="229" w:lineRule="auto"/>
        <w:rPr>
          <w:sz w:val="20"/>
          <w:szCs w:val="20"/>
          <w:color w:val="auto"/>
        </w:rPr>
      </w:pPr>
      <w:r>
        <w:rPr>
          <w:rFonts w:ascii="Arial" w:cs="Arial" w:eastAsia="Arial" w:hAnsi="Arial"/>
          <w:sz w:val="15"/>
          <w:szCs w:val="15"/>
          <w:color w:val="auto"/>
        </w:rPr>
        <w:t>In 2017, we conducted a review of our approach to Environmental, Social, and Governance (ESG) issues. We have used these insights to identify three focus areas for our responsibility strategy:</w:t>
      </w:r>
    </w:p>
    <w:p>
      <w:pPr>
        <w:spacing w:after="0" w:line="139" w:lineRule="exact"/>
        <w:rPr>
          <w:sz w:val="20"/>
          <w:szCs w:val="20"/>
          <w:color w:val="auto"/>
        </w:rPr>
      </w:pPr>
    </w:p>
    <w:p>
      <w:pPr>
        <w:ind w:left="229" w:hanging="229"/>
        <w:spacing w:after="0"/>
        <w:tabs>
          <w:tab w:leader="none" w:pos="229" w:val="left"/>
        </w:tabs>
        <w:numPr>
          <w:ilvl w:val="0"/>
          <w:numId w:val="41"/>
        </w:numPr>
        <w:rPr>
          <w:rFonts w:ascii="Arial" w:cs="Arial" w:eastAsia="Arial" w:hAnsi="Arial"/>
          <w:sz w:val="15"/>
          <w:szCs w:val="15"/>
          <w:color w:val="205BA8"/>
        </w:rPr>
      </w:pPr>
      <w:r>
        <w:rPr>
          <w:rFonts w:ascii="Arial" w:cs="Arial" w:eastAsia="Arial" w:hAnsi="Arial"/>
          <w:sz w:val="15"/>
          <w:szCs w:val="15"/>
          <w:color w:val="auto"/>
        </w:rPr>
        <w:t>Improve the lives of people with serious disease</w:t>
      </w:r>
    </w:p>
    <w:p>
      <w:pPr>
        <w:spacing w:after="0" w:line="139" w:lineRule="exact"/>
        <w:rPr>
          <w:rFonts w:ascii="Arial" w:cs="Arial" w:eastAsia="Arial" w:hAnsi="Arial"/>
          <w:sz w:val="15"/>
          <w:szCs w:val="15"/>
          <w:color w:val="205BA8"/>
        </w:rPr>
      </w:pPr>
    </w:p>
    <w:p>
      <w:pPr>
        <w:ind w:left="229" w:hanging="229"/>
        <w:spacing w:after="0"/>
        <w:tabs>
          <w:tab w:leader="none" w:pos="229" w:val="left"/>
        </w:tabs>
        <w:numPr>
          <w:ilvl w:val="0"/>
          <w:numId w:val="41"/>
        </w:numPr>
        <w:rPr>
          <w:rFonts w:ascii="Arial" w:cs="Arial" w:eastAsia="Arial" w:hAnsi="Arial"/>
          <w:sz w:val="15"/>
          <w:szCs w:val="15"/>
          <w:color w:val="205BA8"/>
        </w:rPr>
      </w:pPr>
      <w:r>
        <w:rPr>
          <w:rFonts w:ascii="Arial" w:cs="Arial" w:eastAsia="Arial" w:hAnsi="Arial"/>
          <w:sz w:val="15"/>
          <w:szCs w:val="15"/>
          <w:color w:val="auto"/>
        </w:rPr>
        <w:t>Foster a culture of integrity and operational excellence</w:t>
      </w:r>
    </w:p>
    <w:p>
      <w:pPr>
        <w:spacing w:after="0" w:line="139" w:lineRule="exact"/>
        <w:rPr>
          <w:rFonts w:ascii="Arial" w:cs="Arial" w:eastAsia="Arial" w:hAnsi="Arial"/>
          <w:sz w:val="15"/>
          <w:szCs w:val="15"/>
          <w:color w:val="205BA8"/>
        </w:rPr>
      </w:pPr>
    </w:p>
    <w:p>
      <w:pPr>
        <w:ind w:left="229" w:hanging="229"/>
        <w:spacing w:after="0"/>
        <w:tabs>
          <w:tab w:leader="none" w:pos="229" w:val="left"/>
        </w:tabs>
        <w:numPr>
          <w:ilvl w:val="0"/>
          <w:numId w:val="41"/>
        </w:numPr>
        <w:rPr>
          <w:rFonts w:ascii="Arial" w:cs="Arial" w:eastAsia="Arial" w:hAnsi="Arial"/>
          <w:sz w:val="15"/>
          <w:szCs w:val="15"/>
          <w:color w:val="205BA8"/>
        </w:rPr>
      </w:pPr>
      <w:r>
        <w:rPr>
          <w:rFonts w:ascii="Arial" w:cs="Arial" w:eastAsia="Arial" w:hAnsi="Arial"/>
          <w:sz w:val="15"/>
          <w:szCs w:val="15"/>
          <w:color w:val="auto"/>
        </w:rPr>
        <w:t>Build a better future</w:t>
      </w:r>
    </w:p>
    <w:p>
      <w:pPr>
        <w:spacing w:after="0" w:line="130" w:lineRule="exact"/>
        <w:rPr>
          <w:sz w:val="20"/>
          <w:szCs w:val="20"/>
          <w:color w:val="auto"/>
        </w:rPr>
      </w:pPr>
    </w:p>
    <w:p>
      <w:pPr>
        <w:ind w:left="9"/>
        <w:spacing w:after="0"/>
        <w:rPr>
          <w:sz w:val="20"/>
          <w:szCs w:val="20"/>
          <w:color w:val="auto"/>
        </w:rPr>
      </w:pPr>
      <w:r>
        <w:rPr>
          <w:rFonts w:ascii="Arial" w:cs="Arial" w:eastAsia="Arial" w:hAnsi="Arial"/>
          <w:sz w:val="14"/>
          <w:szCs w:val="14"/>
          <w:color w:val="auto"/>
        </w:rPr>
        <w:t>In 2018, we began the process of setting strategic goals, which we plan to share in our 2019 Responsibility Report.</w:t>
      </w:r>
    </w:p>
    <w:p>
      <w:pPr>
        <w:ind w:left="9" w:right="140"/>
        <w:spacing w:after="0" w:line="199" w:lineRule="auto"/>
        <w:rPr>
          <w:sz w:val="20"/>
          <w:szCs w:val="20"/>
          <w:color w:val="auto"/>
        </w:rPr>
      </w:pPr>
      <w:r>
        <w:rPr>
          <w:rFonts w:ascii="Arial" w:cs="Arial" w:eastAsia="Arial" w:hAnsi="Arial"/>
          <w:sz w:val="15"/>
          <w:szCs w:val="15"/>
          <w:color w:val="auto"/>
        </w:rPr>
        <w:t>As part of this process, we conducted a responsibility materiality</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assessment to prioritize the ESG issues that matter most to our business and stakeholders. The outcomes of our materiality assessment have been disclosed in our Responsibility Report and will inform our responsibility strategy and reporting.</w:t>
      </w:r>
    </w:p>
    <w:p>
      <w:pPr>
        <w:spacing w:after="0" w:line="139" w:lineRule="exact"/>
        <w:rPr>
          <w:sz w:val="20"/>
          <w:szCs w:val="20"/>
          <w:color w:val="auto"/>
        </w:rPr>
      </w:pPr>
    </w:p>
    <w:p>
      <w:pPr>
        <w:jc w:val="both"/>
        <w:ind w:left="9" w:right="260"/>
        <w:spacing w:after="0" w:line="232" w:lineRule="auto"/>
        <w:rPr>
          <w:sz w:val="20"/>
          <w:szCs w:val="20"/>
          <w:color w:val="auto"/>
        </w:rPr>
      </w:pPr>
      <w:r>
        <w:rPr>
          <w:rFonts w:ascii="Arial" w:cs="Arial" w:eastAsia="Arial" w:hAnsi="Arial"/>
          <w:sz w:val="14"/>
          <w:szCs w:val="14"/>
          <w:color w:val="auto"/>
        </w:rPr>
        <w:t>We also formalized our responsibility operational structure in 2018. We established a Responsibility Committee comprised of cross-functional business leaders and amended the charter of the board’s Corporate Governance and Compliance Committee to expressly delegate board oversight of corporate responsibility to the Committee.</w:t>
      </w:r>
    </w:p>
    <w:p>
      <w:pPr>
        <w:spacing w:after="0" w:line="1" w:lineRule="exact"/>
        <w:rPr>
          <w:sz w:val="20"/>
          <w:szCs w:val="20"/>
          <w:color w:val="auto"/>
        </w:rPr>
      </w:pPr>
    </w:p>
    <w:p>
      <w:pPr>
        <w:ind w:left="9" w:right="40"/>
        <w:spacing w:after="0" w:line="236" w:lineRule="auto"/>
        <w:rPr>
          <w:sz w:val="20"/>
          <w:szCs w:val="20"/>
          <w:color w:val="auto"/>
        </w:rPr>
      </w:pPr>
      <w:r>
        <w:rPr>
          <w:rFonts w:ascii="Arial" w:cs="Arial" w:eastAsia="Arial" w:hAnsi="Arial"/>
          <w:sz w:val="14"/>
          <w:szCs w:val="14"/>
          <w:color w:val="auto"/>
        </w:rPr>
        <w:t>The board of directors’ policy is to take into consideration the long-term interests of the Company, its shareholders, and other stakeholders, including patients, employees, the healthcare community, regulators, partners, suppliers, and local communities. Under our Corporate Governance Guidelines, the Corporate Governance and Compliance Committee is responsible for overseeing the Company’s key corporate responsibility initiatives, including those expected to have a significant impact on the Company’s ability to deliver sustained growth. The Committee also conducts a periodic review of environmental, social, and governance matters, and management has the responsibility for formulating and implementing such initiatives and matters.</w:t>
      </w:r>
    </w:p>
    <w:p>
      <w:pPr>
        <w:spacing w:after="0" w:line="121" w:lineRule="exact"/>
        <w:rPr>
          <w:sz w:val="20"/>
          <w:szCs w:val="20"/>
          <w:color w:val="auto"/>
        </w:rPr>
      </w:pPr>
    </w:p>
    <w:p>
      <w:pPr>
        <w:ind w:left="9" w:right="100"/>
        <w:spacing w:after="0" w:line="225" w:lineRule="auto"/>
        <w:rPr>
          <w:sz w:val="20"/>
          <w:szCs w:val="20"/>
          <w:color w:val="auto"/>
        </w:rPr>
      </w:pPr>
      <w:r>
        <w:rPr>
          <w:rFonts w:ascii="Arial" w:cs="Arial" w:eastAsia="Arial" w:hAnsi="Arial"/>
          <w:sz w:val="15"/>
          <w:szCs w:val="15"/>
          <w:b w:val="1"/>
          <w:bCs w:val="1"/>
          <w:color w:val="auto"/>
        </w:rPr>
        <w:t xml:space="preserve">Improving the lives of people with serious disease. </w:t>
      </w:r>
      <w:r>
        <w:rPr>
          <w:rFonts w:ascii="Arial" w:cs="Arial" w:eastAsia="Arial" w:hAnsi="Arial"/>
          <w:sz w:val="15"/>
          <w:szCs w:val="15"/>
          <w:color w:val="auto"/>
        </w:rPr>
        <w:t>Our business model is founded on scientific innovation. At</w:t>
      </w:r>
      <w:r>
        <w:rPr>
          <w:rFonts w:ascii="Arial" w:cs="Arial" w:eastAsia="Arial" w:hAnsi="Arial"/>
          <w:sz w:val="15"/>
          <w:szCs w:val="15"/>
          <w:b w:val="1"/>
          <w:bCs w:val="1"/>
          <w:color w:val="auto"/>
        </w:rPr>
        <w:t xml:space="preserve"> </w:t>
      </w:r>
      <w:r>
        <w:rPr>
          <w:rFonts w:ascii="Arial" w:cs="Arial" w:eastAsia="Arial" w:hAnsi="Arial"/>
          <w:sz w:val="15"/>
          <w:szCs w:val="15"/>
          <w:color w:val="auto"/>
        </w:rPr>
        <w:t>Regeneron, we deliver growth by inventing therapies that address serious medical conditions and have a life-transforming impact on patients’ health. To date, we have brought to market seven FDA-approved treatments and have 20 product candidates in development, all of which were homegrown in our laboratories. Our support for patients extends beyond the labs to disease education and awareness efforts, product support services, and our commitment to drug access and responsible pricing.</w:t>
      </w:r>
    </w:p>
    <w:p>
      <w:pPr>
        <w:spacing w:after="0" w:line="121" w:lineRule="exact"/>
        <w:rPr>
          <w:sz w:val="20"/>
          <w:szCs w:val="20"/>
          <w:color w:val="auto"/>
        </w:rPr>
      </w:pPr>
    </w:p>
    <w:p>
      <w:pPr>
        <w:ind w:left="9" w:right="140"/>
        <w:spacing w:after="0" w:line="229" w:lineRule="auto"/>
        <w:rPr>
          <w:sz w:val="20"/>
          <w:szCs w:val="20"/>
          <w:color w:val="auto"/>
        </w:rPr>
      </w:pPr>
      <w:r>
        <w:rPr>
          <w:rFonts w:ascii="Arial" w:cs="Arial" w:eastAsia="Arial" w:hAnsi="Arial"/>
          <w:sz w:val="15"/>
          <w:szCs w:val="15"/>
          <w:b w:val="1"/>
          <w:bCs w:val="1"/>
          <w:color w:val="auto"/>
        </w:rPr>
        <w:t xml:space="preserve">Fostering a culture of integrity and operational excellence. </w:t>
      </w:r>
      <w:r>
        <w:rPr>
          <w:rFonts w:ascii="Arial" w:cs="Arial" w:eastAsia="Arial" w:hAnsi="Arial"/>
          <w:sz w:val="15"/>
          <w:szCs w:val="15"/>
          <w:color w:val="auto"/>
        </w:rPr>
        <w:t>We are committed to being a top biotechnology</w:t>
      </w:r>
      <w:r>
        <w:rPr>
          <w:rFonts w:ascii="Arial" w:cs="Arial" w:eastAsia="Arial" w:hAnsi="Arial"/>
          <w:sz w:val="15"/>
          <w:szCs w:val="15"/>
          <w:b w:val="1"/>
          <w:bCs w:val="1"/>
          <w:color w:val="auto"/>
        </w:rPr>
        <w:t xml:space="preserve"> </w:t>
      </w:r>
      <w:r>
        <w:rPr>
          <w:rFonts w:ascii="Arial" w:cs="Arial" w:eastAsia="Arial" w:hAnsi="Arial"/>
          <w:sz w:val="15"/>
          <w:szCs w:val="15"/>
          <w:color w:val="auto"/>
        </w:rPr>
        <w:t>employer that attracts and retains highly talented and motivated people, and facilitates a diverse and inclusive workforce where people feel safe, engaged, and supported. At the end of 2018, 48% of our employees, and 37% of those in leadership positions, were women.</w:t>
      </w:r>
    </w:p>
    <w:p>
      <w:pPr>
        <w:spacing w:after="0" w:line="139" w:lineRule="exact"/>
        <w:rPr>
          <w:sz w:val="20"/>
          <w:szCs w:val="20"/>
          <w:color w:val="auto"/>
        </w:rPr>
      </w:pPr>
    </w:p>
    <w:p>
      <w:pPr>
        <w:ind w:left="9" w:right="40"/>
        <w:spacing w:after="0" w:line="225" w:lineRule="auto"/>
        <w:rPr>
          <w:sz w:val="20"/>
          <w:szCs w:val="20"/>
          <w:color w:val="auto"/>
        </w:rPr>
      </w:pPr>
      <w:r>
        <w:rPr>
          <w:rFonts w:ascii="Arial" w:cs="Arial" w:eastAsia="Arial" w:hAnsi="Arial"/>
          <w:sz w:val="15"/>
          <w:szCs w:val="15"/>
          <w:color w:val="auto"/>
        </w:rPr>
        <w:t>We believe that creating life-transforming medicines should go hand-in-hand with a healthy living environment. In 2013, we created ambitious, five-year environmental sustainability goals for four major focus areas: carbon, waste, hazardous chemical waste, and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46863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16" w:lineRule="exact"/>
        <w:rPr>
          <w:sz w:val="20"/>
          <w:szCs w:val="20"/>
          <w:color w:val="auto"/>
        </w:rPr>
      </w:pPr>
    </w:p>
    <w:p>
      <w:pPr>
        <w:ind w:left="149" w:right="60" w:hanging="149"/>
        <w:spacing w:after="0" w:line="234" w:lineRule="auto"/>
        <w:tabs>
          <w:tab w:leader="none" w:pos="149" w:val="left"/>
        </w:tabs>
        <w:numPr>
          <w:ilvl w:val="0"/>
          <w:numId w:val="42"/>
        </w:numPr>
        <w:rPr>
          <w:rFonts w:ascii="Arial" w:cs="Arial" w:eastAsia="Arial" w:hAnsi="Arial"/>
          <w:sz w:val="14"/>
          <w:szCs w:val="14"/>
          <w:b w:val="1"/>
          <w:bCs w:val="1"/>
          <w:color w:val="205BA8"/>
        </w:rPr>
      </w:pPr>
      <w:r>
        <w:rPr>
          <w:rFonts w:ascii="Arial" w:cs="Arial" w:eastAsia="Arial" w:hAnsi="Arial"/>
          <w:sz w:val="14"/>
          <w:szCs w:val="14"/>
          <w:color w:val="auto"/>
        </w:rPr>
        <w:t>In this section, we use the terms “material” and “materiality” to refer to topics that reflect Regeneron’s meaningful economic, environmental, and social impacts or that influence the assessments and decisions of stakeholders, or what sustainability organizations and standards commonly define as “material aspects.” The use of such terms shall not be deemed to constitute an admission as to the materiality of any information in this proxy statement for purposes of applicable securities laws or any other laws of the United States, nor are we using them as they are used in the context of financial statements and financial reporting.</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164465</wp:posOffset>
            </wp:positionV>
            <wp:extent cx="7251700"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291" w:space="720"/>
            <w:col w:w="7389"/>
          </w:cols>
          <w:pgMar w:left="760" w:top="396" w:right="739" w:bottom="1440" w:gutter="0" w:footer="0" w:header="0"/>
          <w:type w:val="continuous"/>
        </w:sectPr>
      </w:pPr>
    </w:p>
    <w:bookmarkStart w:id="49" w:name="page50"/>
    <w:bookmarkEnd w:id="49"/>
    <w:p>
      <w:pPr>
        <w:ind w:left="7320"/>
        <w:spacing w:after="0"/>
        <w:rPr>
          <w:sz w:val="20"/>
          <w:szCs w:val="20"/>
          <w:color w:val="auto"/>
        </w:rPr>
      </w:pPr>
      <w:r>
        <w:rPr>
          <w:rFonts w:ascii="Arial" w:cs="Arial" w:eastAsia="Arial" w:hAnsi="Arial"/>
          <w:sz w:val="14"/>
          <w:szCs w:val="14"/>
          <w:b w:val="1"/>
          <w:bCs w:val="1"/>
          <w:color w:val="205BA8"/>
        </w:rPr>
        <w:t xml:space="preserve">THE COMPANY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36" w:lineRule="exact"/>
        <w:rPr>
          <w:sz w:val="20"/>
          <w:szCs w:val="20"/>
          <w:color w:val="auto"/>
        </w:rPr>
      </w:pPr>
    </w:p>
    <w:p>
      <w:pPr>
        <w:ind w:left="3540" w:right="580"/>
        <w:spacing w:after="0" w:line="235" w:lineRule="auto"/>
        <w:rPr>
          <w:sz w:val="20"/>
          <w:szCs w:val="20"/>
          <w:color w:val="auto"/>
        </w:rPr>
      </w:pPr>
      <w:r>
        <w:rPr>
          <w:rFonts w:ascii="Arial" w:cs="Arial" w:eastAsia="Arial" w:hAnsi="Arial"/>
          <w:sz w:val="14"/>
          <w:szCs w:val="14"/>
          <w:color w:val="auto"/>
        </w:rPr>
        <w:t>When setting these environmental sustainability goals, we chose targets that we would have to stretch to achieve. We are proud to have achieved our carbon reduction and waste diversion goals, as shown in the table below. Although we attained notable reductions in our electricity and hazardous chemical waste, we had not fully achieved the initial goals in these areas by 2018. This was largely due to our substantial growth over this five-year period; since 2013, the Company has added one new site in the United States and three others in Europe. This expansion of our infrastructure resulted in our electricity reduction rate coming just under target. Similarly, we increased our lab space to accommodate our significant R&amp;D investments, which resulted in a corresponding increase in the lab equipment that generates hazardous chemical waste. Much of this added equipment runs autonomously, contributing to a lower reduction in hazardous chemical waste per lab employee than targeted.</w:t>
      </w:r>
    </w:p>
    <w:p>
      <w:pPr>
        <w:spacing w:after="0" w:line="140" w:lineRule="exact"/>
        <w:rPr>
          <w:sz w:val="20"/>
          <w:szCs w:val="20"/>
          <w:color w:val="auto"/>
        </w:rPr>
      </w:pPr>
    </w:p>
    <w:p>
      <w:pPr>
        <w:jc w:val="both"/>
        <w:ind w:left="3540" w:right="540"/>
        <w:spacing w:after="0" w:line="241" w:lineRule="auto"/>
        <w:rPr>
          <w:sz w:val="20"/>
          <w:szCs w:val="20"/>
          <w:color w:val="auto"/>
        </w:rPr>
      </w:pPr>
      <w:r>
        <w:rPr>
          <w:rFonts w:ascii="Arial" w:cs="Arial" w:eastAsia="Arial" w:hAnsi="Arial"/>
          <w:sz w:val="14"/>
          <w:szCs w:val="14"/>
          <w:color w:val="auto"/>
        </w:rPr>
        <w:t>In 2018, we conducted a comprehensive review of our environmental programs to better understand the strengths and opportunities across our operations. This work will inform our next generation of responsibility goals, which we began to develop in 2018 and on which we will begin reporting in our 2019 Responsibility Report.</w:t>
      </w:r>
    </w:p>
    <w:p>
      <w:pPr>
        <w:spacing w:after="0" w:line="129" w:lineRule="exact"/>
        <w:rPr>
          <w:sz w:val="20"/>
          <w:szCs w:val="20"/>
          <w:color w:val="auto"/>
        </w:rPr>
      </w:pPr>
    </w:p>
    <w:p>
      <w:pPr>
        <w:ind w:left="3580"/>
        <w:spacing w:after="0"/>
        <w:tabs>
          <w:tab w:leader="none" w:pos="7360" w:val="left"/>
        </w:tabs>
        <w:rPr>
          <w:sz w:val="20"/>
          <w:szCs w:val="20"/>
          <w:color w:val="auto"/>
        </w:rPr>
      </w:pPr>
      <w:r>
        <w:rPr>
          <w:rFonts w:ascii="Arial" w:cs="Arial" w:eastAsia="Arial" w:hAnsi="Arial"/>
          <w:sz w:val="11"/>
          <w:szCs w:val="11"/>
          <w:b w:val="1"/>
          <w:bCs w:val="1"/>
          <w:color w:val="205BA8"/>
        </w:rPr>
        <w:t>Five-Year Goals (by 2018)</w:t>
      </w:r>
      <w:r>
        <w:rPr>
          <w:rFonts w:ascii="Arial" w:cs="Arial" w:eastAsia="Arial" w:hAnsi="Arial"/>
          <w:sz w:val="18"/>
          <w:szCs w:val="18"/>
          <w:b w:val="1"/>
          <w:bCs w:val="1"/>
          <w:color w:val="205BA8"/>
          <w:vertAlign w:val="superscript"/>
        </w:rPr>
        <w:t>1</w:t>
      </w:r>
      <w:r>
        <w:rPr>
          <w:sz w:val="20"/>
          <w:szCs w:val="20"/>
          <w:color w:val="auto"/>
        </w:rPr>
        <w:tab/>
      </w:r>
      <w:r>
        <w:rPr>
          <w:rFonts w:ascii="Arial" w:cs="Arial" w:eastAsia="Arial" w:hAnsi="Arial"/>
          <w:sz w:val="16"/>
          <w:szCs w:val="16"/>
          <w:b w:val="1"/>
          <w:bCs w:val="1"/>
          <w:color w:val="205BA8"/>
          <w:vertAlign w:val="superscript"/>
        </w:rPr>
        <w:t>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-15875</wp:posOffset>
            </wp:positionV>
            <wp:extent cx="468630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68630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68"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D61C5A"/>
        </w:rPr>
        <w:t>Carbon</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2"/>
          <w:szCs w:val="12"/>
          <w:color w:val="auto"/>
        </w:rPr>
        <w:t>We will reduce our greenhouse gas emissions per full-time</w:t>
      </w:r>
    </w:p>
    <w:p>
      <w:pPr>
        <w:spacing w:after="0" w:line="5"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employee by 30%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580"/>
        <w:spacing w:after="0" w:line="234" w:lineRule="auto"/>
        <w:rPr>
          <w:sz w:val="20"/>
          <w:szCs w:val="20"/>
          <w:color w:val="auto"/>
        </w:rPr>
      </w:pPr>
      <w:r>
        <w:rPr>
          <w:rFonts w:ascii="Arial" w:cs="Arial" w:eastAsia="Arial" w:hAnsi="Arial"/>
          <w:sz w:val="13"/>
          <w:szCs w:val="13"/>
          <w:color w:val="auto"/>
        </w:rPr>
        <w:t>Achieved: We reduced our greenhouse gas emissions per full-time employee by 30%</w:t>
      </w:r>
    </w:p>
    <w:p>
      <w:pPr>
        <w:spacing w:after="0" w:line="118" w:lineRule="exact"/>
        <w:rPr>
          <w:sz w:val="20"/>
          <w:szCs w:val="20"/>
          <w:color w:val="auto"/>
        </w:rPr>
      </w:pPr>
    </w:p>
    <w:p>
      <w:pPr>
        <w:sectPr>
          <w:pgSz w:w="11900" w:h="16838" w:orient="portrait"/>
          <w:cols w:equalWidth="0" w:num="2">
            <w:col w:w="6840" w:space="540"/>
            <w:col w:w="4040"/>
          </w:cols>
          <w:pgMar w:left="240" w:top="396" w:right="239" w:bottom="1440" w:gutter="0" w:footer="0" w:header="0"/>
          <w:type w:val="continuous"/>
        </w:sectPr>
      </w:pPr>
    </w:p>
    <w:tbl>
      <w:tblPr>
        <w:tblLayout w:type="fixed"/>
        <w:tblInd w:w="3540" w:type="dxa"/>
        <w:tblCellMar>
          <w:top w:w="0" w:type="dxa"/>
          <w:left w:w="0" w:type="dxa"/>
          <w:bottom w:w="0" w:type="dxa"/>
          <w:right w:w="0" w:type="dxa"/>
        </w:tblCellMar>
      </w:tblPr>
      <w:tr>
        <w:trPr>
          <w:trHeight w:val="191"/>
        </w:trPr>
        <w:tc>
          <w:tcPr>
            <w:tcW w:w="3540" w:type="dxa"/>
            <w:vAlign w:val="bottom"/>
            <w:tcBorders>
              <w:top w:val="single" w:sz="8" w:color="205BA8"/>
            </w:tcBorders>
            <w:shd w:val="clear" w:color="auto" w:fill="ECEDED"/>
          </w:tcPr>
          <w:p>
            <w:pPr>
              <w:ind w:left="40"/>
              <w:spacing w:after="0"/>
              <w:rPr>
                <w:sz w:val="20"/>
                <w:szCs w:val="20"/>
                <w:color w:val="auto"/>
              </w:rPr>
            </w:pPr>
            <w:r>
              <w:rPr>
                <w:rFonts w:ascii="Arial" w:cs="Arial" w:eastAsia="Arial" w:hAnsi="Arial"/>
                <w:sz w:val="13"/>
                <w:szCs w:val="13"/>
                <w:b w:val="1"/>
                <w:bCs w:val="1"/>
                <w:color w:val="D61C5A"/>
              </w:rPr>
              <w:t>Waste</w:t>
            </w:r>
          </w:p>
        </w:tc>
        <w:tc>
          <w:tcPr>
            <w:tcW w:w="3840" w:type="dxa"/>
            <w:vAlign w:val="bottom"/>
            <w:tcBorders>
              <w:top w:val="single" w:sz="8" w:color="205BA8"/>
            </w:tcBorders>
            <w:shd w:val="clear" w:color="auto" w:fill="ECEDED"/>
          </w:tcPr>
          <w:p>
            <w:pPr>
              <w:ind w:left="300"/>
              <w:spacing w:after="0"/>
              <w:rPr>
                <w:sz w:val="20"/>
                <w:szCs w:val="20"/>
                <w:color w:val="auto"/>
              </w:rPr>
            </w:pPr>
            <w:r>
              <w:rPr>
                <w:rFonts w:ascii="Arial" w:cs="Arial" w:eastAsia="Arial" w:hAnsi="Arial"/>
                <w:sz w:val="13"/>
                <w:szCs w:val="13"/>
                <w:color w:val="auto"/>
              </w:rPr>
              <w:t>Achieved: We diverted 98% of our waste from landfill,</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205BA8"/>
            </w:tcBorders>
            <w:shd w:val="clear" w:color="auto" w:fill="ECEDED"/>
          </w:tcPr>
          <w:p>
            <w:pPr>
              <w:ind w:left="40"/>
              <w:spacing w:after="0"/>
              <w:rPr>
                <w:sz w:val="20"/>
                <w:szCs w:val="20"/>
                <w:color w:val="auto"/>
              </w:rPr>
            </w:pPr>
            <w:r>
              <w:rPr>
                <w:rFonts w:ascii="Arial" w:cs="Arial" w:eastAsia="Arial" w:hAnsi="Arial"/>
                <w:sz w:val="13"/>
                <w:szCs w:val="13"/>
                <w:color w:val="auto"/>
              </w:rPr>
              <w:t>We will divert 90% of our waste from landfill</w:t>
            </w:r>
          </w:p>
        </w:tc>
        <w:tc>
          <w:tcPr>
            <w:tcW w:w="3840" w:type="dxa"/>
            <w:vAlign w:val="bottom"/>
            <w:tcBorders>
              <w:bottom w:val="single" w:sz="8" w:color="205BA8"/>
            </w:tcBorders>
            <w:shd w:val="clear" w:color="auto" w:fill="ECEDED"/>
          </w:tcPr>
          <w:p>
            <w:pPr>
              <w:ind w:left="300"/>
              <w:spacing w:after="0"/>
              <w:rPr>
                <w:sz w:val="20"/>
                <w:szCs w:val="20"/>
                <w:color w:val="auto"/>
              </w:rPr>
            </w:pPr>
            <w:r>
              <w:rPr>
                <w:rFonts w:ascii="Arial" w:cs="Arial" w:eastAsia="Arial" w:hAnsi="Arial"/>
                <w:sz w:val="13"/>
                <w:szCs w:val="13"/>
                <w:color w:val="auto"/>
              </w:rPr>
              <w:t>surpassing our goal</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3"/>
                <w:szCs w:val="13"/>
                <w:b w:val="1"/>
                <w:bCs w:val="1"/>
                <w:color w:val="D61C5A"/>
              </w:rPr>
              <w:t>Hazardous Chemical Waste</w:t>
            </w:r>
          </w:p>
        </w:tc>
        <w:tc>
          <w:tcPr>
            <w:tcW w:w="3840" w:type="dxa"/>
            <w:vAlign w:val="bottom"/>
            <w:vMerge w:val="restart"/>
          </w:tcPr>
          <w:p>
            <w:pPr>
              <w:ind w:left="300"/>
              <w:spacing w:after="0"/>
              <w:rPr>
                <w:sz w:val="20"/>
                <w:szCs w:val="20"/>
                <w:color w:val="auto"/>
              </w:rPr>
            </w:pPr>
            <w:r>
              <w:rPr>
                <w:rFonts w:ascii="Arial" w:cs="Arial" w:eastAsia="Arial" w:hAnsi="Arial"/>
                <w:sz w:val="13"/>
                <w:szCs w:val="13"/>
                <w:color w:val="auto"/>
                <w:w w:val="98"/>
              </w:rPr>
              <w:t>Notable Reduction: We reduced hazardous chemical waste by</w:t>
            </w:r>
          </w:p>
        </w:tc>
        <w:tc>
          <w:tcPr>
            <w:tcW w:w="0" w:type="dxa"/>
            <w:vAlign w:val="bottom"/>
          </w:tcPr>
          <w:p>
            <w:pPr>
              <w:spacing w:after="0"/>
              <w:rPr>
                <w:sz w:val="1"/>
                <w:szCs w:val="1"/>
                <w:color w:val="auto"/>
              </w:rPr>
            </w:pPr>
          </w:p>
        </w:tc>
      </w:tr>
      <w:tr>
        <w:trPr>
          <w:trHeight w:val="58"/>
        </w:trPr>
        <w:tc>
          <w:tcPr>
            <w:tcW w:w="3540" w:type="dxa"/>
            <w:vAlign w:val="bottom"/>
            <w:vMerge w:val="restart"/>
          </w:tcPr>
          <w:p>
            <w:pPr>
              <w:ind w:left="40"/>
              <w:spacing w:after="0"/>
              <w:rPr>
                <w:sz w:val="20"/>
                <w:szCs w:val="20"/>
                <w:color w:val="auto"/>
              </w:rPr>
            </w:pPr>
            <w:r>
              <w:rPr>
                <w:rFonts w:ascii="Arial" w:cs="Arial" w:eastAsia="Arial" w:hAnsi="Arial"/>
                <w:sz w:val="13"/>
                <w:szCs w:val="13"/>
                <w:color w:val="auto"/>
              </w:rPr>
              <w:t>We will reduce hazardous chemical waste by 60% per lab</w:t>
            </w: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540" w:type="dxa"/>
            <w:vAlign w:val="bottom"/>
            <w:vMerge w:val="continue"/>
          </w:tcPr>
          <w:p>
            <w:pPr>
              <w:spacing w:after="0"/>
              <w:rPr>
                <w:sz w:val="10"/>
                <w:szCs w:val="10"/>
                <w:color w:val="auto"/>
              </w:rPr>
            </w:pPr>
          </w:p>
        </w:tc>
        <w:tc>
          <w:tcPr>
            <w:tcW w:w="3840" w:type="dxa"/>
            <w:vAlign w:val="bottom"/>
          </w:tcPr>
          <w:p>
            <w:pPr>
              <w:ind w:left="300"/>
              <w:spacing w:after="0" w:line="117" w:lineRule="exact"/>
              <w:rPr>
                <w:sz w:val="20"/>
                <w:szCs w:val="20"/>
                <w:color w:val="auto"/>
              </w:rPr>
            </w:pPr>
            <w:r>
              <w:rPr>
                <w:rFonts w:ascii="Arial" w:cs="Arial" w:eastAsia="Arial" w:hAnsi="Arial"/>
                <w:sz w:val="13"/>
                <w:szCs w:val="13"/>
                <w:color w:val="auto"/>
              </w:rPr>
              <w:t>43% per lab employee</w:t>
            </w:r>
          </w:p>
        </w:tc>
        <w:tc>
          <w:tcPr>
            <w:tcW w:w="0" w:type="dxa"/>
            <w:vAlign w:val="bottom"/>
          </w:tcPr>
          <w:p>
            <w:pPr>
              <w:spacing w:after="0"/>
              <w:rPr>
                <w:sz w:val="1"/>
                <w:szCs w:val="1"/>
                <w:color w:val="auto"/>
              </w:rPr>
            </w:pPr>
          </w:p>
        </w:tc>
      </w:tr>
      <w:tr>
        <w:trPr>
          <w:trHeight w:val="151"/>
        </w:trPr>
        <w:tc>
          <w:tcPr>
            <w:tcW w:w="3540" w:type="dxa"/>
            <w:vAlign w:val="bottom"/>
            <w:tcBorders>
              <w:bottom w:val="single" w:sz="8" w:color="205BA8"/>
            </w:tcBorders>
          </w:tcPr>
          <w:p>
            <w:pPr>
              <w:ind w:left="40"/>
              <w:spacing w:after="0"/>
              <w:rPr>
                <w:sz w:val="20"/>
                <w:szCs w:val="20"/>
                <w:color w:val="auto"/>
              </w:rPr>
            </w:pPr>
            <w:r>
              <w:rPr>
                <w:rFonts w:ascii="Arial" w:cs="Arial" w:eastAsia="Arial" w:hAnsi="Arial"/>
                <w:sz w:val="13"/>
                <w:szCs w:val="13"/>
                <w:color w:val="auto"/>
              </w:rPr>
              <w:t>employee</w:t>
            </w:r>
          </w:p>
        </w:tc>
        <w:tc>
          <w:tcPr>
            <w:tcW w:w="3840" w:type="dxa"/>
            <w:vAlign w:val="bottom"/>
            <w:tcBorders>
              <w:bottom w:val="single" w:sz="8" w:color="205BA8"/>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shd w:val="clear" w:color="auto" w:fill="ECEDED"/>
          </w:tcPr>
          <w:p>
            <w:pPr>
              <w:ind w:left="40"/>
              <w:spacing w:after="0"/>
              <w:rPr>
                <w:sz w:val="20"/>
                <w:szCs w:val="20"/>
                <w:color w:val="auto"/>
              </w:rPr>
            </w:pPr>
            <w:r>
              <w:rPr>
                <w:rFonts w:ascii="Arial" w:cs="Arial" w:eastAsia="Arial" w:hAnsi="Arial"/>
                <w:sz w:val="13"/>
                <w:szCs w:val="13"/>
                <w:b w:val="1"/>
                <w:bCs w:val="1"/>
                <w:color w:val="D61C5A"/>
              </w:rPr>
              <w:t>Electricity</w:t>
            </w:r>
          </w:p>
        </w:tc>
        <w:tc>
          <w:tcPr>
            <w:tcW w:w="3840" w:type="dxa"/>
            <w:vAlign w:val="bottom"/>
            <w:vMerge w:val="restart"/>
            <w:shd w:val="clear" w:color="auto" w:fill="ECEDED"/>
          </w:tcPr>
          <w:p>
            <w:pPr>
              <w:ind w:left="300"/>
              <w:spacing w:after="0"/>
              <w:rPr>
                <w:sz w:val="20"/>
                <w:szCs w:val="20"/>
                <w:color w:val="auto"/>
              </w:rPr>
            </w:pPr>
            <w:r>
              <w:rPr>
                <w:rFonts w:ascii="Arial" w:cs="Arial" w:eastAsia="Arial" w:hAnsi="Arial"/>
                <w:sz w:val="13"/>
                <w:szCs w:val="13"/>
                <w:color w:val="auto"/>
                <w:w w:val="96"/>
              </w:rPr>
              <w:t>Notable Reduction: We reduced our electricity consumption per</w:t>
            </w:r>
          </w:p>
        </w:tc>
        <w:tc>
          <w:tcPr>
            <w:tcW w:w="0" w:type="dxa"/>
            <w:vAlign w:val="bottom"/>
          </w:tcPr>
          <w:p>
            <w:pPr>
              <w:spacing w:after="0"/>
              <w:rPr>
                <w:sz w:val="1"/>
                <w:szCs w:val="1"/>
                <w:color w:val="auto"/>
              </w:rPr>
            </w:pPr>
          </w:p>
        </w:tc>
      </w:tr>
      <w:tr>
        <w:trPr>
          <w:trHeight w:val="97"/>
        </w:trPr>
        <w:tc>
          <w:tcPr>
            <w:tcW w:w="3540" w:type="dxa"/>
            <w:vAlign w:val="bottom"/>
            <w:vMerge w:val="restart"/>
            <w:shd w:val="clear" w:color="auto" w:fill="ECEDED"/>
          </w:tcPr>
          <w:p>
            <w:pPr>
              <w:ind w:left="40"/>
              <w:spacing w:after="0"/>
              <w:rPr>
                <w:sz w:val="20"/>
                <w:szCs w:val="20"/>
                <w:color w:val="auto"/>
              </w:rPr>
            </w:pPr>
            <w:r>
              <w:rPr>
                <w:rFonts w:ascii="Arial" w:cs="Arial" w:eastAsia="Arial" w:hAnsi="Arial"/>
                <w:sz w:val="13"/>
                <w:szCs w:val="13"/>
                <w:color w:val="auto"/>
              </w:rPr>
              <w:t>We will reduce our electricity consumption per full-time</w:t>
            </w:r>
          </w:p>
        </w:tc>
        <w:tc>
          <w:tcPr>
            <w:tcW w:w="3840" w:type="dxa"/>
            <w:vAlign w:val="bottom"/>
            <w:vMerge w:val="continue"/>
            <w:shd w:val="clear" w:color="auto" w:fill="ECEDED"/>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540" w:type="dxa"/>
            <w:vAlign w:val="bottom"/>
            <w:vMerge w:val="continue"/>
            <w:shd w:val="clear" w:color="auto" w:fill="ECEDED"/>
          </w:tcPr>
          <w:p>
            <w:pPr>
              <w:spacing w:after="0"/>
              <w:rPr>
                <w:sz w:val="9"/>
                <w:szCs w:val="9"/>
                <w:color w:val="auto"/>
              </w:rPr>
            </w:pPr>
          </w:p>
        </w:tc>
        <w:tc>
          <w:tcPr>
            <w:tcW w:w="3840" w:type="dxa"/>
            <w:vAlign w:val="bottom"/>
            <w:vMerge w:val="restart"/>
            <w:shd w:val="clear" w:color="auto" w:fill="ECEDED"/>
          </w:tcPr>
          <w:p>
            <w:pPr>
              <w:ind w:left="300"/>
              <w:spacing w:after="0"/>
              <w:rPr>
                <w:sz w:val="20"/>
                <w:szCs w:val="20"/>
                <w:color w:val="auto"/>
              </w:rPr>
            </w:pPr>
            <w:r>
              <w:rPr>
                <w:rFonts w:ascii="Arial" w:cs="Arial" w:eastAsia="Arial" w:hAnsi="Arial"/>
                <w:sz w:val="13"/>
                <w:szCs w:val="13"/>
                <w:color w:val="auto"/>
              </w:rPr>
              <w:t>full-time employee by 8%</w:t>
            </w:r>
          </w:p>
        </w:tc>
        <w:tc>
          <w:tcPr>
            <w:tcW w:w="0" w:type="dxa"/>
            <w:vAlign w:val="bottom"/>
          </w:tcPr>
          <w:p>
            <w:pPr>
              <w:spacing w:after="0"/>
              <w:rPr>
                <w:sz w:val="1"/>
                <w:szCs w:val="1"/>
                <w:color w:val="auto"/>
              </w:rPr>
            </w:pPr>
          </w:p>
        </w:tc>
      </w:tr>
      <w:tr>
        <w:trPr>
          <w:trHeight w:val="46"/>
        </w:trPr>
        <w:tc>
          <w:tcPr>
            <w:tcW w:w="3540" w:type="dxa"/>
            <w:vAlign w:val="bottom"/>
            <w:vMerge w:val="restart"/>
            <w:shd w:val="clear" w:color="auto" w:fill="ECEDED"/>
          </w:tcPr>
          <w:p>
            <w:pPr>
              <w:ind w:left="40"/>
              <w:spacing w:after="0"/>
              <w:rPr>
                <w:sz w:val="20"/>
                <w:szCs w:val="20"/>
                <w:color w:val="auto"/>
              </w:rPr>
            </w:pPr>
            <w:r>
              <w:rPr>
                <w:rFonts w:ascii="Arial" w:cs="Arial" w:eastAsia="Arial" w:hAnsi="Arial"/>
                <w:sz w:val="13"/>
                <w:szCs w:val="13"/>
                <w:color w:val="auto"/>
              </w:rPr>
              <w:t>employee by 10%</w:t>
            </w:r>
          </w:p>
        </w:tc>
        <w:tc>
          <w:tcPr>
            <w:tcW w:w="3840" w:type="dxa"/>
            <w:vAlign w:val="bottom"/>
            <w:vMerge w:val="continue"/>
            <w:shd w:val="clear" w:color="auto" w:fill="ECEDED"/>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3540" w:type="dxa"/>
            <w:vAlign w:val="bottom"/>
            <w:tcBorders>
              <w:bottom w:val="single" w:sz="8" w:color="205BA8"/>
            </w:tcBorders>
            <w:vMerge w:val="continue"/>
            <w:shd w:val="clear" w:color="auto" w:fill="ECEDED"/>
          </w:tcPr>
          <w:p>
            <w:pPr>
              <w:spacing w:after="0"/>
              <w:rPr>
                <w:sz w:val="9"/>
                <w:szCs w:val="9"/>
                <w:color w:val="auto"/>
              </w:rPr>
            </w:pPr>
          </w:p>
        </w:tc>
        <w:tc>
          <w:tcPr>
            <w:tcW w:w="3840" w:type="dxa"/>
            <w:vAlign w:val="bottom"/>
            <w:tcBorders>
              <w:bottom w:val="single" w:sz="8" w:color="205BA8"/>
            </w:tcBorders>
            <w:shd w:val="clear" w:color="auto" w:fill="ECEDED"/>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540" w:type="dxa"/>
            <w:vAlign w:val="bottom"/>
            <w:tcBorders>
              <w:bottom w:val="single" w:sz="8" w:color="205BA8"/>
            </w:tcBorders>
          </w:tcPr>
          <w:p>
            <w:pPr>
              <w:spacing w:after="0"/>
              <w:rPr>
                <w:sz w:val="13"/>
                <w:szCs w:val="13"/>
                <w:color w:val="auto"/>
              </w:rPr>
            </w:pPr>
          </w:p>
        </w:tc>
        <w:tc>
          <w:tcPr>
            <w:tcW w:w="3840" w:type="dxa"/>
            <w:vAlign w:val="bottom"/>
            <w:tcBorders>
              <w:bottom w:val="single" w:sz="8" w:color="205BA8"/>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ectPr>
          <w:pgSz w:w="11900" w:h="16838" w:orient="portrait"/>
          <w:cols w:equalWidth="0" w:num="1">
            <w:col w:w="11420"/>
          </w:cols>
          <w:pgMar w:left="240" w:top="3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right="291"/>
        <w:spacing w:after="0" w:line="297" w:lineRule="auto"/>
        <w:rPr>
          <w:sz w:val="20"/>
          <w:szCs w:val="20"/>
          <w:color w:val="auto"/>
        </w:rPr>
      </w:pPr>
      <w:r>
        <w:rPr>
          <w:rFonts w:ascii="Arial" w:cs="Arial" w:eastAsia="Arial" w:hAnsi="Arial"/>
          <w:sz w:val="25"/>
          <w:szCs w:val="25"/>
          <w:b w:val="1"/>
          <w:bCs w:val="1"/>
          <w:color w:val="D61C5A"/>
        </w:rPr>
        <w:t>PUBLIC POLICY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-553720</wp:posOffset>
            </wp:positionV>
            <wp:extent cx="16497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9" w:right="640" w:hanging="149"/>
        <w:spacing w:after="0" w:line="239" w:lineRule="auto"/>
        <w:tabs>
          <w:tab w:leader="none" w:pos="149" w:val="left"/>
        </w:tabs>
        <w:numPr>
          <w:ilvl w:val="0"/>
          <w:numId w:val="43"/>
        </w:numPr>
        <w:rPr>
          <w:rFonts w:ascii="Arial" w:cs="Arial" w:eastAsia="Arial" w:hAnsi="Arial"/>
          <w:sz w:val="14"/>
          <w:szCs w:val="14"/>
          <w:b w:val="1"/>
          <w:bCs w:val="1"/>
          <w:color w:val="205BA8"/>
        </w:rPr>
      </w:pPr>
      <w:r>
        <w:rPr>
          <w:rFonts w:ascii="Arial" w:cs="Arial" w:eastAsia="Arial" w:hAnsi="Arial"/>
          <w:sz w:val="14"/>
          <w:szCs w:val="14"/>
          <w:color w:val="auto"/>
        </w:rPr>
        <w:t>Carbon and Electricity baselines are reported based on the original Carbon Disclosure Project (CDP) reporting year; 2014 data correspond to June 2013–May 2014 reporting year.</w:t>
      </w:r>
    </w:p>
    <w:p>
      <w:pPr>
        <w:spacing w:after="0" w:line="141" w:lineRule="exact"/>
        <w:rPr>
          <w:sz w:val="20"/>
          <w:szCs w:val="20"/>
          <w:color w:val="auto"/>
        </w:rPr>
      </w:pPr>
    </w:p>
    <w:p>
      <w:pPr>
        <w:ind w:left="9" w:right="620"/>
        <w:spacing w:after="0" w:line="241" w:lineRule="auto"/>
        <w:rPr>
          <w:sz w:val="20"/>
          <w:szCs w:val="20"/>
          <w:color w:val="auto"/>
        </w:rPr>
      </w:pPr>
      <w:r>
        <w:rPr>
          <w:rFonts w:ascii="Arial" w:cs="Arial" w:eastAsia="Arial" w:hAnsi="Arial"/>
          <w:sz w:val="14"/>
          <w:szCs w:val="14"/>
          <w:color w:val="auto"/>
        </w:rPr>
        <w:t>We are equally committed to conducting our business responsibly and ethically. This is demonstrated through the range of policies, practices, and initiatives we have implemented, encompassing compliance, anti-bribery and corruption, responsible sales and marketing, ethical clinical trials, and product quality and safety.</w:t>
      </w:r>
    </w:p>
    <w:p>
      <w:pPr>
        <w:spacing w:after="0" w:line="121" w:lineRule="exact"/>
        <w:rPr>
          <w:sz w:val="20"/>
          <w:szCs w:val="20"/>
          <w:color w:val="auto"/>
        </w:rPr>
      </w:pPr>
    </w:p>
    <w:p>
      <w:pPr>
        <w:ind w:left="9" w:right="580"/>
        <w:spacing w:after="0" w:line="226" w:lineRule="auto"/>
        <w:rPr>
          <w:sz w:val="20"/>
          <w:szCs w:val="20"/>
          <w:color w:val="auto"/>
        </w:rPr>
      </w:pPr>
      <w:r>
        <w:rPr>
          <w:rFonts w:ascii="Arial" w:cs="Arial" w:eastAsia="Arial" w:hAnsi="Arial"/>
          <w:sz w:val="15"/>
          <w:szCs w:val="15"/>
          <w:b w:val="1"/>
          <w:bCs w:val="1"/>
          <w:color w:val="auto"/>
        </w:rPr>
        <w:t xml:space="preserve">Building a better future. </w:t>
      </w:r>
      <w:r>
        <w:rPr>
          <w:rFonts w:ascii="Arial" w:cs="Arial" w:eastAsia="Arial" w:hAnsi="Arial"/>
          <w:sz w:val="15"/>
          <w:szCs w:val="15"/>
          <w:color w:val="auto"/>
        </w:rPr>
        <w:t>We are a long-standing supporter of science education and make major philanthropic</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 to inspire future innovators, including our 10-year, $100-million commitment to the Regeneron Science Talent Search, the nation’s most prestigious pre-college science and mathematics competition. Science, technology, engineering, and math (STEM) education represents more than 93% of our corporate philanthropy grants made in 2018, not including medical grants and matched funds.</w:t>
      </w:r>
    </w:p>
    <w:p>
      <w:pPr>
        <w:spacing w:after="0" w:line="141" w:lineRule="exact"/>
        <w:rPr>
          <w:sz w:val="20"/>
          <w:szCs w:val="20"/>
          <w:color w:val="auto"/>
        </w:rPr>
      </w:pPr>
    </w:p>
    <w:p>
      <w:pPr>
        <w:ind w:left="9" w:right="660"/>
        <w:spacing w:after="0" w:line="223" w:lineRule="auto"/>
        <w:rPr>
          <w:sz w:val="20"/>
          <w:szCs w:val="20"/>
          <w:color w:val="auto"/>
        </w:rPr>
      </w:pPr>
      <w:r>
        <w:rPr>
          <w:rFonts w:ascii="Arial" w:cs="Arial" w:eastAsia="Arial" w:hAnsi="Arial"/>
          <w:sz w:val="15"/>
          <w:szCs w:val="15"/>
          <w:color w:val="auto"/>
        </w:rPr>
        <w:t>In 2018, we also held our second annual Day for Doing Good, a company-wide day of service that had 55% employee participation. We are proud to be recognized for the second consecutive year as one of the 2018 Civic 50 by the non-profit organization Points of Light, distinguishing us as one of the 50 most community-minded companies in the United States.</w:t>
      </w:r>
    </w:p>
    <w:p>
      <w:pPr>
        <w:spacing w:after="0" w:line="138" w:lineRule="exact"/>
        <w:rPr>
          <w:sz w:val="20"/>
          <w:szCs w:val="20"/>
          <w:color w:val="auto"/>
        </w:rPr>
      </w:pPr>
    </w:p>
    <w:p>
      <w:pPr>
        <w:ind w:left="9" w:right="780"/>
        <w:spacing w:after="0" w:line="229" w:lineRule="auto"/>
        <w:rPr>
          <w:sz w:val="20"/>
          <w:szCs w:val="20"/>
          <w:color w:val="auto"/>
        </w:rPr>
      </w:pPr>
      <w:r>
        <w:rPr>
          <w:rFonts w:ascii="Arial" w:cs="Arial" w:eastAsia="Arial" w:hAnsi="Arial"/>
          <w:sz w:val="15"/>
          <w:szCs w:val="15"/>
          <w:color w:val="auto"/>
        </w:rPr>
        <w:t>For more information about our responsibility efforts and results, please refer to the 2018 Responsibility Report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4686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52" w:lineRule="exact"/>
        <w:rPr>
          <w:sz w:val="20"/>
          <w:szCs w:val="20"/>
          <w:color w:val="auto"/>
        </w:rPr>
      </w:pPr>
    </w:p>
    <w:p>
      <w:pPr>
        <w:ind w:left="9" w:right="580"/>
        <w:spacing w:after="0" w:line="221" w:lineRule="auto"/>
        <w:rPr>
          <w:sz w:val="20"/>
          <w:szCs w:val="20"/>
          <w:color w:val="auto"/>
        </w:rPr>
      </w:pPr>
      <w:r>
        <w:rPr>
          <w:rFonts w:ascii="Arial" w:cs="Arial" w:eastAsia="Arial" w:hAnsi="Arial"/>
          <w:sz w:val="15"/>
          <w:szCs w:val="15"/>
          <w:color w:val="auto"/>
        </w:rPr>
        <w:t xml:space="preserve">We are committed to adhering to the highest ethical standards when engaging in any political activities. Reflecting this commitment, in 2016 the board of directors (upon the recommendation of the Corporate Governance and Compliance Committee)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cs="Arial" w:eastAsia="Arial" w:hAnsi="Arial"/>
          <w:sz w:val="15"/>
          <w:szCs w:val="15"/>
          <w:b w:val="1"/>
          <w:bCs w:val="1"/>
          <w:color w:val="auto"/>
        </w:rPr>
        <w:t>www.regeneron.com</w:t>
      </w:r>
      <w:r>
        <w:rPr>
          <w:rFonts w:ascii="Arial" w:cs="Arial" w:eastAsia="Arial" w:hAnsi="Arial"/>
          <w:sz w:val="15"/>
          <w:szCs w:val="15"/>
          <w:color w:val="auto"/>
        </w:rPr>
        <w:t xml:space="preserve"> under the “Culture of Integrity” heading on the “Citizenship” page.</w:t>
      </w:r>
    </w:p>
    <w:p>
      <w:pPr>
        <w:spacing w:after="0" w:line="168" w:lineRule="exact"/>
        <w:rPr>
          <w:sz w:val="20"/>
          <w:szCs w:val="20"/>
          <w:color w:val="auto"/>
        </w:rPr>
      </w:pPr>
    </w:p>
    <w:p>
      <w:pPr>
        <w:sectPr>
          <w:pgSz w:w="11900" w:h="16838" w:orient="portrait"/>
          <w:cols w:equalWidth="0" w:num="2">
            <w:col w:w="2811" w:space="720"/>
            <w:col w:w="7889"/>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37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50" w:name="page51"/>
    <w:bookmarkEnd w:id="50"/>
    <w:p>
      <w:pPr>
        <w:ind w:left="200" w:right="2600"/>
        <w:spacing w:after="0" w:line="281" w:lineRule="auto"/>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t>SECTION 16(A) BENEFICIAL OWNERSHIP REPORTING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120"/>
        <w:spacing w:after="0" w:line="232" w:lineRule="auto"/>
        <w:rPr>
          <w:sz w:val="20"/>
          <w:szCs w:val="20"/>
          <w:color w:val="auto"/>
        </w:rPr>
      </w:pPr>
      <w:r>
        <w:rPr>
          <w:rFonts w:ascii="Arial" w:cs="Arial" w:eastAsia="Arial" w:hAnsi="Arial"/>
          <w:sz w:val="14"/>
          <w:szCs w:val="14"/>
          <w:color w:val="auto"/>
        </w:rPr>
        <w:t>Based solely upon a review of reports filed pursuant to Section 16(a) of the Exchange Act furnished to the Company during or in respect of the fiscal year ended December 31, 2018 and written representations from reporting persons, the Company is not aware of any director, executive officer, or beneficial owner of more than 10% of our common stock who has not filed on a timely basis any report required by such Section 16(a), other than as noted below with respect to Dr.</w:t>
      </w:r>
    </w:p>
    <w:p>
      <w:pPr>
        <w:spacing w:after="0" w:line="1" w:lineRule="exact"/>
        <w:rPr>
          <w:sz w:val="20"/>
          <w:szCs w:val="20"/>
          <w:color w:val="auto"/>
        </w:rPr>
      </w:pPr>
    </w:p>
    <w:p>
      <w:pPr>
        <w:ind w:right="160"/>
        <w:spacing w:after="0" w:line="223" w:lineRule="auto"/>
        <w:rPr>
          <w:sz w:val="20"/>
          <w:szCs w:val="20"/>
          <w:color w:val="auto"/>
        </w:rPr>
      </w:pPr>
      <w:r>
        <w:rPr>
          <w:rFonts w:ascii="Arial" w:cs="Arial" w:eastAsia="Arial" w:hAnsi="Arial"/>
          <w:sz w:val="15"/>
          <w:szCs w:val="15"/>
          <w:color w:val="auto"/>
        </w:rPr>
        <w:t>Yancopoulos. Due to administrative oversight resulting in part from communications with the reporting person’s broker, seven estate planning transfers that are deemed gifts for purposes of Section 16 of the Exchange Act were not reported timely for Dr. Yancopoulos, resulting in three year-end Forms 5 not having been filed for him on a timely basis. In all cases, such transfers were made between the reporting person and/or one or more trusts for the benefit of the reporting person and/or his family members and were exempt from Section 16(b) of the Exchange Act.</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38  /  </w:t>
      </w:r>
      <w:r>
        <w:rPr>
          <w:sz w:val="1"/>
          <w:szCs w:val="1"/>
          <w:color w:val="auto"/>
        </w:rPr>
        <w:drawing>
          <wp:inline distT="0" distB="0" distL="0" distR="0">
            <wp:extent cx="717550" cy="825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1410" w:right="739" w:bottom="1440" w:gutter="0" w:footer="0" w:header="0"/>
        </w:sectPr>
      </w:pPr>
    </w:p>
    <w:bookmarkStart w:id="51" w:name="page52"/>
    <w:bookmarkEnd w:id="51"/>
    <w:p>
      <w:pPr>
        <w:ind w:left="1140" w:right="4520"/>
        <w:spacing w:after="0" w:line="295" w:lineRule="auto"/>
        <w:rPr>
          <w:sz w:val="20"/>
          <w:szCs w:val="20"/>
          <w:color w:val="auto"/>
        </w:rPr>
      </w:pPr>
      <w:r>
        <w:rPr>
          <w:rFonts w:ascii="Arial" w:cs="Arial" w:eastAsia="Arial" w:hAnsi="Arial"/>
          <w:sz w:val="37"/>
          <w:szCs w:val="37"/>
          <w:b w:val="1"/>
          <w:bCs w:val="1"/>
          <w:color w:val="FFFFFF"/>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872490</wp:posOffset>
            </wp:positionV>
            <wp:extent cx="66001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1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REVIEW,</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APPROVAL, OR</w:t>
      </w:r>
    </w:p>
    <w:p>
      <w:pPr>
        <w:ind w:left="520"/>
        <w:spacing w:after="0"/>
        <w:rPr>
          <w:sz w:val="20"/>
          <w:szCs w:val="20"/>
          <w:color w:val="auto"/>
        </w:rPr>
      </w:pPr>
      <w:r>
        <w:rPr>
          <w:rFonts w:ascii="Arial" w:cs="Arial" w:eastAsia="Arial" w:hAnsi="Arial"/>
          <w:sz w:val="25"/>
          <w:szCs w:val="25"/>
          <w:b w:val="1"/>
          <w:bCs w:val="1"/>
          <w:color w:val="D61C5A"/>
        </w:rPr>
        <w:t>RATIFICATION OF</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TRANSACTIONS</w:t>
      </w:r>
    </w:p>
    <w:p>
      <w:pPr>
        <w:ind w:left="520"/>
        <w:spacing w:after="0"/>
        <w:rPr>
          <w:sz w:val="20"/>
          <w:szCs w:val="20"/>
          <w:color w:val="auto"/>
        </w:rPr>
      </w:pPr>
      <w:r>
        <w:rPr>
          <w:rFonts w:ascii="Arial" w:cs="Arial" w:eastAsia="Arial" w:hAnsi="Arial"/>
          <w:sz w:val="26"/>
          <w:szCs w:val="26"/>
          <w:b w:val="1"/>
          <w:bCs w:val="1"/>
          <w:color w:val="D61C5A"/>
        </w:rPr>
        <w:t>WITH RELATED</w:t>
      </w:r>
    </w:p>
    <w:p>
      <w:pPr>
        <w:ind w:left="520"/>
        <w:spacing w:after="0"/>
        <w:rPr>
          <w:sz w:val="20"/>
          <w:szCs w:val="20"/>
          <w:color w:val="auto"/>
        </w:rPr>
      </w:pPr>
      <w:r>
        <w:rPr>
          <w:rFonts w:ascii="Arial" w:cs="Arial" w:eastAsia="Arial" w:hAnsi="Arial"/>
          <w:sz w:val="26"/>
          <w:szCs w:val="26"/>
          <w:b w:val="1"/>
          <w:bCs w:val="1"/>
          <w:color w:val="D61C5A"/>
        </w:rPr>
        <w:t>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20"/>
        <w:spacing w:after="0" w:line="218" w:lineRule="auto"/>
        <w:rPr>
          <w:sz w:val="20"/>
          <w:szCs w:val="20"/>
          <w:color w:val="auto"/>
        </w:rPr>
      </w:pPr>
      <w:r>
        <w:rPr>
          <w:rFonts w:ascii="Arial" w:cs="Arial" w:eastAsia="Arial" w:hAnsi="Arial"/>
          <w:sz w:val="15"/>
          <w:szCs w:val="15"/>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transactions where all shareholders receive proportional benefits, and certain transactions with Sanofi.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142" w:lineRule="exact"/>
        <w:rPr>
          <w:sz w:val="20"/>
          <w:szCs w:val="20"/>
          <w:color w:val="auto"/>
        </w:rPr>
      </w:pPr>
    </w:p>
    <w:p>
      <w:pPr>
        <w:ind w:right="560"/>
        <w:spacing w:after="0" w:line="221" w:lineRule="auto"/>
        <w:rPr>
          <w:sz w:val="20"/>
          <w:szCs w:val="20"/>
          <w:color w:val="auto"/>
        </w:rPr>
      </w:pPr>
      <w:r>
        <w:rPr>
          <w:rFonts w:ascii="Arial" w:cs="Arial" w:eastAsia="Arial" w:hAnsi="Arial"/>
          <w:sz w:val="15"/>
          <w:szCs w:val="15"/>
          <w:color w:val="auto"/>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38" w:lineRule="exact"/>
        <w:rPr>
          <w:sz w:val="20"/>
          <w:szCs w:val="20"/>
          <w:color w:val="auto"/>
        </w:rPr>
      </w:pPr>
    </w:p>
    <w:p>
      <w:pPr>
        <w:ind w:right="520"/>
        <w:spacing w:after="0" w:line="220" w:lineRule="auto"/>
        <w:rPr>
          <w:sz w:val="20"/>
          <w:szCs w:val="20"/>
          <w:color w:val="auto"/>
        </w:rPr>
      </w:pPr>
      <w:r>
        <w:rPr>
          <w:rFonts w:ascii="Arial" w:cs="Arial" w:eastAsia="Arial" w:hAnsi="Arial"/>
          <w:sz w:val="15"/>
          <w:szCs w:val="15"/>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70" w:lineRule="exact"/>
        <w:rPr>
          <w:sz w:val="20"/>
          <w:szCs w:val="20"/>
          <w:color w:val="auto"/>
        </w:rPr>
      </w:pPr>
    </w:p>
    <w:p>
      <w:pPr>
        <w:sectPr>
          <w:pgSz w:w="11900" w:h="16838" w:orient="portrait"/>
          <w:cols w:equalWidth="0" w:num="2">
            <w:col w:w="2820" w:space="720"/>
            <w:col w:w="7880"/>
          </w:cols>
          <w:pgMar w:left="240" w:top="143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39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36"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color w:val="205BA8"/>
        </w:rPr>
        <w:t xml:space="preserve">THE COMPANY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6001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both"/>
        <w:ind w:right="240"/>
        <w:spacing w:after="0" w:line="273" w:lineRule="auto"/>
        <w:rPr>
          <w:sz w:val="20"/>
          <w:szCs w:val="20"/>
          <w:color w:val="auto"/>
        </w:rPr>
      </w:pPr>
      <w:r>
        <w:rPr>
          <w:rFonts w:ascii="Arial" w:cs="Arial" w:eastAsia="Arial" w:hAnsi="Arial"/>
          <w:sz w:val="25"/>
          <w:szCs w:val="25"/>
          <w:b w:val="1"/>
          <w:bCs w:val="1"/>
          <w:color w:val="D61C5A"/>
        </w:rPr>
        <w:t>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Collaborations with Sanofi</w:t>
      </w:r>
    </w:p>
    <w:p>
      <w:pPr>
        <w:spacing w:after="0" w:line="176" w:lineRule="exact"/>
        <w:rPr>
          <w:sz w:val="20"/>
          <w:szCs w:val="20"/>
          <w:color w:val="auto"/>
        </w:rPr>
      </w:pPr>
    </w:p>
    <w:p>
      <w:pPr>
        <w:ind w:right="240"/>
        <w:spacing w:after="0" w:line="229" w:lineRule="auto"/>
        <w:rPr>
          <w:sz w:val="20"/>
          <w:szCs w:val="20"/>
          <w:color w:val="auto"/>
        </w:rPr>
      </w:pPr>
      <w:r>
        <w:rPr>
          <w:rFonts w:ascii="Arial" w:cs="Arial" w:eastAsia="Arial" w:hAnsi="Arial"/>
          <w:sz w:val="15"/>
          <w:szCs w:val="15"/>
          <w:color w:val="auto"/>
        </w:rPr>
        <w:t>As the beneficial owner of 23,523,269 shares of common stock of the Company, or 21.8% of the common stock outstanding as of April 17, 2019, Sanofi is considered a related person of the Company.</w:t>
      </w:r>
    </w:p>
    <w:p>
      <w:pPr>
        <w:spacing w:after="0" w:line="13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In 2018, Sanofi funded $682.5 million of our development and other costs (including $417.2 million of commercialization-related expenses) under the Amended and Restated License and Collaboration Agreement (the “Antibody License and Collaboration Agreement”). In addition, in 2018, we recognized other Sanofi collaboration revenue of $103.5 million, which was primarily recognized in connection with reimbursements by Sanofi for commercial manufacturing activities. In 2018, we also funded an aggregate of $47.7 million of Sanofi’s Phase 3</w:t>
      </w:r>
    </w:p>
    <w:p>
      <w:pPr>
        <w:spacing w:after="0" w:line="1" w:lineRule="exact"/>
        <w:rPr>
          <w:sz w:val="20"/>
          <w:szCs w:val="20"/>
          <w:color w:val="auto"/>
        </w:rPr>
      </w:pPr>
    </w:p>
    <w:p>
      <w:pPr>
        <w:ind w:right="100"/>
        <w:spacing w:after="0" w:line="208" w:lineRule="auto"/>
        <w:rPr>
          <w:sz w:val="20"/>
          <w:szCs w:val="20"/>
          <w:color w:val="auto"/>
        </w:rPr>
      </w:pPr>
      <w:r>
        <w:rPr>
          <w:rFonts w:ascii="Arial" w:cs="Arial" w:eastAsia="Arial" w:hAnsi="Arial"/>
          <w:sz w:val="15"/>
          <w:szCs w:val="15"/>
          <w:color w:val="auto"/>
        </w:rPr>
        <w:t>development costs for Praluent</w:t>
      </w:r>
      <w:r>
        <w:rPr>
          <w:rFonts w:ascii="Arial" w:cs="Arial" w:eastAsia="Arial" w:hAnsi="Arial"/>
          <w:sz w:val="24"/>
          <w:szCs w:val="24"/>
          <w:color w:val="auto"/>
          <w:vertAlign w:val="superscript"/>
        </w:rPr>
        <w:t>®</w:t>
      </w:r>
      <w:r>
        <w:rPr>
          <w:rFonts w:ascii="Arial" w:cs="Arial" w:eastAsia="Arial" w:hAnsi="Arial"/>
          <w:sz w:val="15"/>
          <w:szCs w:val="15"/>
          <w:color w:val="auto"/>
        </w:rPr>
        <w:t>, Kevzara</w:t>
      </w:r>
      <w:r>
        <w:rPr>
          <w:rFonts w:ascii="Arial" w:cs="Arial" w:eastAsia="Arial" w:hAnsi="Arial"/>
          <w:sz w:val="24"/>
          <w:szCs w:val="24"/>
          <w:color w:val="auto"/>
          <w:vertAlign w:val="superscript"/>
        </w:rPr>
        <w:t>®</w:t>
      </w:r>
      <w:r>
        <w:rPr>
          <w:rFonts w:ascii="Arial" w:cs="Arial" w:eastAsia="Arial" w:hAnsi="Arial"/>
          <w:sz w:val="15"/>
          <w:szCs w:val="15"/>
          <w:color w:val="auto"/>
        </w:rPr>
        <w:t>, and Dupixent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under the Antibody License and Collaboration Agreement. In 2018, we and Sanofi shared losses in connection with commercialization-related activities for Praluent, Kevzara, and Dupixent, which resulted in us funding $227.0 million of such costs in the aggregate. In 2019, Sanofi has continued to fund the agreed-upon worldwide research and development expenses incurred by us and Sanofi, we have continued to fund certain Phase 3 development costs, and we and Sanofi have continued to share certain commercialization-related revenues and expenses under the Antibody License and Collaboration Agreement.</w:t>
      </w:r>
    </w:p>
    <w:p>
      <w:pPr>
        <w:spacing w:after="0" w:line="141" w:lineRule="exact"/>
        <w:rPr>
          <w:sz w:val="20"/>
          <w:szCs w:val="20"/>
          <w:color w:val="auto"/>
        </w:rPr>
      </w:pPr>
    </w:p>
    <w:p>
      <w:pPr>
        <w:ind w:right="20"/>
        <w:spacing w:after="0"/>
        <w:rPr>
          <w:sz w:val="20"/>
          <w:szCs w:val="20"/>
          <w:color w:val="auto"/>
        </w:rPr>
      </w:pPr>
      <w:r>
        <w:rPr>
          <w:rFonts w:ascii="Arial" w:cs="Arial" w:eastAsia="Arial" w:hAnsi="Arial"/>
          <w:sz w:val="14"/>
          <w:szCs w:val="14"/>
          <w:color w:val="auto"/>
        </w:rPr>
        <w:t>In 2018, Sanofi also funded $154.4 million of our research and development expenses under the original Immuno-oncology Discovery and Development Agreement (the “Original IO Discovery Agreement”) and $157.4 million under the Immuno-oncology License and Collaboration Agreement. In addition, in 2018, we recognized other Sanofi collaboration revenue of $231.4 million, which primarily consisted of the recognition of a portion of the deferred revenue from the upfront payment received in 2015 as well as revenue adjustments arising from the Amended and Restated Immuno-oncology Discovery and Development Agreement (the “Amended IO Discovery Agreement”). Effective as of December 31, 2018, we and Sanofi entered into the Amended IO Discovery Agreement, which narrowed the scope of the existing discovery and development activities conducted by us (“IO Development Activities”) under the Original IO Discovery Agreement to developing therapeutic bi-specific antibodies targeting (i) BCMA and CD3 (the “BCMAxCD3 Program”) and (ii) MUC16 and CD3 (the “MUC16xCD3 Program”) through clinical proof of concept. The Amended IO Discovery Agreement provided for Sanofi’s payment of $461.9 million to us as consideration for (x) the termination of the Original IO Discovery Agreement, (y) the prepayment of certain discovery and development activities conducted by us regarding the development of certain therapeutic bi-specific antibodies, and (z) the reimbursement of costs we incurred under the Original IO Discovery Agreement during the fourth quarter of 2018. In 2019, Sanofi made such $461.9 million payment to us pursuant to the Amended IO Discovery Agreement, and we and Sanofi will continue to share certain development expenses for cemiplimab under the Immuno-oncology License and Collaboration Agreement (as amended effective as of January 7, 2018 by the letter agreement discussed below). In addition, if Sanofi elects to co-develop a BCMAxCD3 Program antibody and/or a MUC16xCD3 Program antibody under our immuno-oncology collaboration, Sanofi will initially fund almost all of the development expenses incurred in connection with the development of such BCMAxCD3 Program antibody, for which Sanofi will be the principal controlling party, and half of the development expenses incurred in connection with the clinical development of such MUC16xCD3 Program antibody, for which we will be the principal controlling party.</w:t>
      </w:r>
    </w:p>
    <w:p>
      <w:pPr>
        <w:spacing w:after="0" w:line="200" w:lineRule="exact"/>
        <w:rPr>
          <w:sz w:val="20"/>
          <w:szCs w:val="20"/>
          <w:color w:val="auto"/>
        </w:rPr>
      </w:pPr>
    </w:p>
    <w:p>
      <w:pPr>
        <w:ind w:right="20"/>
        <w:spacing w:after="0" w:line="225" w:lineRule="auto"/>
        <w:rPr>
          <w:sz w:val="20"/>
          <w:szCs w:val="20"/>
          <w:color w:val="auto"/>
        </w:rPr>
      </w:pPr>
      <w:r>
        <w:rPr>
          <w:rFonts w:ascii="Arial" w:cs="Arial" w:eastAsia="Arial" w:hAnsi="Arial"/>
          <w:sz w:val="15"/>
          <w:szCs w:val="15"/>
          <w:color w:val="auto"/>
        </w:rPr>
        <w:t>A description of our antibody collaboration and our immuno-oncology collaboration with Sanofi is set forth in Note 3 to our audited financial statements for the fiscal year ended December 31, 2018 included in the 2018 Annual Report under the heading “a. Sanofi — Antibodies” and “a. Sanofi — Immuno-Oncology,” respectively.</w:t>
      </w:r>
    </w:p>
    <w:p>
      <w:pPr>
        <w:spacing w:after="0" w:line="135" w:lineRule="exact"/>
        <w:rPr>
          <w:sz w:val="20"/>
          <w:szCs w:val="20"/>
          <w:color w:val="auto"/>
        </w:rPr>
      </w:pPr>
    </w:p>
    <w:p>
      <w:pPr>
        <w:ind w:right="160"/>
        <w:spacing w:after="0" w:line="199" w:lineRule="auto"/>
        <w:rPr>
          <w:sz w:val="20"/>
          <w:szCs w:val="20"/>
          <w:color w:val="auto"/>
        </w:rPr>
      </w:pPr>
      <w:r>
        <w:rPr>
          <w:rFonts w:ascii="Arial" w:cs="Arial" w:eastAsia="Arial" w:hAnsi="Arial"/>
          <w:sz w:val="15"/>
          <w:szCs w:val="15"/>
          <w:color w:val="auto"/>
        </w:rPr>
        <w:t>In 2018, we recorded $25.1 million of revenue primarily related to a percentage of net sales of ZALTRAP</w:t>
      </w:r>
      <w:r>
        <w:rPr>
          <w:rFonts w:ascii="Arial" w:cs="Arial" w:eastAsia="Arial" w:hAnsi="Arial"/>
          <w:sz w:val="24"/>
          <w:szCs w:val="24"/>
          <w:color w:val="auto"/>
          <w:vertAlign w:val="superscript"/>
        </w:rPr>
        <w:t>®</w:t>
      </w:r>
      <w:r>
        <w:rPr>
          <w:rFonts w:ascii="Arial" w:cs="Arial" w:eastAsia="Arial" w:hAnsi="Arial"/>
          <w:sz w:val="15"/>
          <w:szCs w:val="15"/>
          <w:color w:val="auto"/>
        </w:rPr>
        <w:t xml:space="preserve"> (ziv-aflibercept) Injection for Intravenous Infusion and manufacturing ZALTRAP commercial supplies for Sanofi under the amended and restated collaboration agreement relating to ZALTRAP.</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396" w:right="739" w:bottom="1440" w:gutter="0" w:footer="0" w:header="0"/>
          <w:type w:val="continuous"/>
        </w:sectPr>
      </w:pPr>
    </w:p>
    <w:bookmarkStart w:id="53" w:name="page54"/>
    <w:bookmarkEnd w:id="53"/>
    <w:p>
      <w:pPr>
        <w:ind w:left="506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9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205BA8"/>
        </w:rPr>
        <w:t>Amended and Restated Investor Agreement with Sanofi; 2018 Letter Agreement</w:t>
      </w:r>
    </w:p>
    <w:p>
      <w:pPr>
        <w:spacing w:after="0" w:line="176" w:lineRule="exact"/>
        <w:rPr>
          <w:sz w:val="20"/>
          <w:szCs w:val="20"/>
          <w:color w:val="auto"/>
        </w:rPr>
      </w:pPr>
    </w:p>
    <w:p>
      <w:pPr>
        <w:ind w:left="3540" w:right="640"/>
        <w:spacing w:after="0" w:line="235" w:lineRule="auto"/>
        <w:rPr>
          <w:sz w:val="20"/>
          <w:szCs w:val="20"/>
          <w:color w:val="auto"/>
        </w:rPr>
      </w:pPr>
      <w:r>
        <w:rPr>
          <w:rFonts w:ascii="Arial" w:cs="Arial" w:eastAsia="Arial" w:hAnsi="Arial"/>
          <w:sz w:val="14"/>
          <w:szCs w:val="14"/>
          <w:color w:val="auto"/>
        </w:rPr>
        <w:t>In January 2014, we entered into an Amended and Restated Investor Agreement with Sanofi, which was subsequently amended effective as of January 7, 2018 by the letter agreement discussed below. Pursuant to the Amended and Restated Investor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142" w:lineRule="exact"/>
        <w:rPr>
          <w:sz w:val="20"/>
          <w:szCs w:val="20"/>
          <w:color w:val="auto"/>
        </w:rPr>
      </w:pPr>
    </w:p>
    <w:p>
      <w:pPr>
        <w:ind w:left="3540" w:right="540"/>
        <w:spacing w:after="0" w:line="235" w:lineRule="auto"/>
        <w:rPr>
          <w:sz w:val="20"/>
          <w:szCs w:val="20"/>
          <w:color w:val="auto"/>
        </w:rPr>
      </w:pPr>
      <w:r>
        <w:rPr>
          <w:rFonts w:ascii="Arial" w:cs="Arial" w:eastAsia="Arial" w:hAnsi="Arial"/>
          <w:sz w:val="14"/>
          <w:szCs w:val="14"/>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discussed below) Sanofi maintains an equity interest in us that is equal to the applicable Highest Percentage Threshold (as defined below). This designee is required to be “independent” of Regeneron, as determined under NASDAQ rules, and to not be a current or former officer, director, employee, or paid consultant of Sanofi. The current Sanofi designee, Dr. Coles, was elected by the board of directors in January 2017 and by the shareholders at the 2017 Annual Meeting as a Class II director with a term expiring at the 2020 Annual Meeting.</w:t>
      </w:r>
    </w:p>
    <w:p>
      <w:pPr>
        <w:spacing w:after="0" w:line="140" w:lineRule="exact"/>
        <w:rPr>
          <w:sz w:val="20"/>
          <w:szCs w:val="20"/>
          <w:color w:val="auto"/>
        </w:rPr>
      </w:pPr>
    </w:p>
    <w:p>
      <w:pPr>
        <w:ind w:left="3540" w:right="680"/>
        <w:spacing w:after="0" w:line="220" w:lineRule="auto"/>
        <w:rPr>
          <w:sz w:val="20"/>
          <w:szCs w:val="20"/>
          <w:color w:val="auto"/>
        </w:rPr>
      </w:pPr>
      <w:r>
        <w:rPr>
          <w:rFonts w:ascii="Arial" w:cs="Arial" w:eastAsia="Arial" w:hAnsi="Arial"/>
          <w:sz w:val="15"/>
          <w:szCs w:val="15"/>
          <w:color w:val="auto"/>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December 20, 2020 (other than with respect to an aggregate of 1,400,000 shares, as to which we have agreed to waive such “lock-up” during the term of the letter agreement and of which 1,042,732 shares remained available to be sold as of April 17, 2019). These restrictions on dispositions are subject to earlier termination upon the occurrence of certain events, such as the consummation of a change-of-control transaction involving us or a dissolution or liquidation of Regeneron.</w:t>
      </w:r>
    </w:p>
    <w:p>
      <w:pPr>
        <w:spacing w:after="0" w:line="138" w:lineRule="exact"/>
        <w:rPr>
          <w:sz w:val="20"/>
          <w:szCs w:val="20"/>
          <w:color w:val="auto"/>
        </w:rPr>
      </w:pPr>
    </w:p>
    <w:p>
      <w:pPr>
        <w:ind w:left="3540" w:right="520"/>
        <w:spacing w:after="0" w:line="232" w:lineRule="auto"/>
        <w:rPr>
          <w:sz w:val="20"/>
          <w:szCs w:val="20"/>
          <w:color w:val="auto"/>
        </w:rPr>
      </w:pPr>
      <w:r>
        <w:rPr>
          <w:rFonts w:ascii="Arial" w:cs="Arial" w:eastAsia="Arial" w:hAnsi="Arial"/>
          <w:sz w:val="14"/>
          <w:szCs w:val="14"/>
          <w:color w:val="auto"/>
        </w:rPr>
        <w:t>Pursuant to the Amended and Restated Investor Agreement, Sanofi is bound by certain “standstill” provisions, which contractually prohibit Sanofi from seeking to directly or indirectly exert control of Regeneron or acquiring more than 30% of our Class A stock and common stock (taken together). This prohibition will remain in place until the earliest of (i) the later of the fifth anniversaries of the expiration or earlier termination of our Antibody License and Collaboration Agreement with Sanofi or our ZALTRAP collaboration agreement with Sanofi, each as amended;</w:t>
      </w:r>
    </w:p>
    <w:p>
      <w:pPr>
        <w:spacing w:after="0" w:line="1" w:lineRule="exact"/>
        <w:rPr>
          <w:sz w:val="20"/>
          <w:szCs w:val="20"/>
          <w:color w:val="auto"/>
        </w:rPr>
      </w:pPr>
    </w:p>
    <w:p>
      <w:pPr>
        <w:ind w:left="3540" w:right="600" w:hanging="9"/>
        <w:spacing w:after="0" w:line="220" w:lineRule="auto"/>
        <w:tabs>
          <w:tab w:leader="none" w:pos="3742"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announcement recommending acceptance by our shareholders of a tender 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party’s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Regeneron.</w:t>
      </w:r>
    </w:p>
    <w:p>
      <w:pPr>
        <w:spacing w:after="0" w:line="140" w:lineRule="exact"/>
        <w:rPr>
          <w:sz w:val="20"/>
          <w:szCs w:val="20"/>
          <w:color w:val="auto"/>
        </w:rPr>
      </w:pPr>
    </w:p>
    <w:p>
      <w:pPr>
        <w:ind w:left="3540" w:right="560"/>
        <w:spacing w:after="0" w:line="219" w:lineRule="auto"/>
        <w:rPr>
          <w:sz w:val="20"/>
          <w:szCs w:val="20"/>
          <w:color w:val="auto"/>
        </w:rPr>
      </w:pPr>
      <w:r>
        <w:rPr>
          <w:rFonts w:ascii="Arial" w:cs="Arial" w:eastAsia="Arial" w:hAnsi="Arial"/>
          <w:sz w:val="15"/>
          <w:szCs w:val="15"/>
          <w:color w:val="auto"/>
        </w:rPr>
        <w:t>Effective January 7, 2018, we and Sanofi and certain of Sanofi’s direct and indirect subsidiaries entered into a letter agreement in connection with (i) the increase of the development budget amount for cemiplimab set forth in the Immuno-oncology License and Collaboration Agreement and (ii) the allocation of additional funds to certain proposed activities relating to the development of dupilumab and REGN3500 and non-approval trials of dupilumab (the “Dupilumab/REGN3500 Eligible Investments”). Pursuant to the letter agreement, we have agreed, among other things, to amend the definition of “Highest Percentage Threshold” to be the lower of (i) 25% of our outstanding shares of Class A stock and common stock (taken together) and (ii) the higher of (a) Sanofi’s percentage ownership of Class A stock and common stock (taken together) on the termination date of the letter agreement and (b) the highest percentage ownership Sanofi attains following such termination date of our outstanding shares of Class A stock 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41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3" w:lineRule="exact"/>
        <w:rPr>
          <w:sz w:val="20"/>
          <w:szCs w:val="20"/>
          <w:color w:val="auto"/>
        </w:rPr>
      </w:pPr>
    </w:p>
    <w:p>
      <w:pPr>
        <w:ind w:left="3020" w:right="20"/>
        <w:spacing w:after="0" w:line="234" w:lineRule="auto"/>
        <w:rPr>
          <w:sz w:val="20"/>
          <w:szCs w:val="20"/>
          <w:color w:val="auto"/>
        </w:rPr>
      </w:pPr>
      <w:r>
        <w:rPr>
          <w:rFonts w:ascii="Arial" w:cs="Arial" w:eastAsia="Arial" w:hAnsi="Arial"/>
          <w:sz w:val="14"/>
          <w:szCs w:val="14"/>
          <w:color w:val="auto"/>
        </w:rPr>
        <w:t>common stock (taken together); and to grant a limited waiver of Sanofi’s obligation to maintain the then-existing Highest Percentage Threshold during the term of the letter agreement in order to allow Sanofi to satisfy in whole or in part (a) its funding obligations with respect to the cemiplimab development costs under the Immuno-oncology License and Collaboration Agreement for the quarterly periods commencing on October 1, 2017 and ending on September 30, 2020 by selling up to 800,000 shares of our common stock directly or indirectly owned by Sanofi (of which 477,641 remained available as of April 17, 2019)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565,091 remained available as of April 17, 2019). If Sanofi desires to sell shares of our common stock during the term of the letter agreement to satisfy a portion or all of its funding obligations for the cemiplimab development and/ 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141" w:lineRule="exact"/>
        <w:rPr>
          <w:sz w:val="20"/>
          <w:szCs w:val="20"/>
          <w:color w:val="auto"/>
        </w:rPr>
      </w:pPr>
    </w:p>
    <w:p>
      <w:pPr>
        <w:ind w:left="3020" w:right="20"/>
        <w:spacing w:after="0" w:line="239" w:lineRule="auto"/>
        <w:rPr>
          <w:sz w:val="20"/>
          <w:szCs w:val="20"/>
          <w:color w:val="auto"/>
        </w:rPr>
      </w:pPr>
      <w:r>
        <w:rPr>
          <w:rFonts w:ascii="Arial" w:cs="Arial" w:eastAsia="Arial" w:hAnsi="Arial"/>
          <w:sz w:val="14"/>
          <w:szCs w:val="14"/>
          <w:color w:val="auto"/>
        </w:rPr>
        <w:t>In 2018, Sanofi elected to sell, and we elected to purchase (either in cash or by issuing a credit towards the amount owed by Sanofi), an aggregate of 226,153 shares of our common stock pursuant to the letter agreement. In 2019 to date, Sanofi elected to sell, and we elected to purchase (either in cash or by issuing a credit towards the amount owed by Sanofi), an aggregate of 131,115 shares of our common stock pursuant to the letter agreement.</w:t>
      </w:r>
    </w:p>
    <w:p>
      <w:pPr>
        <w:spacing w:after="0" w:line="133"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A more detailed description of the letter agreement with Sanofi is set forth in the 2018 Annual Report under Part I.</w:t>
      </w:r>
    </w:p>
    <w:p>
      <w:pPr>
        <w:ind w:left="3020"/>
        <w:spacing w:after="0"/>
        <w:rPr>
          <w:sz w:val="20"/>
          <w:szCs w:val="20"/>
          <w:color w:val="auto"/>
        </w:rPr>
      </w:pPr>
      <w:r>
        <w:rPr>
          <w:rFonts w:ascii="Arial" w:cs="Arial" w:eastAsia="Arial" w:hAnsi="Arial"/>
          <w:sz w:val="15"/>
          <w:szCs w:val="15"/>
          <w:color w:val="auto"/>
        </w:rPr>
        <w:t>Item 1. “Business — Collaboration Agreements — Collaborations with Sanofi.”</w:t>
      </w:r>
    </w:p>
    <w:p>
      <w:pPr>
        <w:spacing w:after="0" w:line="118"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Stanford University</w:t>
      </w:r>
    </w:p>
    <w:p>
      <w:pPr>
        <w:spacing w:after="0" w:line="176" w:lineRule="exact"/>
        <w:rPr>
          <w:sz w:val="20"/>
          <w:szCs w:val="20"/>
          <w:color w:val="auto"/>
        </w:rPr>
      </w:pPr>
    </w:p>
    <w:p>
      <w:pPr>
        <w:ind w:left="3020" w:right="160"/>
        <w:spacing w:after="0" w:line="221" w:lineRule="auto"/>
        <w:rPr>
          <w:sz w:val="20"/>
          <w:szCs w:val="20"/>
          <w:color w:val="auto"/>
        </w:rPr>
      </w:pPr>
      <w:r>
        <w:rPr>
          <w:rFonts w:ascii="Arial" w:cs="Arial" w:eastAsia="Arial" w:hAnsi="Arial"/>
          <w:sz w:val="15"/>
          <w:szCs w:val="15"/>
          <w:color w:val="auto"/>
        </w:rPr>
        <w:t>Effective September 1, 2016, Marc Tessier-Lavigne, Ph.D. became the President of Stanford University. In 2018, we made payments to Stanford University of approximately $336,000 in the aggregate relating to (i) services provided in connection with certain clinical trials entered into in the ordinary course of business and (ii) a medical education fellowship grant. In 2019 through the end of the first quarter, payments in respect of these services amounted to less than $1,000 in the aggregate.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42  /  </w:t>
      </w:r>
      <w:r>
        <w:rPr>
          <w:sz w:val="1"/>
          <w:szCs w:val="1"/>
          <w:color w:val="auto"/>
        </w:rPr>
        <w:drawing>
          <wp:inline distT="0" distB="0" distL="0" distR="0">
            <wp:extent cx="717550" cy="825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55" w:name="page56"/>
    <w:bookmarkEnd w:id="55"/>
    <w:p>
      <w:pPr>
        <w:ind w:left="5060"/>
        <w:spacing w:after="0"/>
        <w:rPr>
          <w:sz w:val="20"/>
          <w:szCs w:val="20"/>
          <w:color w:val="auto"/>
        </w:rPr>
      </w:pPr>
      <w:r>
        <w:rPr>
          <w:rFonts w:ascii="Arial" w:cs="Arial" w:eastAsia="Arial" w:hAnsi="Arial"/>
          <w:sz w:val="14"/>
          <w:szCs w:val="14"/>
          <w:b w:val="1"/>
          <w:bCs w:val="1"/>
          <w:color w:val="205BA8"/>
        </w:rPr>
        <w:t xml:space="preserve">THE COMPANY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61C5A"/>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Indemnification of Directors and Officers</w:t>
      </w:r>
    </w:p>
    <w:p>
      <w:pPr>
        <w:spacing w:after="0" w:line="176" w:lineRule="exact"/>
        <w:rPr>
          <w:sz w:val="20"/>
          <w:szCs w:val="20"/>
          <w:color w:val="auto"/>
        </w:rPr>
      </w:pPr>
    </w:p>
    <w:p>
      <w:pPr>
        <w:sectPr>
          <w:pgSz w:w="11900" w:h="16838" w:orient="portrait"/>
          <w:cols w:equalWidth="0" w:num="2">
            <w:col w:w="2820" w:space="720"/>
            <w:col w:w="7880"/>
          </w:cols>
          <w:pgMar w:left="240" w:top="396" w:right="239" w:bottom="1440" w:gutter="0" w:footer="0" w:header="0"/>
          <w:type w:val="continuous"/>
        </w:sectPr>
      </w:pPr>
    </w:p>
    <w:p>
      <w:pPr>
        <w:ind w:left="3540" w:right="680"/>
        <w:spacing w:after="0" w:line="235" w:lineRule="auto"/>
        <w:rPr>
          <w:sz w:val="20"/>
          <w:szCs w:val="20"/>
          <w:color w:val="auto"/>
        </w:rPr>
      </w:pPr>
      <w:r>
        <w:rPr>
          <w:rFonts w:ascii="Arial" w:cs="Arial" w:eastAsia="Arial" w:hAnsi="Arial"/>
          <w:sz w:val="14"/>
          <w:szCs w:val="14"/>
          <w:color w:val="auto"/>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Amended and Restated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our best interest, and, where applicable, not unlawful. Subject to the provisions of our Certificate of Incorporation, our Amended and Restated By-Laws, and the New York Business Corporation Law, we may also advance expenses of the individuals entitled to indemnification.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43</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spacing w:after="0" w:line="316" w:lineRule="exact"/>
        <w:rPr>
          <w:sz w:val="20"/>
          <w:szCs w:val="20"/>
          <w:color w:val="auto"/>
        </w:rPr>
      </w:pPr>
    </w:p>
    <w:p>
      <w:pPr>
        <w:ind w:left="620"/>
        <w:spacing w:after="0"/>
        <w:rPr>
          <w:sz w:val="20"/>
          <w:szCs w:val="20"/>
          <w:color w:val="auto"/>
        </w:rPr>
      </w:pPr>
      <w:r>
        <w:rPr>
          <w:rFonts w:ascii="Arial" w:cs="Arial" w:eastAsia="Arial" w:hAnsi="Arial"/>
          <w:sz w:val="37"/>
          <w:szCs w:val="37"/>
          <w:b w:val="1"/>
          <w:bCs w:val="1"/>
          <w:color w:val="FFFFFF"/>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919480</wp:posOffset>
            </wp:positionV>
            <wp:extent cx="66001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1440180</wp:posOffset>
            </wp:positionV>
            <wp:extent cx="16497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INFORMATION</w:t>
      </w:r>
    </w:p>
    <w:p>
      <w:pPr>
        <w:spacing w:after="0" w:line="32"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ABOUT FEES PAID</w:t>
      </w:r>
    </w:p>
    <w:p>
      <w:pPr>
        <w:spacing w:after="0"/>
        <w:rPr>
          <w:sz w:val="20"/>
          <w:szCs w:val="20"/>
          <w:color w:val="auto"/>
        </w:rPr>
      </w:pPr>
      <w:r>
        <w:rPr>
          <w:rFonts w:ascii="Arial" w:cs="Arial" w:eastAsia="Arial" w:hAnsi="Arial"/>
          <w:sz w:val="26"/>
          <w:szCs w:val="26"/>
          <w:b w:val="1"/>
          <w:bCs w:val="1"/>
          <w:color w:val="D61C5A"/>
        </w:rPr>
        <w:t>TO INDEPENDENT</w:t>
      </w:r>
    </w:p>
    <w:p>
      <w:pPr>
        <w:spacing w:after="0"/>
        <w:rPr>
          <w:sz w:val="20"/>
          <w:szCs w:val="20"/>
          <w:color w:val="auto"/>
        </w:rPr>
      </w:pPr>
      <w:r>
        <w:rPr>
          <w:rFonts w:ascii="Arial" w:cs="Arial" w:eastAsia="Arial" w:hAnsi="Arial"/>
          <w:sz w:val="26"/>
          <w:szCs w:val="26"/>
          <w:b w:val="1"/>
          <w:bCs w:val="1"/>
          <w:color w:val="D61C5A"/>
        </w:rPr>
        <w:t>REGISTERED</w:t>
      </w:r>
    </w:p>
    <w:p>
      <w:pPr>
        <w:spacing w:after="0"/>
        <w:rPr>
          <w:sz w:val="20"/>
          <w:szCs w:val="20"/>
          <w:color w:val="auto"/>
        </w:rPr>
      </w:pPr>
      <w:r>
        <w:rPr>
          <w:rFonts w:ascii="Arial" w:cs="Arial" w:eastAsia="Arial" w:hAnsi="Arial"/>
          <w:sz w:val="26"/>
          <w:szCs w:val="26"/>
          <w:b w:val="1"/>
          <w:bCs w:val="1"/>
          <w:color w:val="D61C5A"/>
        </w:rPr>
        <w:t>PUBLIC</w:t>
      </w:r>
    </w:p>
    <w:p>
      <w:pPr>
        <w:spacing w:after="0"/>
        <w:rPr>
          <w:sz w:val="20"/>
          <w:szCs w:val="20"/>
          <w:color w:val="auto"/>
        </w:rPr>
      </w:pPr>
      <w:r>
        <w:rPr>
          <w:rFonts w:ascii="Arial" w:cs="Arial" w:eastAsia="Arial" w:hAnsi="Arial"/>
          <w:sz w:val="25"/>
          <w:szCs w:val="25"/>
          <w:b w:val="1"/>
          <w:bCs w:val="1"/>
          <w:color w:val="D61C5A"/>
        </w:rPr>
        <w:t>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80"/>
        <w:spacing w:after="0" w:line="225" w:lineRule="auto"/>
        <w:rPr>
          <w:sz w:val="20"/>
          <w:szCs w:val="20"/>
          <w:color w:val="auto"/>
        </w:rPr>
      </w:pPr>
      <w:r>
        <w:rPr>
          <w:rFonts w:ascii="Arial" w:cs="Arial" w:eastAsia="Arial" w:hAnsi="Arial"/>
          <w:sz w:val="15"/>
          <w:szCs w:val="15"/>
          <w:color w:val="auto"/>
        </w:rPr>
        <w:t>The Audit Committee has appointed PricewaterhouseCoopers LLP as the Company’s independent registered public accounting firm for the fiscal year ending December 31, 2019. PricewaterhouseCoopers LLP (or its predecessor) has audited the Company’s financial statements for the past 30 years.</w:t>
      </w:r>
    </w:p>
    <w:p>
      <w:pPr>
        <w:spacing w:after="0" w:line="139"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The board of directors has directed that the appointment of PricewaterhouseCoopers LLP as the Company’s independent registered public accounting firm for fiscal year 2019 be submitted for ratification by the shareholders at the Annual Meeting. Shareholder ratification of the appointment of PricewaterhouseCoopers LLP as the Company’s independent registered public accounting firm for fiscal year 2019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2019, the board of directors will consider the matter at its next meeting.</w:t>
      </w:r>
    </w:p>
    <w:p>
      <w:pPr>
        <w:spacing w:after="0" w:line="139" w:lineRule="exact"/>
        <w:rPr>
          <w:sz w:val="20"/>
          <w:szCs w:val="20"/>
          <w:color w:val="auto"/>
        </w:rPr>
      </w:pPr>
    </w:p>
    <w:p>
      <w:pPr>
        <w:ind w:right="20"/>
        <w:spacing w:after="0" w:line="225" w:lineRule="auto"/>
        <w:rPr>
          <w:sz w:val="20"/>
          <w:szCs w:val="20"/>
          <w:color w:val="auto"/>
        </w:rPr>
      </w:pPr>
      <w:r>
        <w:rPr>
          <w:rFonts w:ascii="Arial" w:cs="Arial" w:eastAsia="Arial" w:hAnsi="Arial"/>
          <w:sz w:val="15"/>
          <w:szCs w:val="15"/>
          <w:color w:val="auto"/>
        </w:rPr>
        <w:t>PricewaterhouseCoopers LLP has advised the Company that it will have in attendance at the 2019 Annual Meeting a representative who will be afforded an opportunity to make a statement, if such representative desires to do so, and will respond to appropriate questions presented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46863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39" w:lineRule="exact"/>
        <w:rPr>
          <w:sz w:val="20"/>
          <w:szCs w:val="20"/>
          <w:color w:val="auto"/>
        </w:rPr>
      </w:pPr>
    </w:p>
    <w:p>
      <w:pPr>
        <w:ind w:right="340"/>
        <w:spacing w:after="0" w:line="229" w:lineRule="auto"/>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2018 and 2017 were: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60" w:type="dxa"/>
            <w:vAlign w:val="bottom"/>
            <w:tcBorders>
              <w:bottom w:val="single" w:sz="8" w:color="205BA8"/>
            </w:tcBorders>
          </w:tcPr>
          <w:p>
            <w:pPr>
              <w:spacing w:after="0"/>
              <w:rPr>
                <w:sz w:val="12"/>
                <w:szCs w:val="12"/>
                <w:color w:val="auto"/>
              </w:rPr>
            </w:pPr>
          </w:p>
        </w:tc>
        <w:tc>
          <w:tcPr>
            <w:tcW w:w="3100" w:type="dxa"/>
            <w:vAlign w:val="bottom"/>
            <w:tcBorders>
              <w:bottom w:val="single" w:sz="8" w:color="205BA8"/>
            </w:tcBorders>
          </w:tcPr>
          <w:p>
            <w:pPr>
              <w:jc w:val="right"/>
              <w:ind w:right="738"/>
              <w:spacing w:after="0"/>
              <w:rPr>
                <w:sz w:val="20"/>
                <w:szCs w:val="20"/>
                <w:color w:val="auto"/>
              </w:rPr>
            </w:pPr>
            <w:r>
              <w:rPr>
                <w:rFonts w:ascii="Arial" w:cs="Arial" w:eastAsia="Arial" w:hAnsi="Arial"/>
                <w:sz w:val="11"/>
                <w:szCs w:val="11"/>
                <w:b w:val="1"/>
                <w:bCs w:val="1"/>
                <w:color w:val="205BA8"/>
              </w:rPr>
              <w:t>2018 ($)</w:t>
            </w:r>
          </w:p>
        </w:tc>
        <w:tc>
          <w:tcPr>
            <w:tcW w:w="1420" w:type="dxa"/>
            <w:vAlign w:val="bottom"/>
            <w:tcBorders>
              <w:bottom w:val="single" w:sz="8" w:color="205BA8"/>
            </w:tcBorders>
          </w:tcPr>
          <w:p>
            <w:pPr>
              <w:jc w:val="right"/>
              <w:spacing w:after="0"/>
              <w:rPr>
                <w:sz w:val="20"/>
                <w:szCs w:val="20"/>
                <w:color w:val="auto"/>
              </w:rPr>
            </w:pPr>
            <w:r>
              <w:rPr>
                <w:rFonts w:ascii="Arial" w:cs="Arial" w:eastAsia="Arial" w:hAnsi="Arial"/>
                <w:sz w:val="11"/>
                <w:szCs w:val="11"/>
                <w:b w:val="1"/>
                <w:bCs w:val="1"/>
                <w:color w:val="205BA8"/>
              </w:rPr>
              <w:t>2017 ($)</w:t>
            </w: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Audit Fees</w:t>
            </w:r>
          </w:p>
        </w:tc>
        <w:tc>
          <w:tcPr>
            <w:tcW w:w="3100" w:type="dxa"/>
            <w:vAlign w:val="bottom"/>
            <w:tcBorders>
              <w:bottom w:val="single" w:sz="8" w:color="auto"/>
            </w:tcBorders>
          </w:tcPr>
          <w:p>
            <w:pPr>
              <w:jc w:val="right"/>
              <w:ind w:right="738"/>
              <w:spacing w:after="0"/>
              <w:rPr>
                <w:sz w:val="20"/>
                <w:szCs w:val="20"/>
                <w:color w:val="auto"/>
              </w:rPr>
            </w:pPr>
            <w:r>
              <w:rPr>
                <w:rFonts w:ascii="Arial" w:cs="Arial" w:eastAsia="Arial" w:hAnsi="Arial"/>
                <w:sz w:val="13"/>
                <w:szCs w:val="13"/>
                <w:color w:val="auto"/>
              </w:rPr>
              <w:t>2,653,798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1,997,959</w:t>
            </w:r>
          </w:p>
        </w:tc>
      </w:tr>
      <w:tr>
        <w:trPr>
          <w:trHeight w:val="188"/>
        </w:trPr>
        <w:tc>
          <w:tcPr>
            <w:tcW w:w="286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Audit-Related Fees</w:t>
            </w:r>
          </w:p>
        </w:tc>
        <w:tc>
          <w:tcPr>
            <w:tcW w:w="3100" w:type="dxa"/>
            <w:vAlign w:val="bottom"/>
            <w:tcBorders>
              <w:bottom w:val="single" w:sz="8" w:color="auto"/>
            </w:tcBorders>
            <w:shd w:val="clear" w:color="auto" w:fill="ECEDED"/>
          </w:tcPr>
          <w:p>
            <w:pPr>
              <w:jc w:val="right"/>
              <w:ind w:right="738"/>
              <w:spacing w:after="0"/>
              <w:rPr>
                <w:sz w:val="20"/>
                <w:szCs w:val="20"/>
                <w:color w:val="auto"/>
              </w:rPr>
            </w:pPr>
            <w:r>
              <w:rPr>
                <w:rFonts w:ascii="Arial" w:cs="Arial" w:eastAsia="Arial" w:hAnsi="Arial"/>
                <w:sz w:val="13"/>
                <w:szCs w:val="13"/>
                <w:color w:val="auto"/>
              </w:rPr>
              <w:t>85,000</w:t>
            </w:r>
          </w:p>
        </w:tc>
        <w:tc>
          <w:tcPr>
            <w:tcW w:w="142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3"/>
                <w:szCs w:val="13"/>
                <w:color w:val="auto"/>
              </w:rPr>
              <w:t>90,000</w:t>
            </w: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Tax Fees</w:t>
            </w:r>
          </w:p>
        </w:tc>
        <w:tc>
          <w:tcPr>
            <w:tcW w:w="3100" w:type="dxa"/>
            <w:vAlign w:val="bottom"/>
            <w:tcBorders>
              <w:bottom w:val="single" w:sz="8" w:color="auto"/>
            </w:tcBorders>
          </w:tcPr>
          <w:p>
            <w:pPr>
              <w:jc w:val="right"/>
              <w:ind w:right="738"/>
              <w:spacing w:after="0"/>
              <w:rPr>
                <w:sz w:val="20"/>
                <w:szCs w:val="20"/>
                <w:color w:val="auto"/>
              </w:rPr>
            </w:pPr>
            <w:r>
              <w:rPr>
                <w:rFonts w:ascii="Arial" w:cs="Arial" w:eastAsia="Arial" w:hAnsi="Arial"/>
                <w:sz w:val="13"/>
                <w:szCs w:val="13"/>
                <w:color w:val="auto"/>
              </w:rPr>
              <w:t>19,662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60,000</w:t>
            </w:r>
          </w:p>
        </w:tc>
      </w:tr>
      <w:tr>
        <w:trPr>
          <w:trHeight w:val="188"/>
        </w:trPr>
        <w:tc>
          <w:tcPr>
            <w:tcW w:w="286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All Other Fees</w:t>
            </w:r>
          </w:p>
        </w:tc>
        <w:tc>
          <w:tcPr>
            <w:tcW w:w="3100" w:type="dxa"/>
            <w:vAlign w:val="bottom"/>
            <w:tcBorders>
              <w:bottom w:val="single" w:sz="8" w:color="auto"/>
            </w:tcBorders>
            <w:shd w:val="clear" w:color="auto" w:fill="ECEDED"/>
          </w:tcPr>
          <w:p>
            <w:pPr>
              <w:jc w:val="right"/>
              <w:ind w:right="738"/>
              <w:spacing w:after="0"/>
              <w:rPr>
                <w:sz w:val="20"/>
                <w:szCs w:val="20"/>
                <w:color w:val="auto"/>
              </w:rPr>
            </w:pPr>
            <w:r>
              <w:rPr>
                <w:rFonts w:ascii="Arial" w:cs="Arial" w:eastAsia="Arial" w:hAnsi="Arial"/>
                <w:sz w:val="13"/>
                <w:szCs w:val="13"/>
                <w:color w:val="auto"/>
              </w:rPr>
              <w:t>6,088</w:t>
            </w:r>
          </w:p>
        </w:tc>
        <w:tc>
          <w:tcPr>
            <w:tcW w:w="142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3"/>
                <w:szCs w:val="13"/>
                <w:color w:val="auto"/>
              </w:rPr>
              <w:t>34,640</w:t>
            </w:r>
          </w:p>
        </w:tc>
      </w:tr>
      <w:tr>
        <w:trPr>
          <w:trHeight w:val="188"/>
        </w:trPr>
        <w:tc>
          <w:tcPr>
            <w:tcW w:w="2860" w:type="dxa"/>
            <w:vAlign w:val="bottom"/>
            <w:tcBorders>
              <w:bottom w:val="single" w:sz="8" w:color="205BA8"/>
            </w:tcBorders>
          </w:tcPr>
          <w:p>
            <w:pPr>
              <w:ind w:left="40"/>
              <w:spacing w:after="0"/>
              <w:rPr>
                <w:sz w:val="20"/>
                <w:szCs w:val="20"/>
                <w:color w:val="auto"/>
              </w:rPr>
            </w:pPr>
            <w:r>
              <w:rPr>
                <w:rFonts w:ascii="Arial" w:cs="Arial" w:eastAsia="Arial" w:hAnsi="Arial"/>
                <w:sz w:val="13"/>
                <w:szCs w:val="13"/>
                <w:b w:val="1"/>
                <w:bCs w:val="1"/>
                <w:color w:val="auto"/>
              </w:rPr>
              <w:t>Total Fees</w:t>
            </w:r>
          </w:p>
        </w:tc>
        <w:tc>
          <w:tcPr>
            <w:tcW w:w="3100" w:type="dxa"/>
            <w:vAlign w:val="bottom"/>
            <w:tcBorders>
              <w:bottom w:val="single" w:sz="8" w:color="205BA8"/>
            </w:tcBorders>
          </w:tcPr>
          <w:p>
            <w:pPr>
              <w:jc w:val="right"/>
              <w:ind w:right="738"/>
              <w:spacing w:after="0"/>
              <w:rPr>
                <w:sz w:val="20"/>
                <w:szCs w:val="20"/>
                <w:color w:val="auto"/>
              </w:rPr>
            </w:pPr>
            <w:r>
              <w:rPr>
                <w:rFonts w:ascii="Arial" w:cs="Arial" w:eastAsia="Arial" w:hAnsi="Arial"/>
                <w:sz w:val="13"/>
                <w:szCs w:val="13"/>
                <w:b w:val="1"/>
                <w:bCs w:val="1"/>
                <w:color w:val="auto"/>
              </w:rPr>
              <w:t>2,764,548</w:t>
            </w:r>
          </w:p>
        </w:tc>
        <w:tc>
          <w:tcPr>
            <w:tcW w:w="1420" w:type="dxa"/>
            <w:vAlign w:val="bottom"/>
            <w:tcBorders>
              <w:bottom w:val="single" w:sz="8" w:color="205BA8"/>
            </w:tcBorders>
          </w:tcPr>
          <w:p>
            <w:pPr>
              <w:jc w:val="right"/>
              <w:spacing w:after="0"/>
              <w:rPr>
                <w:sz w:val="20"/>
                <w:szCs w:val="20"/>
                <w:color w:val="auto"/>
              </w:rPr>
            </w:pPr>
            <w:r>
              <w:rPr>
                <w:rFonts w:ascii="Arial" w:cs="Arial" w:eastAsia="Arial" w:hAnsi="Arial"/>
                <w:sz w:val="13"/>
                <w:szCs w:val="13"/>
                <w:b w:val="1"/>
                <w:bCs w:val="1"/>
                <w:color w:val="auto"/>
              </w:rPr>
              <w:t>2,182,599</w:t>
            </w:r>
          </w:p>
        </w:tc>
      </w:tr>
    </w:tbl>
    <w:p>
      <w:pPr>
        <w:spacing w:after="0" w:line="136"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b w:val="1"/>
          <w:bCs w:val="1"/>
          <w:color w:val="auto"/>
        </w:rPr>
        <w:t xml:space="preserve">Audit Fees. </w:t>
      </w:r>
      <w:r>
        <w:rPr>
          <w:rFonts w:ascii="Arial" w:cs="Arial" w:eastAsia="Arial" w:hAnsi="Arial"/>
          <w:sz w:val="15"/>
          <w:szCs w:val="15"/>
          <w:color w:val="auto"/>
        </w:rPr>
        <w:t>Audit fees in 2018 and 2017 were primarily for professional services rendered for the audit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121" w:lineRule="exact"/>
        <w:rPr>
          <w:sz w:val="20"/>
          <w:szCs w:val="20"/>
          <w:color w:val="auto"/>
        </w:rPr>
      </w:pPr>
    </w:p>
    <w:p>
      <w:pPr>
        <w:ind w:right="200"/>
        <w:spacing w:after="0" w:line="233" w:lineRule="auto"/>
        <w:rPr>
          <w:sz w:val="20"/>
          <w:szCs w:val="20"/>
          <w:color w:val="auto"/>
        </w:rPr>
      </w:pPr>
      <w:r>
        <w:rPr>
          <w:rFonts w:ascii="Arial" w:cs="Arial" w:eastAsia="Arial" w:hAnsi="Arial"/>
          <w:sz w:val="15"/>
          <w:szCs w:val="15"/>
          <w:b w:val="1"/>
          <w:bCs w:val="1"/>
          <w:color w:val="auto"/>
        </w:rPr>
        <w:t xml:space="preserve">Audit-Related Fees. </w:t>
      </w:r>
      <w:r>
        <w:rPr>
          <w:rFonts w:ascii="Arial" w:cs="Arial" w:eastAsia="Arial" w:hAnsi="Arial"/>
          <w:sz w:val="15"/>
          <w:szCs w:val="15"/>
          <w:color w:val="auto"/>
        </w:rPr>
        <w:t>Audit-related fees in 2018 and 2017 were for professional services rendered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Company’s adoption of the new leasing accounting standard and new revenue recognition accounting standard,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Tax Fees. </w:t>
      </w:r>
      <w:r>
        <w:rPr>
          <w:rFonts w:ascii="Arial" w:cs="Arial" w:eastAsia="Arial" w:hAnsi="Arial"/>
          <w:sz w:val="15"/>
          <w:szCs w:val="15"/>
          <w:color w:val="auto"/>
        </w:rPr>
        <w:t>Tax fees in 2018 and 2017 were for tax planning and advisory services.</w:t>
      </w:r>
    </w:p>
    <w:p>
      <w:pPr>
        <w:spacing w:after="0" w:line="139"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b w:val="1"/>
          <w:bCs w:val="1"/>
          <w:color w:val="auto"/>
        </w:rPr>
        <w:t xml:space="preserve">All Other Fees. </w:t>
      </w:r>
      <w:r>
        <w:rPr>
          <w:rFonts w:ascii="Arial" w:cs="Arial" w:eastAsia="Arial" w:hAnsi="Arial"/>
          <w:sz w:val="15"/>
          <w:szCs w:val="15"/>
          <w:color w:val="auto"/>
        </w:rPr>
        <w:t>All other fees in 2018 and 2017 were for annual subscriptions to accounting resources and, in</w:t>
      </w:r>
      <w:r>
        <w:rPr>
          <w:rFonts w:ascii="Arial" w:cs="Arial" w:eastAsia="Arial" w:hAnsi="Arial"/>
          <w:sz w:val="15"/>
          <w:szCs w:val="15"/>
          <w:b w:val="1"/>
          <w:bCs w:val="1"/>
          <w:color w:val="auto"/>
        </w:rPr>
        <w:t xml:space="preserve"> </w:t>
      </w:r>
      <w:r>
        <w:rPr>
          <w:rFonts w:ascii="Arial" w:cs="Arial" w:eastAsia="Arial" w:hAnsi="Arial"/>
          <w:sz w:val="15"/>
          <w:szCs w:val="15"/>
          <w:color w:val="auto"/>
        </w:rPr>
        <w:t>2017, also for an annual subscription to tax resources and professional services rendered to a non-U.S. subsidiary of the Company.</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460" w:space="560"/>
            <w:col w:w="7380"/>
          </w:cols>
          <w:pgMar w:left="760" w:top="1440" w:right="739" w:bottom="1440" w:gutter="0" w:footer="0" w:header="0"/>
          <w:type w:val="continuous"/>
        </w:sectPr>
      </w:pPr>
    </w:p>
    <w:bookmarkStart w:id="57" w:name="page58"/>
    <w:bookmarkEnd w:id="57"/>
    <w:p>
      <w:pPr>
        <w:ind w:left="820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
        <w:spacing w:after="0" w:line="297" w:lineRule="auto"/>
        <w:rPr>
          <w:sz w:val="20"/>
          <w:szCs w:val="20"/>
          <w:color w:val="auto"/>
        </w:rPr>
      </w:pPr>
      <w:r>
        <w:rPr>
          <w:rFonts w:ascii="Arial" w:cs="Arial" w:eastAsia="Arial" w:hAnsi="Arial"/>
          <w:sz w:val="25"/>
          <w:szCs w:val="25"/>
          <w:b w:val="1"/>
          <w:bCs w:val="1"/>
          <w:color w:val="D61C5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-553720</wp:posOffset>
            </wp:positionV>
            <wp:extent cx="16497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20"/>
        <w:spacing w:after="0" w:line="235" w:lineRule="auto"/>
        <w:rPr>
          <w:sz w:val="20"/>
          <w:szCs w:val="20"/>
          <w:color w:val="auto"/>
        </w:rPr>
      </w:pPr>
      <w:r>
        <w:rPr>
          <w:rFonts w:ascii="Arial" w:cs="Arial" w:eastAsia="Arial" w:hAnsi="Arial"/>
          <w:sz w:val="14"/>
          <w:szCs w:val="14"/>
          <w:color w:val="auto"/>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exception to the pre-approval requirements to approve any services provided by PricewaterhouseCoopers LLP during fiscal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46863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54" w:lineRule="exact"/>
        <w:rPr>
          <w:sz w:val="20"/>
          <w:szCs w:val="20"/>
          <w:color w:val="auto"/>
        </w:rPr>
      </w:pPr>
    </w:p>
    <w:p>
      <w:pPr>
        <w:ind w:right="520"/>
        <w:spacing w:after="0" w:line="219" w:lineRule="auto"/>
        <w:rPr>
          <w:sz w:val="20"/>
          <w:szCs w:val="20"/>
          <w:color w:val="auto"/>
        </w:rPr>
      </w:pPr>
      <w:r>
        <w:rPr>
          <w:rFonts w:ascii="Arial" w:cs="Arial" w:eastAsia="Arial" w:hAnsi="Arial"/>
          <w:sz w:val="15"/>
          <w:szCs w:val="15"/>
          <w:color w:val="auto"/>
        </w:rPr>
        <w:t>We have reviewed the audited financial statements of the Company for the year ended December 31, 2018, which are included in the Company’s Annual Report on Form 10-K for the fiscal year ended December 31, 2018,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Auditing Standard No. 1301: Communications with Audit Committees, as adopted by the Public Company Accounting Oversight Board (the “PCAOB”),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140" w:lineRule="exact"/>
        <w:rPr>
          <w:sz w:val="20"/>
          <w:szCs w:val="20"/>
          <w:color w:val="auto"/>
        </w:rPr>
      </w:pPr>
    </w:p>
    <w:p>
      <w:pPr>
        <w:ind w:right="580"/>
        <w:spacing w:after="0" w:line="223"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2018 be included in the Company’s Annual Report on Form 10-K for the fiscal year ended December 31, 2018 for filing with the Securities and Exchange Commission.</w:t>
      </w:r>
    </w:p>
    <w:p>
      <w:pPr>
        <w:spacing w:after="0" w:line="138" w:lineRule="exact"/>
        <w:rPr>
          <w:sz w:val="20"/>
          <w:szCs w:val="20"/>
          <w:color w:val="auto"/>
        </w:rPr>
      </w:pPr>
    </w:p>
    <w:p>
      <w:pPr>
        <w:ind w:right="680"/>
        <w:spacing w:after="0" w:line="225" w:lineRule="auto"/>
        <w:rPr>
          <w:sz w:val="20"/>
          <w:szCs w:val="20"/>
          <w:color w:val="auto"/>
        </w:rPr>
      </w:pPr>
      <w:r>
        <w:rPr>
          <w:rFonts w:ascii="Arial" w:cs="Arial" w:eastAsia="Arial" w:hAnsi="Arial"/>
          <w:sz w:val="15"/>
          <w:szCs w:val="15"/>
          <w:color w:val="auto"/>
        </w:rPr>
        <w:t>We have appointed PricewaterhouseCoopers LLP as the Company’s independent registered public accounting firm for the fiscal year ending December 31, 2019. This appointment was based on a variety of factors, including PricewaterhouseCoopers LLP’s competence in the fields of accounting and auditing.</w:t>
      </w:r>
    </w:p>
    <w:p>
      <w:pPr>
        <w:spacing w:after="0" w:line="121" w:lineRule="exact"/>
        <w:rPr>
          <w:sz w:val="20"/>
          <w:szCs w:val="20"/>
          <w:color w:val="auto"/>
        </w:rPr>
      </w:pPr>
    </w:p>
    <w:p>
      <w:pPr>
        <w:sectPr>
          <w:pgSz w:w="11900" w:h="16838" w:orient="portrait"/>
          <w:cols w:equalWidth="0" w:num="2">
            <w:col w:w="2940" w:space="600"/>
            <w:col w:w="7880"/>
          </w:cols>
          <w:pgMar w:left="240" w:top="396" w:right="239" w:bottom="1440" w:gutter="0" w:footer="0" w:header="0"/>
          <w:type w:val="continuous"/>
        </w:sectPr>
      </w:pPr>
    </w:p>
    <w:p>
      <w:pPr>
        <w:ind w:left="3540"/>
        <w:spacing w:after="0"/>
        <w:rPr>
          <w:sz w:val="20"/>
          <w:szCs w:val="20"/>
          <w:color w:val="auto"/>
        </w:rPr>
      </w:pPr>
      <w:r>
        <w:rPr>
          <w:rFonts w:ascii="Arial" w:cs="Arial" w:eastAsia="Arial" w:hAnsi="Arial"/>
          <w:sz w:val="15"/>
          <w:szCs w:val="15"/>
          <w:b w:val="1"/>
          <w:bCs w:val="1"/>
          <w:color w:val="205BA8"/>
        </w:rPr>
        <w:t>The Audit Committee</w:t>
      </w:r>
    </w:p>
    <w:p>
      <w:pPr>
        <w:ind w:left="3540"/>
        <w:spacing w:after="0" w:line="218" w:lineRule="auto"/>
        <w:rPr>
          <w:sz w:val="20"/>
          <w:szCs w:val="20"/>
          <w:color w:val="auto"/>
        </w:rPr>
      </w:pPr>
      <w:r>
        <w:rPr>
          <w:rFonts w:ascii="Arial" w:cs="Arial" w:eastAsia="Arial" w:hAnsi="Arial"/>
          <w:sz w:val="15"/>
          <w:szCs w:val="15"/>
          <w:b w:val="1"/>
          <w:bCs w:val="1"/>
          <w:color w:val="auto"/>
        </w:rPr>
        <w:t>George L. Sing, Chairman</w:t>
      </w:r>
    </w:p>
    <w:p>
      <w:pPr>
        <w:ind w:left="3540"/>
        <w:spacing w:after="0" w:line="217" w:lineRule="auto"/>
        <w:rPr>
          <w:sz w:val="20"/>
          <w:szCs w:val="20"/>
          <w:color w:val="auto"/>
        </w:rPr>
      </w:pPr>
      <w:r>
        <w:rPr>
          <w:rFonts w:ascii="Arial" w:cs="Arial" w:eastAsia="Arial" w:hAnsi="Arial"/>
          <w:sz w:val="15"/>
          <w:szCs w:val="15"/>
          <w:b w:val="1"/>
          <w:bCs w:val="1"/>
          <w:color w:val="auto"/>
        </w:rPr>
        <w:t>N. Anthony Coles, M.D</w:t>
      </w:r>
    </w:p>
    <w:p>
      <w:pPr>
        <w:spacing w:after="0" w:line="1"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Arthur F. Ryan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45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90912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00190" cy="909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FFFFFF"/>
        </w:rPr>
        <w:t>PROPOSAL</w:t>
      </w:r>
    </w:p>
    <w:p>
      <w:pPr>
        <w:jc w:val="center"/>
        <w:spacing w:after="0"/>
        <w:rPr>
          <w:sz w:val="20"/>
          <w:szCs w:val="20"/>
          <w:color w:val="auto"/>
        </w:rPr>
      </w:pPr>
      <w:r>
        <w:rPr>
          <w:rFonts w:ascii="Arial" w:cs="Arial" w:eastAsia="Arial" w:hAnsi="Arial"/>
          <w:sz w:val="194"/>
          <w:szCs w:val="194"/>
          <w:b w:val="1"/>
          <w:bCs w:val="1"/>
          <w:color w:val="FFFFFF"/>
        </w:rPr>
        <w:t>02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00" w:right="340"/>
        <w:spacing w:after="0" w:line="268" w:lineRule="auto"/>
        <w:rPr>
          <w:sz w:val="20"/>
          <w:szCs w:val="20"/>
          <w:color w:val="auto"/>
        </w:rPr>
      </w:pPr>
      <w:r>
        <w:rPr>
          <w:rFonts w:ascii="Arial" w:cs="Arial" w:eastAsia="Arial" w:hAnsi="Arial"/>
          <w:sz w:val="54"/>
          <w:szCs w:val="54"/>
          <w:b w:val="1"/>
          <w:bCs w:val="1"/>
          <w:color w:val="FFFFFF"/>
        </w:rPr>
        <w:t>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80" w:right="340"/>
        <w:spacing w:after="0" w:line="257" w:lineRule="auto"/>
        <w:rPr>
          <w:sz w:val="20"/>
          <w:szCs w:val="20"/>
          <w:color w:val="auto"/>
        </w:rPr>
      </w:pPr>
      <w:r>
        <w:rPr>
          <w:rFonts w:ascii="Arial" w:cs="Arial" w:eastAsia="Arial" w:hAnsi="Arial"/>
          <w:sz w:val="23"/>
          <w:szCs w:val="23"/>
          <w:color w:val="FFFFFF"/>
        </w:rPr>
        <w:t xml:space="preserve">The board of directors unanimously recommends a vote </w:t>
      </w:r>
      <w:r>
        <w:rPr>
          <w:rFonts w:ascii="Arial" w:cs="Arial" w:eastAsia="Arial" w:hAnsi="Arial"/>
          <w:sz w:val="23"/>
          <w:szCs w:val="23"/>
          <w:b w:val="1"/>
          <w:bCs w:val="1"/>
          <w:color w:val="FFFFFF"/>
        </w:rPr>
        <w:t>FOR</w:t>
      </w:r>
      <w:r>
        <w:rPr>
          <w:rFonts w:ascii="Arial" w:cs="Arial" w:eastAsia="Arial" w:hAnsi="Arial"/>
          <w:sz w:val="23"/>
          <w:szCs w:val="23"/>
          <w:color w:val="FFFFFF"/>
        </w:rPr>
        <w:t xml:space="preserve"> ratification of the appointment of PricewaterhouseCoopers LLP as the Company’s independent registered public accounting firm for the fiscal year ending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 xml:space="preserve">46  </w:t>
      </w:r>
      <w:r>
        <w:rPr>
          <w:rFonts w:ascii="Arial" w:cs="Arial" w:eastAsia="Arial" w:hAnsi="Arial"/>
          <w:sz w:val="14"/>
          <w:szCs w:val="14"/>
          <w:color w:val="FFFFFF"/>
        </w:rPr>
        <w:t xml:space="preserve">/  </w:t>
      </w:r>
      <w:r>
        <w:rPr>
          <w:sz w:val="1"/>
          <w:szCs w:val="1"/>
          <w:color w:val="auto"/>
        </w:rPr>
        <w:drawing>
          <wp:inline distT="0" distB="0" distL="0" distR="0">
            <wp:extent cx="684530" cy="8255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4530" cy="82550"/>
                    </a:xfrm>
                    <a:prstGeom prst="rect">
                      <a:avLst/>
                    </a:prstGeom>
                    <a:noFill/>
                    <a:ln>
                      <a:noFill/>
                    </a:ln>
                  </pic:spPr>
                </pic:pic>
              </a:graphicData>
            </a:graphic>
          </wp:inline>
        </w:drawing>
      </w:r>
      <w:r>
        <w:rPr>
          <w:rFonts w:ascii="Arial" w:cs="Arial" w:eastAsia="Arial" w:hAnsi="Arial"/>
          <w:sz w:val="12"/>
          <w:szCs w:val="12"/>
          <w:b w:val="1"/>
          <w:bCs w:val="1"/>
          <w:color w:val="FFFFFF"/>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589915</wp:posOffset>
            </wp:positionV>
            <wp:extent cx="7251700" cy="33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360"/>
          </w:cols>
          <w:pgMar w:left="1280" w:top="1440" w:right="1259" w:bottom="1440" w:gutter="0" w:footer="0" w:header="0"/>
        </w:sectPr>
      </w:pPr>
    </w:p>
    <w:bookmarkStart w:id="59" w:name="page60"/>
    <w:bookmarkEnd w:id="59"/>
    <w:p>
      <w:pPr>
        <w:ind w:left="5640"/>
        <w:spacing w:after="0"/>
        <w:rPr>
          <w:sz w:val="20"/>
          <w:szCs w:val="20"/>
          <w:color w:val="auto"/>
        </w:rPr>
      </w:pPr>
      <w:r>
        <w:rPr>
          <w:rFonts w:ascii="Arial" w:cs="Arial" w:eastAsia="Arial" w:hAnsi="Arial"/>
          <w:sz w:val="55"/>
          <w:szCs w:val="55"/>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1124585</wp:posOffset>
            </wp:positionV>
            <wp:extent cx="66001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1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
        <w:spacing w:after="0" w:line="247" w:lineRule="auto"/>
        <w:rPr>
          <w:sz w:val="20"/>
          <w:szCs w:val="20"/>
          <w:color w:val="auto"/>
        </w:rPr>
      </w:pPr>
      <w:r>
        <w:rPr>
          <w:rFonts w:ascii="Arial" w:cs="Arial" w:eastAsia="Arial" w:hAnsi="Arial"/>
          <w:sz w:val="26"/>
          <w:szCs w:val="26"/>
          <w:b w:val="1"/>
          <w:bCs w:val="1"/>
          <w:color w:val="D61C5A"/>
        </w:rPr>
        <w:t>SECURITY OWNERSHIP OF CERTAIN BENEFICIAL OWNERS AND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520"/>
        <w:spacing w:after="0" w:line="221" w:lineRule="auto"/>
        <w:rPr>
          <w:sz w:val="20"/>
          <w:szCs w:val="20"/>
          <w:color w:val="auto"/>
        </w:rPr>
      </w:pPr>
      <w:r>
        <w:rPr>
          <w:rFonts w:ascii="Arial" w:cs="Arial" w:eastAsia="Arial" w:hAnsi="Arial"/>
          <w:sz w:val="15"/>
          <w:szCs w:val="15"/>
          <w:color w:val="auto"/>
        </w:rPr>
        <w:t>The following table sets forth, as of April 17, 2019, the number of shares of the Company’s Class A stock and common stock beneficially owned by each of the Company’s directors, each of the NEOs referred to below under “Executive Compensation,” all directors and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spacing w:after="0" w:line="138" w:lineRule="exact"/>
        <w:rPr>
          <w:sz w:val="20"/>
          <w:szCs w:val="20"/>
          <w:color w:val="auto"/>
        </w:rPr>
      </w:pPr>
    </w:p>
    <w:p>
      <w:pPr>
        <w:ind w:right="620"/>
        <w:spacing w:after="0" w:line="218"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1,911,354 shares of Class A stock and 107,727,418 shares of common stock outstanding as of April 17, 2019,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17, 2019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46"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RSUs, or other convertible securities held by that person (and by directors and executive officers as a group) that are exercisable or releasable as of April 17, 2019 or are exercisable or releasable within sixty days after April 17, 2019 are deemed to be outstanding. Such shares are not deemed to be outstanding, however, for the purpose of computing the percentage ownership of common stock of any other person.</w:t>
      </w:r>
    </w:p>
    <w:p>
      <w:pPr>
        <w:spacing w:after="0" w:line="171" w:lineRule="exact"/>
        <w:rPr>
          <w:sz w:val="20"/>
          <w:szCs w:val="20"/>
          <w:color w:val="auto"/>
        </w:rPr>
      </w:pPr>
    </w:p>
    <w:p>
      <w:pPr>
        <w:sectPr>
          <w:pgSz w:w="11900" w:h="16838" w:orient="portrait"/>
          <w:cols w:equalWidth="0" w:num="2">
            <w:col w:w="2560" w:space="460"/>
            <w:col w:w="8400"/>
          </w:cols>
          <w:pgMar w:left="240" w:top="1413"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47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13" w:right="239" w:bottom="1440" w:gutter="0" w:footer="0" w:header="0"/>
          <w:type w:val="continuous"/>
        </w:sectPr>
      </w:pPr>
    </w:p>
    <w:bookmarkStart w:id="60" w:name="page61"/>
    <w:bookmarkEnd w:id="60"/>
    <w:p>
      <w:pPr>
        <w:ind w:left="3"/>
        <w:spacing w:after="0"/>
        <w:rPr>
          <w:sz w:val="20"/>
          <w:szCs w:val="20"/>
          <w:color w:val="auto"/>
        </w:rPr>
      </w:pPr>
      <w:r>
        <w:rPr>
          <w:rFonts w:ascii="Arial" w:cs="Arial" w:eastAsia="Arial" w:hAnsi="Arial"/>
          <w:sz w:val="16"/>
          <w:szCs w:val="16"/>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600190"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36"/>
        </w:trPr>
        <w:tc>
          <w:tcPr>
            <w:tcW w:w="30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2"/>
          </w:tcPr>
          <w:p>
            <w:pPr>
              <w:jc w:val="center"/>
              <w:spacing w:after="0"/>
              <w:rPr>
                <w:sz w:val="20"/>
                <w:szCs w:val="20"/>
                <w:color w:val="auto"/>
              </w:rPr>
            </w:pPr>
            <w:r>
              <w:rPr>
                <w:rFonts w:ascii="Arial" w:cs="Arial" w:eastAsia="Arial" w:hAnsi="Arial"/>
                <w:sz w:val="11"/>
                <w:szCs w:val="11"/>
                <w:b w:val="1"/>
                <w:bCs w:val="1"/>
                <w:color w:val="205BA8"/>
              </w:rPr>
              <w:t>Shares of Class A Stock</w:t>
            </w:r>
          </w:p>
        </w:tc>
        <w:tc>
          <w:tcPr>
            <w:tcW w:w="140" w:type="dxa"/>
            <w:vAlign w:val="bottom"/>
          </w:tcPr>
          <w:p>
            <w:pPr>
              <w:spacing w:after="0"/>
              <w:rPr>
                <w:sz w:val="11"/>
                <w:szCs w:val="11"/>
                <w:color w:val="auto"/>
              </w:rPr>
            </w:pPr>
          </w:p>
        </w:tc>
        <w:tc>
          <w:tcPr>
            <w:tcW w:w="1920" w:type="dxa"/>
            <w:vAlign w:val="bottom"/>
            <w:gridSpan w:val="2"/>
          </w:tcPr>
          <w:p>
            <w:pPr>
              <w:jc w:val="center"/>
              <w:spacing w:after="0"/>
              <w:rPr>
                <w:sz w:val="20"/>
                <w:szCs w:val="20"/>
                <w:color w:val="auto"/>
              </w:rPr>
            </w:pPr>
            <w:r>
              <w:rPr>
                <w:rFonts w:ascii="Arial" w:cs="Arial" w:eastAsia="Arial" w:hAnsi="Arial"/>
                <w:sz w:val="11"/>
                <w:szCs w:val="11"/>
                <w:b w:val="1"/>
                <w:bCs w:val="1"/>
                <w:color w:val="205BA8"/>
              </w:rPr>
              <w:t>Shares of Common Stock</w:t>
            </w:r>
          </w:p>
        </w:tc>
      </w:tr>
      <w:tr>
        <w:trPr>
          <w:trHeight w:val="175"/>
        </w:trPr>
        <w:tc>
          <w:tcPr>
            <w:tcW w:w="30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Borders>
              <w:bottom w:val="single" w:sz="8" w:color="205BA8"/>
            </w:tcBorders>
            <w:gridSpan w:val="2"/>
          </w:tcPr>
          <w:p>
            <w:pPr>
              <w:jc w:val="center"/>
              <w:spacing w:after="0" w:line="175" w:lineRule="exact"/>
              <w:rPr>
                <w:sz w:val="20"/>
                <w:szCs w:val="20"/>
                <w:color w:val="auto"/>
              </w:rPr>
            </w:pPr>
            <w:r>
              <w:rPr>
                <w:rFonts w:ascii="Arial" w:cs="Arial" w:eastAsia="Arial" w:hAnsi="Arial"/>
                <w:sz w:val="11"/>
                <w:szCs w:val="11"/>
                <w:b w:val="1"/>
                <w:bCs w:val="1"/>
                <w:color w:val="205BA8"/>
              </w:rPr>
              <w:t>Beneficially Owned</w:t>
            </w:r>
            <w:r>
              <w:rPr>
                <w:rFonts w:ascii="Arial" w:cs="Arial" w:eastAsia="Arial" w:hAnsi="Arial"/>
                <w:sz w:val="18"/>
                <w:szCs w:val="18"/>
                <w:b w:val="1"/>
                <w:bCs w:val="1"/>
                <w:color w:val="205BA8"/>
                <w:vertAlign w:val="superscript"/>
              </w:rPr>
              <w:t>1</w:t>
            </w:r>
          </w:p>
        </w:tc>
        <w:tc>
          <w:tcPr>
            <w:tcW w:w="140" w:type="dxa"/>
            <w:vAlign w:val="bottom"/>
          </w:tcPr>
          <w:p>
            <w:pPr>
              <w:spacing w:after="0"/>
              <w:rPr>
                <w:sz w:val="15"/>
                <w:szCs w:val="15"/>
                <w:color w:val="auto"/>
              </w:rPr>
            </w:pPr>
          </w:p>
        </w:tc>
        <w:tc>
          <w:tcPr>
            <w:tcW w:w="1920" w:type="dxa"/>
            <w:vAlign w:val="bottom"/>
            <w:tcBorders>
              <w:bottom w:val="single" w:sz="8" w:color="205BA8"/>
            </w:tcBorders>
            <w:gridSpan w:val="2"/>
          </w:tcPr>
          <w:p>
            <w:pPr>
              <w:jc w:val="center"/>
              <w:spacing w:after="0" w:line="175" w:lineRule="exact"/>
              <w:rPr>
                <w:sz w:val="20"/>
                <w:szCs w:val="20"/>
                <w:color w:val="auto"/>
              </w:rPr>
            </w:pPr>
            <w:r>
              <w:rPr>
                <w:rFonts w:ascii="Arial" w:cs="Arial" w:eastAsia="Arial" w:hAnsi="Arial"/>
                <w:sz w:val="11"/>
                <w:szCs w:val="11"/>
                <w:b w:val="1"/>
                <w:bCs w:val="1"/>
                <w:color w:val="205BA8"/>
              </w:rPr>
              <w:t>Beneficially Owned</w:t>
            </w:r>
            <w:r>
              <w:rPr>
                <w:rFonts w:ascii="Arial" w:cs="Arial" w:eastAsia="Arial" w:hAnsi="Arial"/>
                <w:sz w:val="18"/>
                <w:szCs w:val="18"/>
                <w:b w:val="1"/>
                <w:bCs w:val="1"/>
                <w:color w:val="205BA8"/>
                <w:vertAlign w:val="superscript"/>
              </w:rPr>
              <w:t>1</w:t>
            </w:r>
          </w:p>
        </w:tc>
      </w:tr>
      <w:tr>
        <w:trPr>
          <w:trHeight w:val="272"/>
        </w:trPr>
        <w:tc>
          <w:tcPr>
            <w:tcW w:w="3020" w:type="dxa"/>
            <w:vAlign w:val="bottom"/>
          </w:tcPr>
          <w:p>
            <w:pPr>
              <w:spacing w:after="0"/>
              <w:rPr>
                <w:sz w:val="23"/>
                <w:szCs w:val="23"/>
                <w:color w:val="auto"/>
              </w:rPr>
            </w:pPr>
          </w:p>
        </w:tc>
        <w:tc>
          <w:tcPr>
            <w:tcW w:w="3400" w:type="dxa"/>
            <w:vAlign w:val="bottom"/>
            <w:tcBorders>
              <w:bottom w:val="single" w:sz="8" w:color="205BA8"/>
            </w:tcBorders>
          </w:tcPr>
          <w:p>
            <w:pPr>
              <w:ind w:left="80"/>
              <w:spacing w:after="0"/>
              <w:rPr>
                <w:sz w:val="20"/>
                <w:szCs w:val="20"/>
                <w:color w:val="auto"/>
              </w:rPr>
            </w:pPr>
            <w:r>
              <w:rPr>
                <w:rFonts w:ascii="Arial" w:cs="Arial" w:eastAsia="Arial" w:hAnsi="Arial"/>
                <w:sz w:val="11"/>
                <w:szCs w:val="11"/>
                <w:b w:val="1"/>
                <w:bCs w:val="1"/>
                <w:color w:val="205BA8"/>
              </w:rPr>
              <w:t>Name and Address of Beneficial Owner</w:t>
            </w:r>
          </w:p>
        </w:tc>
        <w:tc>
          <w:tcPr>
            <w:tcW w:w="140" w:type="dxa"/>
            <w:vAlign w:val="bottom"/>
            <w:tcBorders>
              <w:bottom w:val="single" w:sz="8" w:color="205BA8"/>
            </w:tcBorders>
          </w:tcPr>
          <w:p>
            <w:pPr>
              <w:spacing w:after="0"/>
              <w:rPr>
                <w:sz w:val="23"/>
                <w:szCs w:val="23"/>
                <w:color w:val="auto"/>
              </w:rPr>
            </w:pPr>
          </w:p>
        </w:tc>
        <w:tc>
          <w:tcPr>
            <w:tcW w:w="720" w:type="dxa"/>
            <w:vAlign w:val="bottom"/>
            <w:tcBorders>
              <w:bottom w:val="single" w:sz="8" w:color="205BA8"/>
            </w:tcBorders>
          </w:tcPr>
          <w:p>
            <w:pPr>
              <w:ind w:left="100"/>
              <w:spacing w:after="0"/>
              <w:rPr>
                <w:sz w:val="20"/>
                <w:szCs w:val="20"/>
                <w:color w:val="auto"/>
              </w:rPr>
            </w:pPr>
            <w:r>
              <w:rPr>
                <w:rFonts w:ascii="Arial" w:cs="Arial" w:eastAsia="Arial" w:hAnsi="Arial"/>
                <w:sz w:val="11"/>
                <w:szCs w:val="11"/>
                <w:b w:val="1"/>
                <w:bCs w:val="1"/>
                <w:color w:val="205BA8"/>
              </w:rPr>
              <w:t>Number</w:t>
            </w:r>
          </w:p>
        </w:tc>
        <w:tc>
          <w:tcPr>
            <w:tcW w:w="1060" w:type="dxa"/>
            <w:vAlign w:val="bottom"/>
            <w:tcBorders>
              <w:bottom w:val="single" w:sz="8" w:color="205BA8"/>
            </w:tcBorders>
          </w:tcPr>
          <w:p>
            <w:pPr>
              <w:ind w:left="120"/>
              <w:spacing w:after="0"/>
              <w:rPr>
                <w:sz w:val="20"/>
                <w:szCs w:val="20"/>
                <w:color w:val="auto"/>
              </w:rPr>
            </w:pPr>
            <w:r>
              <w:rPr>
                <w:rFonts w:ascii="Arial" w:cs="Arial" w:eastAsia="Arial" w:hAnsi="Arial"/>
                <w:sz w:val="11"/>
                <w:szCs w:val="11"/>
                <w:b w:val="1"/>
                <w:bCs w:val="1"/>
                <w:color w:val="205BA8"/>
              </w:rPr>
              <w:t>Percent of Class</w:t>
            </w:r>
          </w:p>
        </w:tc>
        <w:tc>
          <w:tcPr>
            <w:tcW w:w="140" w:type="dxa"/>
            <w:vAlign w:val="bottom"/>
            <w:tcBorders>
              <w:bottom w:val="single" w:sz="8" w:color="205BA8"/>
            </w:tcBorders>
          </w:tcPr>
          <w:p>
            <w:pPr>
              <w:spacing w:after="0"/>
              <w:rPr>
                <w:sz w:val="23"/>
                <w:szCs w:val="23"/>
                <w:color w:val="auto"/>
              </w:rPr>
            </w:pPr>
          </w:p>
        </w:tc>
        <w:tc>
          <w:tcPr>
            <w:tcW w:w="860" w:type="dxa"/>
            <w:vAlign w:val="bottom"/>
            <w:tcBorders>
              <w:bottom w:val="single" w:sz="8" w:color="205BA8"/>
            </w:tcBorders>
          </w:tcPr>
          <w:p>
            <w:pPr>
              <w:ind w:left="140"/>
              <w:spacing w:after="0"/>
              <w:rPr>
                <w:sz w:val="20"/>
                <w:szCs w:val="20"/>
                <w:color w:val="auto"/>
              </w:rPr>
            </w:pPr>
            <w:r>
              <w:rPr>
                <w:rFonts w:ascii="Arial" w:cs="Arial" w:eastAsia="Arial" w:hAnsi="Arial"/>
                <w:sz w:val="11"/>
                <w:szCs w:val="11"/>
                <w:b w:val="1"/>
                <w:bCs w:val="1"/>
                <w:color w:val="205BA8"/>
              </w:rPr>
              <w:t>Number</w:t>
            </w:r>
            <w:r>
              <w:rPr>
                <w:rFonts w:ascii="Arial" w:cs="Arial" w:eastAsia="Arial" w:hAnsi="Arial"/>
                <w:sz w:val="18"/>
                <w:szCs w:val="18"/>
                <w:b w:val="1"/>
                <w:bCs w:val="1"/>
                <w:color w:val="205BA8"/>
                <w:vertAlign w:val="superscript"/>
              </w:rPr>
              <w:t>2</w:t>
            </w:r>
          </w:p>
        </w:tc>
        <w:tc>
          <w:tcPr>
            <w:tcW w:w="1060" w:type="dxa"/>
            <w:vAlign w:val="bottom"/>
            <w:tcBorders>
              <w:bottom w:val="single" w:sz="8" w:color="205BA8"/>
            </w:tcBorders>
          </w:tcPr>
          <w:p>
            <w:pPr>
              <w:ind w:left="100"/>
              <w:spacing w:after="0"/>
              <w:rPr>
                <w:sz w:val="20"/>
                <w:szCs w:val="20"/>
                <w:color w:val="auto"/>
              </w:rPr>
            </w:pPr>
            <w:r>
              <w:rPr>
                <w:rFonts w:ascii="Arial" w:cs="Arial" w:eastAsia="Arial" w:hAnsi="Arial"/>
                <w:sz w:val="11"/>
                <w:szCs w:val="11"/>
                <w:b w:val="1"/>
                <w:bCs w:val="1"/>
                <w:color w:val="205BA8"/>
              </w:rPr>
              <w:t>Percent of Class</w:t>
            </w:r>
          </w:p>
        </w:tc>
      </w:tr>
      <w:tr>
        <w:trPr>
          <w:trHeight w:val="162"/>
        </w:trPr>
        <w:tc>
          <w:tcPr>
            <w:tcW w:w="3020" w:type="dxa"/>
            <w:vAlign w:val="bottom"/>
          </w:tcPr>
          <w:p>
            <w:pPr>
              <w:spacing w:after="0"/>
              <w:rPr>
                <w:sz w:val="14"/>
                <w:szCs w:val="14"/>
                <w:color w:val="auto"/>
              </w:rPr>
            </w:pPr>
          </w:p>
        </w:tc>
        <w:tc>
          <w:tcPr>
            <w:tcW w:w="3400" w:type="dxa"/>
            <w:vAlign w:val="bottom"/>
          </w:tcPr>
          <w:p>
            <w:pPr>
              <w:ind w:left="80"/>
              <w:spacing w:after="0"/>
              <w:rPr>
                <w:sz w:val="20"/>
                <w:szCs w:val="20"/>
                <w:color w:val="auto"/>
              </w:rPr>
            </w:pPr>
            <w:r>
              <w:rPr>
                <w:rFonts w:ascii="Arial" w:cs="Arial" w:eastAsia="Arial" w:hAnsi="Arial"/>
                <w:sz w:val="12"/>
                <w:szCs w:val="12"/>
                <w:b w:val="1"/>
                <w:bCs w:val="1"/>
                <w:color w:val="205BA8"/>
              </w:rPr>
              <w:t>Beneficial Owners of More than 5% of Common Stock 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30"/>
        </w:trPr>
        <w:tc>
          <w:tcPr>
            <w:tcW w:w="3020" w:type="dxa"/>
            <w:vAlign w:val="bottom"/>
          </w:tcPr>
          <w:p>
            <w:pPr>
              <w:spacing w:after="0"/>
              <w:rPr>
                <w:sz w:val="11"/>
                <w:szCs w:val="11"/>
                <w:color w:val="auto"/>
              </w:rPr>
            </w:pPr>
          </w:p>
        </w:tc>
        <w:tc>
          <w:tcPr>
            <w:tcW w:w="3400" w:type="dxa"/>
            <w:vAlign w:val="bottom"/>
          </w:tcPr>
          <w:p>
            <w:pPr>
              <w:ind w:left="80"/>
              <w:spacing w:after="0" w:line="130" w:lineRule="exact"/>
              <w:rPr>
                <w:sz w:val="20"/>
                <w:szCs w:val="20"/>
                <w:color w:val="auto"/>
              </w:rPr>
            </w:pPr>
            <w:r>
              <w:rPr>
                <w:rFonts w:ascii="Arial" w:cs="Arial" w:eastAsia="Arial" w:hAnsi="Arial"/>
                <w:sz w:val="12"/>
                <w:szCs w:val="12"/>
                <w:b w:val="1"/>
                <w:bCs w:val="1"/>
                <w:color w:val="205BA8"/>
              </w:rPr>
              <w:t>Class A Stock</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0"/>
        </w:trPr>
        <w:tc>
          <w:tcPr>
            <w:tcW w:w="3020" w:type="dxa"/>
            <w:vAlign w:val="bottom"/>
          </w:tcPr>
          <w:p>
            <w:pPr>
              <w:spacing w:after="0"/>
              <w:rPr>
                <w:sz w:val="13"/>
                <w:szCs w:val="13"/>
                <w:color w:val="auto"/>
              </w:rPr>
            </w:pPr>
          </w:p>
        </w:tc>
        <w:tc>
          <w:tcPr>
            <w:tcW w:w="3400" w:type="dxa"/>
            <w:vAlign w:val="bottom"/>
          </w:tcPr>
          <w:p>
            <w:pPr>
              <w:ind w:left="80"/>
              <w:spacing w:after="0"/>
              <w:rPr>
                <w:sz w:val="20"/>
                <w:szCs w:val="20"/>
                <w:color w:val="auto"/>
              </w:rPr>
            </w:pPr>
            <w:r>
              <w:rPr>
                <w:rFonts w:ascii="Arial" w:cs="Arial" w:eastAsia="Arial" w:hAnsi="Arial"/>
                <w:sz w:val="12"/>
                <w:szCs w:val="12"/>
                <w:b w:val="1"/>
                <w:bCs w:val="1"/>
                <w:color w:val="205BA8"/>
              </w:rPr>
              <w:t>(Other than Directors and Executive Officers):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48"/>
        </w:trPr>
        <w:tc>
          <w:tcPr>
            <w:tcW w:w="3020" w:type="dxa"/>
            <w:vAlign w:val="bottom"/>
          </w:tcPr>
          <w:p>
            <w:pPr>
              <w:spacing w:after="0"/>
              <w:rPr>
                <w:sz w:val="4"/>
                <w:szCs w:val="4"/>
                <w:color w:val="auto"/>
              </w:rPr>
            </w:pPr>
          </w:p>
        </w:tc>
        <w:tc>
          <w:tcPr>
            <w:tcW w:w="3400" w:type="dxa"/>
            <w:vAlign w:val="bottom"/>
            <w:tcBorders>
              <w:bottom w:val="single" w:sz="8" w:color="205BA8"/>
            </w:tcBorders>
          </w:tcPr>
          <w:p>
            <w:pPr>
              <w:spacing w:after="0"/>
              <w:rPr>
                <w:sz w:val="4"/>
                <w:szCs w:val="4"/>
                <w:color w:val="auto"/>
              </w:rPr>
            </w:pPr>
          </w:p>
        </w:tc>
        <w:tc>
          <w:tcPr>
            <w:tcW w:w="140" w:type="dxa"/>
            <w:vAlign w:val="bottom"/>
            <w:tcBorders>
              <w:bottom w:val="single" w:sz="8" w:color="205BA8"/>
            </w:tcBorders>
          </w:tcPr>
          <w:p>
            <w:pPr>
              <w:spacing w:after="0"/>
              <w:rPr>
                <w:sz w:val="4"/>
                <w:szCs w:val="4"/>
                <w:color w:val="auto"/>
              </w:rPr>
            </w:pPr>
          </w:p>
        </w:tc>
        <w:tc>
          <w:tcPr>
            <w:tcW w:w="720" w:type="dxa"/>
            <w:vAlign w:val="bottom"/>
            <w:tcBorders>
              <w:bottom w:val="single" w:sz="8" w:color="205BA8"/>
            </w:tcBorders>
          </w:tcPr>
          <w:p>
            <w:pPr>
              <w:spacing w:after="0"/>
              <w:rPr>
                <w:sz w:val="4"/>
                <w:szCs w:val="4"/>
                <w:color w:val="auto"/>
              </w:rPr>
            </w:pPr>
          </w:p>
        </w:tc>
        <w:tc>
          <w:tcPr>
            <w:tcW w:w="1060" w:type="dxa"/>
            <w:vAlign w:val="bottom"/>
            <w:tcBorders>
              <w:bottom w:val="single" w:sz="8" w:color="205BA8"/>
            </w:tcBorders>
          </w:tcPr>
          <w:p>
            <w:pPr>
              <w:spacing w:after="0"/>
              <w:rPr>
                <w:sz w:val="4"/>
                <w:szCs w:val="4"/>
                <w:color w:val="auto"/>
              </w:rPr>
            </w:pPr>
          </w:p>
        </w:tc>
        <w:tc>
          <w:tcPr>
            <w:tcW w:w="140" w:type="dxa"/>
            <w:vAlign w:val="bottom"/>
            <w:tcBorders>
              <w:bottom w:val="single" w:sz="8" w:color="205BA8"/>
            </w:tcBorders>
          </w:tcPr>
          <w:p>
            <w:pPr>
              <w:spacing w:after="0"/>
              <w:rPr>
                <w:sz w:val="4"/>
                <w:szCs w:val="4"/>
                <w:color w:val="auto"/>
              </w:rPr>
            </w:pPr>
          </w:p>
        </w:tc>
        <w:tc>
          <w:tcPr>
            <w:tcW w:w="860" w:type="dxa"/>
            <w:vAlign w:val="bottom"/>
            <w:tcBorders>
              <w:bottom w:val="single" w:sz="8" w:color="205BA8"/>
            </w:tcBorders>
          </w:tcPr>
          <w:p>
            <w:pPr>
              <w:spacing w:after="0"/>
              <w:rPr>
                <w:sz w:val="4"/>
                <w:szCs w:val="4"/>
                <w:color w:val="auto"/>
              </w:rPr>
            </w:pPr>
          </w:p>
        </w:tc>
        <w:tc>
          <w:tcPr>
            <w:tcW w:w="1060" w:type="dxa"/>
            <w:vAlign w:val="bottom"/>
            <w:tcBorders>
              <w:bottom w:val="single" w:sz="8" w:color="205BA8"/>
            </w:tcBorders>
          </w:tcPr>
          <w:p>
            <w:pPr>
              <w:spacing w:after="0"/>
              <w:rPr>
                <w:sz w:val="4"/>
                <w:szCs w:val="4"/>
                <w:color w:val="auto"/>
              </w:rPr>
            </w:pPr>
          </w:p>
        </w:tc>
      </w:tr>
      <w:tr>
        <w:trPr>
          <w:trHeight w:val="224"/>
        </w:trPr>
        <w:tc>
          <w:tcPr>
            <w:tcW w:w="3020" w:type="dxa"/>
            <w:vAlign w:val="bottom"/>
          </w:tcPr>
          <w:p>
            <w:pPr>
              <w:spacing w:after="0"/>
              <w:rPr>
                <w:sz w:val="19"/>
                <w:szCs w:val="19"/>
                <w:color w:val="auto"/>
              </w:rPr>
            </w:pPr>
          </w:p>
        </w:tc>
        <w:tc>
          <w:tcPr>
            <w:tcW w:w="3400" w:type="dxa"/>
            <w:vAlign w:val="bottom"/>
          </w:tcPr>
          <w:p>
            <w:pPr>
              <w:ind w:left="80"/>
              <w:spacing w:after="0" w:line="224" w:lineRule="exact"/>
              <w:rPr>
                <w:sz w:val="20"/>
                <w:szCs w:val="20"/>
                <w:color w:val="auto"/>
              </w:rPr>
            </w:pPr>
            <w:r>
              <w:rPr>
                <w:rFonts w:ascii="Arial" w:cs="Arial" w:eastAsia="Arial" w:hAnsi="Arial"/>
                <w:sz w:val="12"/>
                <w:szCs w:val="12"/>
                <w:b w:val="1"/>
                <w:bCs w:val="1"/>
                <w:color w:val="D61C5A"/>
              </w:rPr>
              <w:t>Sanofi</w:t>
            </w:r>
            <w:r>
              <w:rPr>
                <w:rFonts w:ascii="Arial" w:cs="Arial" w:eastAsia="Arial" w:hAnsi="Arial"/>
                <w:sz w:val="20"/>
                <w:szCs w:val="20"/>
                <w:b w:val="1"/>
                <w:bCs w:val="1"/>
                <w:color w:val="D61C5A"/>
                <w:vertAlign w:val="superscript"/>
              </w:rPr>
              <w:t>3</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43"/>
        </w:trPr>
        <w:tc>
          <w:tcPr>
            <w:tcW w:w="3020" w:type="dxa"/>
            <w:vAlign w:val="bottom"/>
          </w:tcPr>
          <w:p>
            <w:pPr>
              <w:spacing w:after="0"/>
              <w:rPr>
                <w:sz w:val="12"/>
                <w:szCs w:val="12"/>
                <w:color w:val="auto"/>
              </w:rPr>
            </w:pPr>
          </w:p>
        </w:tc>
        <w:tc>
          <w:tcPr>
            <w:tcW w:w="3400" w:type="dxa"/>
            <w:vAlign w:val="bottom"/>
          </w:tcPr>
          <w:p>
            <w:pPr>
              <w:ind w:left="80"/>
              <w:spacing w:after="0" w:line="143" w:lineRule="exact"/>
              <w:rPr>
                <w:sz w:val="20"/>
                <w:szCs w:val="20"/>
                <w:color w:val="auto"/>
              </w:rPr>
            </w:pPr>
            <w:r>
              <w:rPr>
                <w:rFonts w:ascii="Arial" w:cs="Arial" w:eastAsia="Arial" w:hAnsi="Arial"/>
                <w:sz w:val="13"/>
                <w:szCs w:val="13"/>
                <w:color w:val="auto"/>
              </w:rPr>
              <w:t>54, rue La Boetie</w:t>
            </w:r>
          </w:p>
        </w:tc>
        <w:tc>
          <w:tcPr>
            <w:tcW w:w="140" w:type="dxa"/>
            <w:vAlign w:val="bottom"/>
          </w:tcPr>
          <w:p>
            <w:pPr>
              <w:spacing w:after="0"/>
              <w:rPr>
                <w:sz w:val="12"/>
                <w:szCs w:val="12"/>
                <w:color w:val="auto"/>
              </w:rPr>
            </w:pPr>
          </w:p>
        </w:tc>
        <w:tc>
          <w:tcPr>
            <w:tcW w:w="720" w:type="dxa"/>
            <w:vAlign w:val="bottom"/>
          </w:tcPr>
          <w:p>
            <w:pPr>
              <w:jc w:val="center"/>
              <w:ind w:right="38"/>
              <w:spacing w:after="0" w:line="143" w:lineRule="exact"/>
              <w:rPr>
                <w:sz w:val="20"/>
                <w:szCs w:val="20"/>
                <w:color w:val="auto"/>
              </w:rPr>
            </w:pPr>
            <w:r>
              <w:rPr>
                <w:rFonts w:ascii="Arial" w:cs="Arial" w:eastAsia="Arial" w:hAnsi="Arial"/>
                <w:sz w:val="13"/>
                <w:szCs w:val="13"/>
                <w:color w:val="auto"/>
              </w:rPr>
              <w:t>—</w:t>
            </w:r>
          </w:p>
        </w:tc>
        <w:tc>
          <w:tcPr>
            <w:tcW w:w="1060" w:type="dxa"/>
            <w:vAlign w:val="bottom"/>
          </w:tcPr>
          <w:p>
            <w:pPr>
              <w:jc w:val="center"/>
              <w:spacing w:after="0" w:line="14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98"/>
              </w:rPr>
              <w:t>23,523,269</w:t>
            </w:r>
          </w:p>
        </w:tc>
        <w:tc>
          <w:tcPr>
            <w:tcW w:w="1060" w:type="dxa"/>
            <w:vAlign w:val="bottom"/>
          </w:tcPr>
          <w:p>
            <w:pPr>
              <w:jc w:val="center"/>
              <w:spacing w:after="0" w:line="143" w:lineRule="exact"/>
              <w:rPr>
                <w:sz w:val="20"/>
                <w:szCs w:val="20"/>
                <w:color w:val="auto"/>
              </w:rPr>
            </w:pPr>
            <w:r>
              <w:rPr>
                <w:rFonts w:ascii="Arial" w:cs="Arial" w:eastAsia="Arial" w:hAnsi="Arial"/>
                <w:sz w:val="13"/>
                <w:szCs w:val="13"/>
                <w:color w:val="auto"/>
                <w:w w:val="97"/>
              </w:rPr>
              <w:t>21.8%</w:t>
            </w:r>
          </w:p>
        </w:tc>
      </w:tr>
      <w:tr>
        <w:trPr>
          <w:trHeight w:val="150"/>
        </w:trPr>
        <w:tc>
          <w:tcPr>
            <w:tcW w:w="3020" w:type="dxa"/>
            <w:vAlign w:val="bottom"/>
          </w:tcPr>
          <w:p>
            <w:pPr>
              <w:spacing w:after="0"/>
              <w:rPr>
                <w:sz w:val="13"/>
                <w:szCs w:val="13"/>
                <w:color w:val="auto"/>
              </w:rPr>
            </w:pPr>
          </w:p>
        </w:tc>
        <w:tc>
          <w:tcPr>
            <w:tcW w:w="3400" w:type="dxa"/>
            <w:vAlign w:val="bottom"/>
          </w:tcPr>
          <w:p>
            <w:pPr>
              <w:ind w:left="80"/>
              <w:spacing w:after="0"/>
              <w:rPr>
                <w:sz w:val="20"/>
                <w:szCs w:val="20"/>
                <w:color w:val="auto"/>
              </w:rPr>
            </w:pPr>
            <w:r>
              <w:rPr>
                <w:rFonts w:ascii="Arial" w:cs="Arial" w:eastAsia="Arial" w:hAnsi="Arial"/>
                <w:sz w:val="13"/>
                <w:szCs w:val="13"/>
                <w:color w:val="auto"/>
              </w:rPr>
              <w:t>75008 Paris, France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42"/>
        </w:trPr>
        <w:tc>
          <w:tcPr>
            <w:tcW w:w="3020" w:type="dxa"/>
            <w:vAlign w:val="bottom"/>
          </w:tcPr>
          <w:p>
            <w:pPr>
              <w:spacing w:after="0"/>
              <w:rPr>
                <w:sz w:val="3"/>
                <w:szCs w:val="3"/>
                <w:color w:val="auto"/>
              </w:rPr>
            </w:pPr>
          </w:p>
        </w:tc>
        <w:tc>
          <w:tcPr>
            <w:tcW w:w="3400" w:type="dxa"/>
            <w:vAlign w:val="bottom"/>
            <w:tcBorders>
              <w:bottom w:val="single" w:sz="8" w:color="205BA8"/>
            </w:tcBorders>
          </w:tcPr>
          <w:p>
            <w:pPr>
              <w:spacing w:after="0"/>
              <w:rPr>
                <w:sz w:val="3"/>
                <w:szCs w:val="3"/>
                <w:color w:val="auto"/>
              </w:rPr>
            </w:pPr>
          </w:p>
        </w:tc>
        <w:tc>
          <w:tcPr>
            <w:tcW w:w="140" w:type="dxa"/>
            <w:vAlign w:val="bottom"/>
            <w:tcBorders>
              <w:bottom w:val="single" w:sz="8" w:color="205BA8"/>
            </w:tcBorders>
          </w:tcPr>
          <w:p>
            <w:pPr>
              <w:spacing w:after="0"/>
              <w:rPr>
                <w:sz w:val="3"/>
                <w:szCs w:val="3"/>
                <w:color w:val="auto"/>
              </w:rPr>
            </w:pPr>
          </w:p>
        </w:tc>
        <w:tc>
          <w:tcPr>
            <w:tcW w:w="720" w:type="dxa"/>
            <w:vAlign w:val="bottom"/>
            <w:tcBorders>
              <w:bottom w:val="single" w:sz="8" w:color="205BA8"/>
            </w:tcBorders>
          </w:tcPr>
          <w:p>
            <w:pPr>
              <w:spacing w:after="0"/>
              <w:rPr>
                <w:sz w:val="3"/>
                <w:szCs w:val="3"/>
                <w:color w:val="auto"/>
              </w:rPr>
            </w:pPr>
          </w:p>
        </w:tc>
        <w:tc>
          <w:tcPr>
            <w:tcW w:w="1060" w:type="dxa"/>
            <w:vAlign w:val="bottom"/>
            <w:tcBorders>
              <w:bottom w:val="single" w:sz="8" w:color="205BA8"/>
            </w:tcBorders>
          </w:tcPr>
          <w:p>
            <w:pPr>
              <w:spacing w:after="0"/>
              <w:rPr>
                <w:sz w:val="3"/>
                <w:szCs w:val="3"/>
                <w:color w:val="auto"/>
              </w:rPr>
            </w:pPr>
          </w:p>
        </w:tc>
        <w:tc>
          <w:tcPr>
            <w:tcW w:w="140" w:type="dxa"/>
            <w:vAlign w:val="bottom"/>
            <w:tcBorders>
              <w:bottom w:val="single" w:sz="8" w:color="205BA8"/>
            </w:tcBorders>
          </w:tcPr>
          <w:p>
            <w:pPr>
              <w:spacing w:after="0"/>
              <w:rPr>
                <w:sz w:val="3"/>
                <w:szCs w:val="3"/>
                <w:color w:val="auto"/>
              </w:rPr>
            </w:pPr>
          </w:p>
        </w:tc>
        <w:tc>
          <w:tcPr>
            <w:tcW w:w="860" w:type="dxa"/>
            <w:vAlign w:val="bottom"/>
            <w:tcBorders>
              <w:bottom w:val="single" w:sz="8" w:color="205BA8"/>
            </w:tcBorders>
          </w:tcPr>
          <w:p>
            <w:pPr>
              <w:spacing w:after="0"/>
              <w:rPr>
                <w:sz w:val="3"/>
                <w:szCs w:val="3"/>
                <w:color w:val="auto"/>
              </w:rPr>
            </w:pPr>
          </w:p>
        </w:tc>
        <w:tc>
          <w:tcPr>
            <w:tcW w:w="1060" w:type="dxa"/>
            <w:vAlign w:val="bottom"/>
            <w:tcBorders>
              <w:bottom w:val="single" w:sz="8" w:color="205BA8"/>
            </w:tcBorders>
          </w:tcPr>
          <w:p>
            <w:pPr>
              <w:spacing w:after="0"/>
              <w:rPr>
                <w:sz w:val="3"/>
                <w:szCs w:val="3"/>
                <w:color w:val="auto"/>
              </w:rPr>
            </w:pPr>
          </w:p>
        </w:tc>
      </w:tr>
      <w:tr>
        <w:trPr>
          <w:trHeight w:val="214"/>
        </w:trPr>
        <w:tc>
          <w:tcPr>
            <w:tcW w:w="3020" w:type="dxa"/>
            <w:vAlign w:val="bottom"/>
          </w:tcPr>
          <w:p>
            <w:pPr>
              <w:spacing w:after="0"/>
              <w:rPr>
                <w:sz w:val="18"/>
                <w:szCs w:val="18"/>
                <w:color w:val="auto"/>
              </w:rPr>
            </w:pPr>
          </w:p>
        </w:tc>
        <w:tc>
          <w:tcPr>
            <w:tcW w:w="3400" w:type="dxa"/>
            <w:vAlign w:val="bottom"/>
            <w:shd w:val="clear" w:color="auto" w:fill="ECEDED"/>
          </w:tcPr>
          <w:p>
            <w:pPr>
              <w:ind w:left="80"/>
              <w:spacing w:after="0" w:line="214" w:lineRule="exact"/>
              <w:rPr>
                <w:sz w:val="20"/>
                <w:szCs w:val="20"/>
                <w:color w:val="auto"/>
              </w:rPr>
            </w:pPr>
            <w:r>
              <w:rPr>
                <w:rFonts w:ascii="Arial" w:cs="Arial" w:eastAsia="Arial" w:hAnsi="Arial"/>
                <w:sz w:val="12"/>
                <w:szCs w:val="12"/>
                <w:b w:val="1"/>
                <w:bCs w:val="1"/>
                <w:color w:val="D61C5A"/>
              </w:rPr>
              <w:t>Capital World Investors</w:t>
            </w:r>
            <w:r>
              <w:rPr>
                <w:rFonts w:ascii="Arial" w:cs="Arial" w:eastAsia="Arial" w:hAnsi="Arial"/>
                <w:sz w:val="20"/>
                <w:szCs w:val="20"/>
                <w:b w:val="1"/>
                <w:bCs w:val="1"/>
                <w:color w:val="D61C5A"/>
                <w:vertAlign w:val="superscript"/>
              </w:rPr>
              <w:t>4</w:t>
            </w:r>
          </w:p>
        </w:tc>
        <w:tc>
          <w:tcPr>
            <w:tcW w:w="140" w:type="dxa"/>
            <w:vAlign w:val="bottom"/>
            <w:shd w:val="clear" w:color="auto" w:fill="ECEDED"/>
          </w:tcPr>
          <w:p>
            <w:pPr>
              <w:spacing w:after="0"/>
              <w:rPr>
                <w:sz w:val="18"/>
                <w:szCs w:val="18"/>
                <w:color w:val="auto"/>
              </w:rPr>
            </w:pPr>
          </w:p>
        </w:tc>
        <w:tc>
          <w:tcPr>
            <w:tcW w:w="720" w:type="dxa"/>
            <w:vAlign w:val="bottom"/>
            <w:shd w:val="clear" w:color="auto" w:fill="ECEDED"/>
          </w:tcPr>
          <w:p>
            <w:pPr>
              <w:spacing w:after="0"/>
              <w:rPr>
                <w:sz w:val="18"/>
                <w:szCs w:val="18"/>
                <w:color w:val="auto"/>
              </w:rPr>
            </w:pPr>
          </w:p>
        </w:tc>
        <w:tc>
          <w:tcPr>
            <w:tcW w:w="1060" w:type="dxa"/>
            <w:vAlign w:val="bottom"/>
            <w:shd w:val="clear" w:color="auto" w:fill="ECEDED"/>
          </w:tcPr>
          <w:p>
            <w:pPr>
              <w:spacing w:after="0"/>
              <w:rPr>
                <w:sz w:val="18"/>
                <w:szCs w:val="18"/>
                <w:color w:val="auto"/>
              </w:rPr>
            </w:pPr>
          </w:p>
        </w:tc>
        <w:tc>
          <w:tcPr>
            <w:tcW w:w="140" w:type="dxa"/>
            <w:vAlign w:val="bottom"/>
            <w:shd w:val="clear" w:color="auto" w:fill="ECEDED"/>
          </w:tcPr>
          <w:p>
            <w:pPr>
              <w:spacing w:after="0"/>
              <w:rPr>
                <w:sz w:val="18"/>
                <w:szCs w:val="18"/>
                <w:color w:val="auto"/>
              </w:rPr>
            </w:pPr>
          </w:p>
        </w:tc>
        <w:tc>
          <w:tcPr>
            <w:tcW w:w="860" w:type="dxa"/>
            <w:vAlign w:val="bottom"/>
            <w:shd w:val="clear" w:color="auto" w:fill="ECEDED"/>
          </w:tcPr>
          <w:p>
            <w:pPr>
              <w:spacing w:after="0"/>
              <w:rPr>
                <w:sz w:val="18"/>
                <w:szCs w:val="18"/>
                <w:color w:val="auto"/>
              </w:rPr>
            </w:pPr>
          </w:p>
        </w:tc>
        <w:tc>
          <w:tcPr>
            <w:tcW w:w="1060" w:type="dxa"/>
            <w:vAlign w:val="bottom"/>
            <w:shd w:val="clear" w:color="auto" w:fill="ECEDED"/>
          </w:tcPr>
          <w:p>
            <w:pPr>
              <w:spacing w:after="0"/>
              <w:rPr>
                <w:sz w:val="18"/>
                <w:szCs w:val="18"/>
                <w:color w:val="auto"/>
              </w:rPr>
            </w:pPr>
          </w:p>
        </w:tc>
      </w:tr>
      <w:tr>
        <w:trPr>
          <w:trHeight w:val="143"/>
        </w:trPr>
        <w:tc>
          <w:tcPr>
            <w:tcW w:w="3020" w:type="dxa"/>
            <w:vAlign w:val="bottom"/>
          </w:tcPr>
          <w:p>
            <w:pPr>
              <w:spacing w:after="0"/>
              <w:rPr>
                <w:sz w:val="12"/>
                <w:szCs w:val="12"/>
                <w:color w:val="auto"/>
              </w:rPr>
            </w:pPr>
          </w:p>
        </w:tc>
        <w:tc>
          <w:tcPr>
            <w:tcW w:w="3400" w:type="dxa"/>
            <w:vAlign w:val="bottom"/>
            <w:shd w:val="clear" w:color="auto" w:fill="ECEDED"/>
          </w:tcPr>
          <w:p>
            <w:pPr>
              <w:ind w:left="80"/>
              <w:spacing w:after="0" w:line="143" w:lineRule="exact"/>
              <w:rPr>
                <w:sz w:val="20"/>
                <w:szCs w:val="20"/>
                <w:color w:val="auto"/>
              </w:rPr>
            </w:pPr>
            <w:r>
              <w:rPr>
                <w:rFonts w:ascii="Arial" w:cs="Arial" w:eastAsia="Arial" w:hAnsi="Arial"/>
                <w:sz w:val="13"/>
                <w:szCs w:val="13"/>
                <w:color w:val="auto"/>
              </w:rPr>
              <w:t>333 South Hope Street</w:t>
            </w:r>
          </w:p>
        </w:tc>
        <w:tc>
          <w:tcPr>
            <w:tcW w:w="140" w:type="dxa"/>
            <w:vAlign w:val="bottom"/>
            <w:shd w:val="clear" w:color="auto" w:fill="ECEDED"/>
          </w:tcPr>
          <w:p>
            <w:pPr>
              <w:spacing w:after="0"/>
              <w:rPr>
                <w:sz w:val="12"/>
                <w:szCs w:val="12"/>
                <w:color w:val="auto"/>
              </w:rPr>
            </w:pPr>
          </w:p>
        </w:tc>
        <w:tc>
          <w:tcPr>
            <w:tcW w:w="720" w:type="dxa"/>
            <w:vAlign w:val="bottom"/>
            <w:shd w:val="clear" w:color="auto" w:fill="ECEDED"/>
          </w:tcPr>
          <w:p>
            <w:pPr>
              <w:jc w:val="center"/>
              <w:ind w:right="38"/>
              <w:spacing w:after="0" w:line="143" w:lineRule="exact"/>
              <w:rPr>
                <w:sz w:val="20"/>
                <w:szCs w:val="20"/>
                <w:color w:val="auto"/>
              </w:rPr>
            </w:pPr>
            <w:r>
              <w:rPr>
                <w:rFonts w:ascii="Arial" w:cs="Arial" w:eastAsia="Arial" w:hAnsi="Arial"/>
                <w:sz w:val="13"/>
                <w:szCs w:val="13"/>
                <w:color w:val="auto"/>
              </w:rPr>
              <w:t>—</w:t>
            </w:r>
          </w:p>
        </w:tc>
        <w:tc>
          <w:tcPr>
            <w:tcW w:w="1060" w:type="dxa"/>
            <w:vAlign w:val="bottom"/>
            <w:shd w:val="clear" w:color="auto" w:fill="ECEDED"/>
          </w:tcPr>
          <w:p>
            <w:pPr>
              <w:jc w:val="center"/>
              <w:spacing w:after="0" w:line="143"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ECEDED"/>
          </w:tcPr>
          <w:p>
            <w:pPr>
              <w:jc w:val="center"/>
              <w:spacing w:after="0" w:line="143" w:lineRule="exact"/>
              <w:rPr>
                <w:sz w:val="20"/>
                <w:szCs w:val="20"/>
                <w:color w:val="auto"/>
              </w:rPr>
            </w:pPr>
            <w:r>
              <w:rPr>
                <w:rFonts w:ascii="Arial" w:cs="Arial" w:eastAsia="Arial" w:hAnsi="Arial"/>
                <w:sz w:val="13"/>
                <w:szCs w:val="13"/>
                <w:color w:val="auto"/>
                <w:w w:val="96"/>
              </w:rPr>
              <w:t>7,041,190</w:t>
            </w:r>
          </w:p>
        </w:tc>
        <w:tc>
          <w:tcPr>
            <w:tcW w:w="1060" w:type="dxa"/>
            <w:vAlign w:val="bottom"/>
            <w:shd w:val="clear" w:color="auto" w:fill="ECEDED"/>
          </w:tcPr>
          <w:p>
            <w:pPr>
              <w:jc w:val="center"/>
              <w:spacing w:after="0" w:line="143" w:lineRule="exact"/>
              <w:rPr>
                <w:sz w:val="20"/>
                <w:szCs w:val="20"/>
                <w:color w:val="auto"/>
              </w:rPr>
            </w:pPr>
            <w:r>
              <w:rPr>
                <w:rFonts w:ascii="Arial" w:cs="Arial" w:eastAsia="Arial" w:hAnsi="Arial"/>
                <w:sz w:val="13"/>
                <w:szCs w:val="13"/>
                <w:color w:val="auto"/>
                <w:w w:val="94"/>
              </w:rPr>
              <w:t>6.5%</w:t>
            </w:r>
          </w:p>
        </w:tc>
      </w:tr>
      <w:tr>
        <w:trPr>
          <w:trHeight w:val="200"/>
        </w:trPr>
        <w:tc>
          <w:tcPr>
            <w:tcW w:w="3020" w:type="dxa"/>
            <w:vAlign w:val="bottom"/>
          </w:tcPr>
          <w:p>
            <w:pPr>
              <w:spacing w:after="0"/>
              <w:rPr>
                <w:sz w:val="16"/>
                <w:szCs w:val="16"/>
                <w:color w:val="auto"/>
              </w:rPr>
            </w:pPr>
          </w:p>
        </w:tc>
        <w:tc>
          <w:tcPr>
            <w:tcW w:w="3400" w:type="dxa"/>
            <w:vAlign w:val="bottom"/>
            <w:tcBorders>
              <w:bottom w:val="single" w:sz="8" w:color="ECEDED"/>
            </w:tcBorders>
            <w:shd w:val="clear" w:color="auto" w:fill="ECEDED"/>
          </w:tcPr>
          <w:p>
            <w:pPr>
              <w:ind w:left="80"/>
              <w:spacing w:after="0"/>
              <w:rPr>
                <w:sz w:val="20"/>
                <w:szCs w:val="20"/>
                <w:color w:val="auto"/>
              </w:rPr>
            </w:pPr>
            <w:r>
              <w:rPr>
                <w:rFonts w:ascii="Arial" w:cs="Arial" w:eastAsia="Arial" w:hAnsi="Arial"/>
                <w:sz w:val="13"/>
                <w:szCs w:val="13"/>
                <w:color w:val="auto"/>
              </w:rPr>
              <w:t>Los Angeles, California 90071</w:t>
            </w:r>
          </w:p>
        </w:tc>
        <w:tc>
          <w:tcPr>
            <w:tcW w:w="140" w:type="dxa"/>
            <w:vAlign w:val="bottom"/>
            <w:tcBorders>
              <w:bottom w:val="single" w:sz="8" w:color="ECEDED"/>
            </w:tcBorders>
            <w:shd w:val="clear" w:color="auto" w:fill="ECEDED"/>
          </w:tcPr>
          <w:p>
            <w:pPr>
              <w:spacing w:after="0"/>
              <w:rPr>
                <w:sz w:val="16"/>
                <w:szCs w:val="16"/>
                <w:color w:val="auto"/>
              </w:rPr>
            </w:pPr>
          </w:p>
        </w:tc>
        <w:tc>
          <w:tcPr>
            <w:tcW w:w="720" w:type="dxa"/>
            <w:vAlign w:val="bottom"/>
            <w:tcBorders>
              <w:bottom w:val="single" w:sz="8" w:color="ECEDED"/>
            </w:tcBorders>
            <w:shd w:val="clear" w:color="auto" w:fill="ECEDED"/>
          </w:tcPr>
          <w:p>
            <w:pPr>
              <w:spacing w:after="0"/>
              <w:rPr>
                <w:sz w:val="16"/>
                <w:szCs w:val="16"/>
                <w:color w:val="auto"/>
              </w:rPr>
            </w:pPr>
          </w:p>
        </w:tc>
        <w:tc>
          <w:tcPr>
            <w:tcW w:w="1060" w:type="dxa"/>
            <w:vAlign w:val="bottom"/>
            <w:tcBorders>
              <w:bottom w:val="single" w:sz="8" w:color="ECEDED"/>
            </w:tcBorders>
            <w:shd w:val="clear" w:color="auto" w:fill="ECEDED"/>
          </w:tcPr>
          <w:p>
            <w:pPr>
              <w:spacing w:after="0"/>
              <w:rPr>
                <w:sz w:val="16"/>
                <w:szCs w:val="16"/>
                <w:color w:val="auto"/>
              </w:rPr>
            </w:pPr>
          </w:p>
        </w:tc>
        <w:tc>
          <w:tcPr>
            <w:tcW w:w="140" w:type="dxa"/>
            <w:vAlign w:val="bottom"/>
            <w:tcBorders>
              <w:bottom w:val="single" w:sz="8" w:color="ECEDED"/>
            </w:tcBorders>
            <w:shd w:val="clear" w:color="auto" w:fill="ECEDED"/>
          </w:tcPr>
          <w:p>
            <w:pPr>
              <w:spacing w:after="0"/>
              <w:rPr>
                <w:sz w:val="16"/>
                <w:szCs w:val="16"/>
                <w:color w:val="auto"/>
              </w:rPr>
            </w:pPr>
          </w:p>
        </w:tc>
        <w:tc>
          <w:tcPr>
            <w:tcW w:w="860" w:type="dxa"/>
            <w:vAlign w:val="bottom"/>
            <w:tcBorders>
              <w:bottom w:val="single" w:sz="8" w:color="ECEDED"/>
            </w:tcBorders>
            <w:shd w:val="clear" w:color="auto" w:fill="ECEDED"/>
          </w:tcPr>
          <w:p>
            <w:pPr>
              <w:spacing w:after="0"/>
              <w:rPr>
                <w:sz w:val="16"/>
                <w:szCs w:val="16"/>
                <w:color w:val="auto"/>
              </w:rPr>
            </w:pPr>
          </w:p>
        </w:tc>
        <w:tc>
          <w:tcPr>
            <w:tcW w:w="1060" w:type="dxa"/>
            <w:vAlign w:val="bottom"/>
            <w:tcBorders>
              <w:bottom w:val="single" w:sz="8" w:color="ECEDED"/>
            </w:tcBorders>
            <w:shd w:val="clear" w:color="auto" w:fill="ECEDED"/>
          </w:tcPr>
          <w:p>
            <w:pPr>
              <w:spacing w:after="0"/>
              <w:rPr>
                <w:sz w:val="16"/>
                <w:szCs w:val="16"/>
                <w:color w:val="auto"/>
              </w:rPr>
            </w:pPr>
          </w:p>
        </w:tc>
      </w:tr>
      <w:tr>
        <w:trPr>
          <w:trHeight w:val="217"/>
        </w:trPr>
        <w:tc>
          <w:tcPr>
            <w:tcW w:w="3020" w:type="dxa"/>
            <w:vAlign w:val="bottom"/>
          </w:tcPr>
          <w:p>
            <w:pPr>
              <w:spacing w:after="0"/>
              <w:rPr>
                <w:sz w:val="18"/>
                <w:szCs w:val="18"/>
                <w:color w:val="auto"/>
              </w:rPr>
            </w:pPr>
          </w:p>
        </w:tc>
        <w:tc>
          <w:tcPr>
            <w:tcW w:w="3400" w:type="dxa"/>
            <w:vAlign w:val="bottom"/>
            <w:tcBorders>
              <w:top w:val="single" w:sz="8" w:color="58585A"/>
            </w:tcBorders>
          </w:tcPr>
          <w:p>
            <w:pPr>
              <w:ind w:left="80"/>
              <w:spacing w:after="0" w:line="217" w:lineRule="exact"/>
              <w:rPr>
                <w:sz w:val="20"/>
                <w:szCs w:val="20"/>
                <w:color w:val="auto"/>
              </w:rPr>
            </w:pPr>
            <w:r>
              <w:rPr>
                <w:rFonts w:ascii="Arial" w:cs="Arial" w:eastAsia="Arial" w:hAnsi="Arial"/>
                <w:sz w:val="12"/>
                <w:szCs w:val="12"/>
                <w:b w:val="1"/>
                <w:bCs w:val="1"/>
                <w:color w:val="D61C5A"/>
              </w:rPr>
              <w:t>BlackRock, Inc.</w:t>
            </w:r>
            <w:r>
              <w:rPr>
                <w:rFonts w:ascii="Arial" w:cs="Arial" w:eastAsia="Arial" w:hAnsi="Arial"/>
                <w:sz w:val="20"/>
                <w:szCs w:val="20"/>
                <w:b w:val="1"/>
                <w:bCs w:val="1"/>
                <w:color w:val="D61C5A"/>
                <w:vertAlign w:val="superscript"/>
              </w:rPr>
              <w:t>5</w:t>
            </w:r>
          </w:p>
        </w:tc>
        <w:tc>
          <w:tcPr>
            <w:tcW w:w="140" w:type="dxa"/>
            <w:vAlign w:val="bottom"/>
            <w:tcBorders>
              <w:top w:val="single" w:sz="8" w:color="58585A"/>
            </w:tcBorders>
          </w:tcPr>
          <w:p>
            <w:pPr>
              <w:spacing w:after="0"/>
              <w:rPr>
                <w:sz w:val="18"/>
                <w:szCs w:val="18"/>
                <w:color w:val="auto"/>
              </w:rPr>
            </w:pPr>
          </w:p>
        </w:tc>
        <w:tc>
          <w:tcPr>
            <w:tcW w:w="720" w:type="dxa"/>
            <w:vAlign w:val="bottom"/>
            <w:tcBorders>
              <w:top w:val="single" w:sz="8" w:color="58585A"/>
            </w:tcBorders>
          </w:tcPr>
          <w:p>
            <w:pPr>
              <w:spacing w:after="0"/>
              <w:rPr>
                <w:sz w:val="18"/>
                <w:szCs w:val="18"/>
                <w:color w:val="auto"/>
              </w:rPr>
            </w:pPr>
          </w:p>
        </w:tc>
        <w:tc>
          <w:tcPr>
            <w:tcW w:w="1060" w:type="dxa"/>
            <w:vAlign w:val="bottom"/>
            <w:tcBorders>
              <w:top w:val="single" w:sz="8" w:color="58585A"/>
            </w:tcBorders>
          </w:tcPr>
          <w:p>
            <w:pPr>
              <w:spacing w:after="0"/>
              <w:rPr>
                <w:sz w:val="18"/>
                <w:szCs w:val="18"/>
                <w:color w:val="auto"/>
              </w:rPr>
            </w:pPr>
          </w:p>
        </w:tc>
        <w:tc>
          <w:tcPr>
            <w:tcW w:w="140" w:type="dxa"/>
            <w:vAlign w:val="bottom"/>
            <w:tcBorders>
              <w:top w:val="single" w:sz="8" w:color="58585A"/>
            </w:tcBorders>
          </w:tcPr>
          <w:p>
            <w:pPr>
              <w:spacing w:after="0"/>
              <w:rPr>
                <w:sz w:val="18"/>
                <w:szCs w:val="18"/>
                <w:color w:val="auto"/>
              </w:rPr>
            </w:pPr>
          </w:p>
        </w:tc>
        <w:tc>
          <w:tcPr>
            <w:tcW w:w="860" w:type="dxa"/>
            <w:vAlign w:val="bottom"/>
            <w:tcBorders>
              <w:top w:val="single" w:sz="8" w:color="58585A"/>
            </w:tcBorders>
          </w:tcPr>
          <w:p>
            <w:pPr>
              <w:spacing w:after="0"/>
              <w:rPr>
                <w:sz w:val="18"/>
                <w:szCs w:val="18"/>
                <w:color w:val="auto"/>
              </w:rPr>
            </w:pPr>
          </w:p>
        </w:tc>
        <w:tc>
          <w:tcPr>
            <w:tcW w:w="1060" w:type="dxa"/>
            <w:vAlign w:val="bottom"/>
            <w:tcBorders>
              <w:top w:val="single" w:sz="8" w:color="58585A"/>
            </w:tcBorders>
          </w:tcPr>
          <w:p>
            <w:pPr>
              <w:spacing w:after="0"/>
              <w:rPr>
                <w:sz w:val="18"/>
                <w:szCs w:val="18"/>
                <w:color w:val="auto"/>
              </w:rPr>
            </w:pPr>
          </w:p>
        </w:tc>
      </w:tr>
      <w:tr>
        <w:trPr>
          <w:trHeight w:val="143"/>
        </w:trPr>
        <w:tc>
          <w:tcPr>
            <w:tcW w:w="3020" w:type="dxa"/>
            <w:vAlign w:val="bottom"/>
          </w:tcPr>
          <w:p>
            <w:pPr>
              <w:spacing w:after="0"/>
              <w:rPr>
                <w:sz w:val="12"/>
                <w:szCs w:val="12"/>
                <w:color w:val="auto"/>
              </w:rPr>
            </w:pPr>
          </w:p>
        </w:tc>
        <w:tc>
          <w:tcPr>
            <w:tcW w:w="3400" w:type="dxa"/>
            <w:vAlign w:val="bottom"/>
          </w:tcPr>
          <w:p>
            <w:pPr>
              <w:ind w:left="80"/>
              <w:spacing w:after="0" w:line="143" w:lineRule="exact"/>
              <w:rPr>
                <w:sz w:val="20"/>
                <w:szCs w:val="20"/>
                <w:color w:val="auto"/>
              </w:rPr>
            </w:pPr>
            <w:r>
              <w:rPr>
                <w:rFonts w:ascii="Arial" w:cs="Arial" w:eastAsia="Arial" w:hAnsi="Arial"/>
                <w:sz w:val="13"/>
                <w:szCs w:val="13"/>
                <w:color w:val="auto"/>
              </w:rPr>
              <w:t>55 East 52nd Street</w:t>
            </w:r>
          </w:p>
        </w:tc>
        <w:tc>
          <w:tcPr>
            <w:tcW w:w="140" w:type="dxa"/>
            <w:vAlign w:val="bottom"/>
          </w:tcPr>
          <w:p>
            <w:pPr>
              <w:spacing w:after="0"/>
              <w:rPr>
                <w:sz w:val="12"/>
                <w:szCs w:val="12"/>
                <w:color w:val="auto"/>
              </w:rPr>
            </w:pPr>
          </w:p>
        </w:tc>
        <w:tc>
          <w:tcPr>
            <w:tcW w:w="720" w:type="dxa"/>
            <w:vAlign w:val="bottom"/>
          </w:tcPr>
          <w:p>
            <w:pPr>
              <w:jc w:val="center"/>
              <w:ind w:right="38"/>
              <w:spacing w:after="0" w:line="143" w:lineRule="exact"/>
              <w:rPr>
                <w:sz w:val="20"/>
                <w:szCs w:val="20"/>
                <w:color w:val="auto"/>
              </w:rPr>
            </w:pPr>
            <w:r>
              <w:rPr>
                <w:rFonts w:ascii="Arial" w:cs="Arial" w:eastAsia="Arial" w:hAnsi="Arial"/>
                <w:sz w:val="13"/>
                <w:szCs w:val="13"/>
                <w:color w:val="auto"/>
              </w:rPr>
              <w:t>—</w:t>
            </w:r>
          </w:p>
        </w:tc>
        <w:tc>
          <w:tcPr>
            <w:tcW w:w="1060" w:type="dxa"/>
            <w:vAlign w:val="bottom"/>
          </w:tcPr>
          <w:p>
            <w:pPr>
              <w:jc w:val="center"/>
              <w:spacing w:after="0" w:line="14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96"/>
              </w:rPr>
              <w:t>5,929,225</w:t>
            </w:r>
          </w:p>
        </w:tc>
        <w:tc>
          <w:tcPr>
            <w:tcW w:w="1060" w:type="dxa"/>
            <w:vAlign w:val="bottom"/>
          </w:tcPr>
          <w:p>
            <w:pPr>
              <w:jc w:val="center"/>
              <w:spacing w:after="0" w:line="143" w:lineRule="exact"/>
              <w:rPr>
                <w:sz w:val="20"/>
                <w:szCs w:val="20"/>
                <w:color w:val="auto"/>
              </w:rPr>
            </w:pPr>
            <w:r>
              <w:rPr>
                <w:rFonts w:ascii="Arial" w:cs="Arial" w:eastAsia="Arial" w:hAnsi="Arial"/>
                <w:sz w:val="13"/>
                <w:szCs w:val="13"/>
                <w:color w:val="auto"/>
                <w:w w:val="94"/>
              </w:rPr>
              <w:t>5.5%</w:t>
            </w:r>
          </w:p>
        </w:tc>
      </w:tr>
      <w:tr>
        <w:trPr>
          <w:trHeight w:val="150"/>
        </w:trPr>
        <w:tc>
          <w:tcPr>
            <w:tcW w:w="3020" w:type="dxa"/>
            <w:vAlign w:val="bottom"/>
          </w:tcPr>
          <w:p>
            <w:pPr>
              <w:spacing w:after="0"/>
              <w:rPr>
                <w:sz w:val="13"/>
                <w:szCs w:val="13"/>
                <w:color w:val="auto"/>
              </w:rPr>
            </w:pPr>
          </w:p>
        </w:tc>
        <w:tc>
          <w:tcPr>
            <w:tcW w:w="3400" w:type="dxa"/>
            <w:vAlign w:val="bottom"/>
          </w:tcPr>
          <w:p>
            <w:pPr>
              <w:ind w:left="80"/>
              <w:spacing w:after="0"/>
              <w:rPr>
                <w:sz w:val="20"/>
                <w:szCs w:val="20"/>
                <w:color w:val="auto"/>
              </w:rPr>
            </w:pPr>
            <w:r>
              <w:rPr>
                <w:rFonts w:ascii="Arial" w:cs="Arial" w:eastAsia="Arial" w:hAnsi="Arial"/>
                <w:sz w:val="13"/>
                <w:szCs w:val="13"/>
                <w:color w:val="auto"/>
              </w:rPr>
              <w:t>New York, New York 10055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42"/>
        </w:trPr>
        <w:tc>
          <w:tcPr>
            <w:tcW w:w="3020" w:type="dxa"/>
            <w:vAlign w:val="bottom"/>
          </w:tcPr>
          <w:p>
            <w:pPr>
              <w:spacing w:after="0"/>
              <w:rPr>
                <w:sz w:val="3"/>
                <w:szCs w:val="3"/>
                <w:color w:val="auto"/>
              </w:rPr>
            </w:pPr>
          </w:p>
        </w:tc>
        <w:tc>
          <w:tcPr>
            <w:tcW w:w="3400" w:type="dxa"/>
            <w:vAlign w:val="bottom"/>
            <w:tcBorders>
              <w:bottom w:val="single" w:sz="8" w:color="58585A"/>
            </w:tcBorders>
          </w:tcPr>
          <w:p>
            <w:pPr>
              <w:spacing w:after="0"/>
              <w:rPr>
                <w:sz w:val="3"/>
                <w:szCs w:val="3"/>
                <w:color w:val="auto"/>
              </w:rPr>
            </w:pPr>
          </w:p>
        </w:tc>
        <w:tc>
          <w:tcPr>
            <w:tcW w:w="140" w:type="dxa"/>
            <w:vAlign w:val="bottom"/>
            <w:tcBorders>
              <w:bottom w:val="single" w:sz="8" w:color="58585A"/>
            </w:tcBorders>
          </w:tcPr>
          <w:p>
            <w:pPr>
              <w:spacing w:after="0"/>
              <w:rPr>
                <w:sz w:val="3"/>
                <w:szCs w:val="3"/>
                <w:color w:val="auto"/>
              </w:rPr>
            </w:pPr>
          </w:p>
        </w:tc>
        <w:tc>
          <w:tcPr>
            <w:tcW w:w="720" w:type="dxa"/>
            <w:vAlign w:val="bottom"/>
            <w:tcBorders>
              <w:bottom w:val="single" w:sz="8" w:color="58585A"/>
            </w:tcBorders>
          </w:tcPr>
          <w:p>
            <w:pPr>
              <w:spacing w:after="0"/>
              <w:rPr>
                <w:sz w:val="3"/>
                <w:szCs w:val="3"/>
                <w:color w:val="auto"/>
              </w:rPr>
            </w:pPr>
          </w:p>
        </w:tc>
        <w:tc>
          <w:tcPr>
            <w:tcW w:w="1060" w:type="dxa"/>
            <w:vAlign w:val="bottom"/>
            <w:tcBorders>
              <w:bottom w:val="single" w:sz="8" w:color="58585A"/>
            </w:tcBorders>
          </w:tcPr>
          <w:p>
            <w:pPr>
              <w:spacing w:after="0"/>
              <w:rPr>
                <w:sz w:val="3"/>
                <w:szCs w:val="3"/>
                <w:color w:val="auto"/>
              </w:rPr>
            </w:pPr>
          </w:p>
        </w:tc>
        <w:tc>
          <w:tcPr>
            <w:tcW w:w="140" w:type="dxa"/>
            <w:vAlign w:val="bottom"/>
            <w:tcBorders>
              <w:bottom w:val="single" w:sz="8" w:color="58585A"/>
            </w:tcBorders>
          </w:tcPr>
          <w:p>
            <w:pPr>
              <w:spacing w:after="0"/>
              <w:rPr>
                <w:sz w:val="3"/>
                <w:szCs w:val="3"/>
                <w:color w:val="auto"/>
              </w:rPr>
            </w:pPr>
          </w:p>
        </w:tc>
        <w:tc>
          <w:tcPr>
            <w:tcW w:w="860" w:type="dxa"/>
            <w:vAlign w:val="bottom"/>
            <w:tcBorders>
              <w:bottom w:val="single" w:sz="8" w:color="58585A"/>
            </w:tcBorders>
          </w:tcPr>
          <w:p>
            <w:pPr>
              <w:spacing w:after="0"/>
              <w:rPr>
                <w:sz w:val="3"/>
                <w:szCs w:val="3"/>
                <w:color w:val="auto"/>
              </w:rPr>
            </w:pPr>
          </w:p>
        </w:tc>
        <w:tc>
          <w:tcPr>
            <w:tcW w:w="1060" w:type="dxa"/>
            <w:vAlign w:val="bottom"/>
            <w:tcBorders>
              <w:bottom w:val="single" w:sz="8" w:color="58585A"/>
            </w:tcBorders>
          </w:tcPr>
          <w:p>
            <w:pPr>
              <w:spacing w:after="0"/>
              <w:rPr>
                <w:sz w:val="3"/>
                <w:szCs w:val="3"/>
                <w:color w:val="auto"/>
              </w:rPr>
            </w:pPr>
          </w:p>
        </w:tc>
      </w:tr>
      <w:tr>
        <w:trPr>
          <w:trHeight w:val="214"/>
        </w:trPr>
        <w:tc>
          <w:tcPr>
            <w:tcW w:w="3020" w:type="dxa"/>
            <w:vAlign w:val="bottom"/>
          </w:tcPr>
          <w:p>
            <w:pPr>
              <w:spacing w:after="0"/>
              <w:rPr>
                <w:sz w:val="18"/>
                <w:szCs w:val="18"/>
                <w:color w:val="auto"/>
              </w:rPr>
            </w:pPr>
          </w:p>
        </w:tc>
        <w:tc>
          <w:tcPr>
            <w:tcW w:w="3400" w:type="dxa"/>
            <w:vAlign w:val="bottom"/>
            <w:shd w:val="clear" w:color="auto" w:fill="ECEDED"/>
          </w:tcPr>
          <w:p>
            <w:pPr>
              <w:ind w:left="80"/>
              <w:spacing w:after="0" w:line="214" w:lineRule="exact"/>
              <w:rPr>
                <w:sz w:val="20"/>
                <w:szCs w:val="20"/>
                <w:color w:val="auto"/>
              </w:rPr>
            </w:pPr>
            <w:r>
              <w:rPr>
                <w:rFonts w:ascii="Arial" w:cs="Arial" w:eastAsia="Arial" w:hAnsi="Arial"/>
                <w:sz w:val="12"/>
                <w:szCs w:val="12"/>
                <w:b w:val="1"/>
                <w:bCs w:val="1"/>
                <w:color w:val="D61C5A"/>
              </w:rPr>
              <w:t>The Vanguard Group, Inc.</w:t>
            </w:r>
            <w:r>
              <w:rPr>
                <w:rFonts w:ascii="Arial" w:cs="Arial" w:eastAsia="Arial" w:hAnsi="Arial"/>
                <w:sz w:val="20"/>
                <w:szCs w:val="20"/>
                <w:b w:val="1"/>
                <w:bCs w:val="1"/>
                <w:color w:val="D61C5A"/>
                <w:vertAlign w:val="superscript"/>
              </w:rPr>
              <w:t>6</w:t>
            </w:r>
          </w:p>
        </w:tc>
        <w:tc>
          <w:tcPr>
            <w:tcW w:w="140" w:type="dxa"/>
            <w:vAlign w:val="bottom"/>
            <w:shd w:val="clear" w:color="auto" w:fill="ECEDED"/>
          </w:tcPr>
          <w:p>
            <w:pPr>
              <w:spacing w:after="0"/>
              <w:rPr>
                <w:sz w:val="18"/>
                <w:szCs w:val="18"/>
                <w:color w:val="auto"/>
              </w:rPr>
            </w:pPr>
          </w:p>
        </w:tc>
        <w:tc>
          <w:tcPr>
            <w:tcW w:w="720" w:type="dxa"/>
            <w:vAlign w:val="bottom"/>
            <w:shd w:val="clear" w:color="auto" w:fill="ECEDED"/>
          </w:tcPr>
          <w:p>
            <w:pPr>
              <w:spacing w:after="0"/>
              <w:rPr>
                <w:sz w:val="18"/>
                <w:szCs w:val="18"/>
                <w:color w:val="auto"/>
              </w:rPr>
            </w:pPr>
          </w:p>
        </w:tc>
        <w:tc>
          <w:tcPr>
            <w:tcW w:w="1060" w:type="dxa"/>
            <w:vAlign w:val="bottom"/>
            <w:shd w:val="clear" w:color="auto" w:fill="ECEDED"/>
          </w:tcPr>
          <w:p>
            <w:pPr>
              <w:spacing w:after="0"/>
              <w:rPr>
                <w:sz w:val="18"/>
                <w:szCs w:val="18"/>
                <w:color w:val="auto"/>
              </w:rPr>
            </w:pPr>
          </w:p>
        </w:tc>
        <w:tc>
          <w:tcPr>
            <w:tcW w:w="140" w:type="dxa"/>
            <w:vAlign w:val="bottom"/>
            <w:shd w:val="clear" w:color="auto" w:fill="ECEDED"/>
          </w:tcPr>
          <w:p>
            <w:pPr>
              <w:spacing w:after="0"/>
              <w:rPr>
                <w:sz w:val="18"/>
                <w:szCs w:val="18"/>
                <w:color w:val="auto"/>
              </w:rPr>
            </w:pPr>
          </w:p>
        </w:tc>
        <w:tc>
          <w:tcPr>
            <w:tcW w:w="860" w:type="dxa"/>
            <w:vAlign w:val="bottom"/>
            <w:shd w:val="clear" w:color="auto" w:fill="ECEDED"/>
          </w:tcPr>
          <w:p>
            <w:pPr>
              <w:spacing w:after="0"/>
              <w:rPr>
                <w:sz w:val="18"/>
                <w:szCs w:val="18"/>
                <w:color w:val="auto"/>
              </w:rPr>
            </w:pPr>
          </w:p>
        </w:tc>
        <w:tc>
          <w:tcPr>
            <w:tcW w:w="1060" w:type="dxa"/>
            <w:vAlign w:val="bottom"/>
            <w:shd w:val="clear" w:color="auto" w:fill="ECEDED"/>
          </w:tcPr>
          <w:p>
            <w:pPr>
              <w:spacing w:after="0"/>
              <w:rPr>
                <w:sz w:val="18"/>
                <w:szCs w:val="18"/>
                <w:color w:val="auto"/>
              </w:rPr>
            </w:pPr>
          </w:p>
        </w:tc>
      </w:tr>
      <w:tr>
        <w:trPr>
          <w:trHeight w:val="143"/>
        </w:trPr>
        <w:tc>
          <w:tcPr>
            <w:tcW w:w="3020" w:type="dxa"/>
            <w:vAlign w:val="bottom"/>
          </w:tcPr>
          <w:p>
            <w:pPr>
              <w:spacing w:after="0"/>
              <w:rPr>
                <w:sz w:val="12"/>
                <w:szCs w:val="12"/>
                <w:color w:val="auto"/>
              </w:rPr>
            </w:pPr>
          </w:p>
        </w:tc>
        <w:tc>
          <w:tcPr>
            <w:tcW w:w="3400" w:type="dxa"/>
            <w:vAlign w:val="bottom"/>
            <w:shd w:val="clear" w:color="auto" w:fill="ECEDED"/>
          </w:tcPr>
          <w:p>
            <w:pPr>
              <w:ind w:left="80"/>
              <w:spacing w:after="0" w:line="143" w:lineRule="exact"/>
              <w:rPr>
                <w:sz w:val="20"/>
                <w:szCs w:val="20"/>
                <w:color w:val="auto"/>
              </w:rPr>
            </w:pPr>
            <w:r>
              <w:rPr>
                <w:rFonts w:ascii="Arial" w:cs="Arial" w:eastAsia="Arial" w:hAnsi="Arial"/>
                <w:sz w:val="13"/>
                <w:szCs w:val="13"/>
                <w:color w:val="auto"/>
              </w:rPr>
              <w:t>100 Vanguard Blvd.</w:t>
            </w:r>
          </w:p>
        </w:tc>
        <w:tc>
          <w:tcPr>
            <w:tcW w:w="140" w:type="dxa"/>
            <w:vAlign w:val="bottom"/>
            <w:shd w:val="clear" w:color="auto" w:fill="ECEDED"/>
          </w:tcPr>
          <w:p>
            <w:pPr>
              <w:spacing w:after="0"/>
              <w:rPr>
                <w:sz w:val="12"/>
                <w:szCs w:val="12"/>
                <w:color w:val="auto"/>
              </w:rPr>
            </w:pPr>
          </w:p>
        </w:tc>
        <w:tc>
          <w:tcPr>
            <w:tcW w:w="720" w:type="dxa"/>
            <w:vAlign w:val="bottom"/>
            <w:shd w:val="clear" w:color="auto" w:fill="ECEDED"/>
          </w:tcPr>
          <w:p>
            <w:pPr>
              <w:jc w:val="center"/>
              <w:ind w:right="38"/>
              <w:spacing w:after="0" w:line="143" w:lineRule="exact"/>
              <w:rPr>
                <w:sz w:val="20"/>
                <w:szCs w:val="20"/>
                <w:color w:val="auto"/>
              </w:rPr>
            </w:pPr>
            <w:r>
              <w:rPr>
                <w:rFonts w:ascii="Arial" w:cs="Arial" w:eastAsia="Arial" w:hAnsi="Arial"/>
                <w:sz w:val="13"/>
                <w:szCs w:val="13"/>
                <w:color w:val="auto"/>
              </w:rPr>
              <w:t>—</w:t>
            </w:r>
          </w:p>
        </w:tc>
        <w:tc>
          <w:tcPr>
            <w:tcW w:w="1060" w:type="dxa"/>
            <w:vAlign w:val="bottom"/>
            <w:shd w:val="clear" w:color="auto" w:fill="ECEDED"/>
          </w:tcPr>
          <w:p>
            <w:pPr>
              <w:jc w:val="center"/>
              <w:spacing w:after="0" w:line="143"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ECEDED"/>
          </w:tcPr>
          <w:p>
            <w:pPr>
              <w:jc w:val="center"/>
              <w:spacing w:after="0" w:line="143" w:lineRule="exact"/>
              <w:rPr>
                <w:sz w:val="20"/>
                <w:szCs w:val="20"/>
                <w:color w:val="auto"/>
              </w:rPr>
            </w:pPr>
            <w:r>
              <w:rPr>
                <w:rFonts w:ascii="Arial" w:cs="Arial" w:eastAsia="Arial" w:hAnsi="Arial"/>
                <w:sz w:val="13"/>
                <w:szCs w:val="13"/>
                <w:color w:val="auto"/>
                <w:w w:val="96"/>
              </w:rPr>
              <w:t>5,898,033</w:t>
            </w:r>
          </w:p>
        </w:tc>
        <w:tc>
          <w:tcPr>
            <w:tcW w:w="1060" w:type="dxa"/>
            <w:vAlign w:val="bottom"/>
            <w:shd w:val="clear" w:color="auto" w:fill="ECEDED"/>
          </w:tcPr>
          <w:p>
            <w:pPr>
              <w:jc w:val="center"/>
              <w:spacing w:after="0" w:line="143" w:lineRule="exact"/>
              <w:rPr>
                <w:sz w:val="20"/>
                <w:szCs w:val="20"/>
                <w:color w:val="auto"/>
              </w:rPr>
            </w:pPr>
            <w:r>
              <w:rPr>
                <w:rFonts w:ascii="Arial" w:cs="Arial" w:eastAsia="Arial" w:hAnsi="Arial"/>
                <w:sz w:val="13"/>
                <w:szCs w:val="13"/>
                <w:color w:val="auto"/>
                <w:w w:val="94"/>
              </w:rPr>
              <w:t>5.5%</w:t>
            </w:r>
          </w:p>
        </w:tc>
      </w:tr>
      <w:tr>
        <w:trPr>
          <w:trHeight w:val="200"/>
        </w:trPr>
        <w:tc>
          <w:tcPr>
            <w:tcW w:w="3020" w:type="dxa"/>
            <w:vAlign w:val="bottom"/>
          </w:tcPr>
          <w:p>
            <w:pPr>
              <w:spacing w:after="0"/>
              <w:rPr>
                <w:sz w:val="16"/>
                <w:szCs w:val="16"/>
                <w:color w:val="auto"/>
              </w:rPr>
            </w:pPr>
          </w:p>
        </w:tc>
        <w:tc>
          <w:tcPr>
            <w:tcW w:w="3400" w:type="dxa"/>
            <w:vAlign w:val="bottom"/>
            <w:tcBorders>
              <w:bottom w:val="single" w:sz="8" w:color="ECEDED"/>
            </w:tcBorders>
            <w:shd w:val="clear" w:color="auto" w:fill="ECEDED"/>
          </w:tcPr>
          <w:p>
            <w:pPr>
              <w:ind w:left="80"/>
              <w:spacing w:after="0"/>
              <w:rPr>
                <w:sz w:val="20"/>
                <w:szCs w:val="20"/>
                <w:color w:val="auto"/>
              </w:rPr>
            </w:pPr>
            <w:r>
              <w:rPr>
                <w:rFonts w:ascii="Arial" w:cs="Arial" w:eastAsia="Arial" w:hAnsi="Arial"/>
                <w:sz w:val="13"/>
                <w:szCs w:val="13"/>
                <w:color w:val="auto"/>
              </w:rPr>
              <w:t>Malvern, PA 19355</w:t>
            </w:r>
          </w:p>
        </w:tc>
        <w:tc>
          <w:tcPr>
            <w:tcW w:w="140" w:type="dxa"/>
            <w:vAlign w:val="bottom"/>
            <w:tcBorders>
              <w:bottom w:val="single" w:sz="8" w:color="ECEDED"/>
            </w:tcBorders>
            <w:shd w:val="clear" w:color="auto" w:fill="ECEDED"/>
          </w:tcPr>
          <w:p>
            <w:pPr>
              <w:spacing w:after="0"/>
              <w:rPr>
                <w:sz w:val="16"/>
                <w:szCs w:val="16"/>
                <w:color w:val="auto"/>
              </w:rPr>
            </w:pPr>
          </w:p>
        </w:tc>
        <w:tc>
          <w:tcPr>
            <w:tcW w:w="720" w:type="dxa"/>
            <w:vAlign w:val="bottom"/>
            <w:tcBorders>
              <w:bottom w:val="single" w:sz="8" w:color="ECEDED"/>
            </w:tcBorders>
            <w:shd w:val="clear" w:color="auto" w:fill="ECEDED"/>
          </w:tcPr>
          <w:p>
            <w:pPr>
              <w:spacing w:after="0"/>
              <w:rPr>
                <w:sz w:val="16"/>
                <w:szCs w:val="16"/>
                <w:color w:val="auto"/>
              </w:rPr>
            </w:pPr>
          </w:p>
        </w:tc>
        <w:tc>
          <w:tcPr>
            <w:tcW w:w="1060" w:type="dxa"/>
            <w:vAlign w:val="bottom"/>
            <w:tcBorders>
              <w:bottom w:val="single" w:sz="8" w:color="ECEDED"/>
            </w:tcBorders>
            <w:shd w:val="clear" w:color="auto" w:fill="ECEDED"/>
          </w:tcPr>
          <w:p>
            <w:pPr>
              <w:spacing w:after="0"/>
              <w:rPr>
                <w:sz w:val="16"/>
                <w:szCs w:val="16"/>
                <w:color w:val="auto"/>
              </w:rPr>
            </w:pPr>
          </w:p>
        </w:tc>
        <w:tc>
          <w:tcPr>
            <w:tcW w:w="140" w:type="dxa"/>
            <w:vAlign w:val="bottom"/>
            <w:tcBorders>
              <w:bottom w:val="single" w:sz="8" w:color="ECEDED"/>
            </w:tcBorders>
            <w:shd w:val="clear" w:color="auto" w:fill="ECEDED"/>
          </w:tcPr>
          <w:p>
            <w:pPr>
              <w:spacing w:after="0"/>
              <w:rPr>
                <w:sz w:val="16"/>
                <w:szCs w:val="16"/>
                <w:color w:val="auto"/>
              </w:rPr>
            </w:pPr>
          </w:p>
        </w:tc>
        <w:tc>
          <w:tcPr>
            <w:tcW w:w="860" w:type="dxa"/>
            <w:vAlign w:val="bottom"/>
            <w:tcBorders>
              <w:bottom w:val="single" w:sz="8" w:color="ECEDED"/>
            </w:tcBorders>
            <w:shd w:val="clear" w:color="auto" w:fill="ECEDED"/>
          </w:tcPr>
          <w:p>
            <w:pPr>
              <w:spacing w:after="0"/>
              <w:rPr>
                <w:sz w:val="16"/>
                <w:szCs w:val="16"/>
                <w:color w:val="auto"/>
              </w:rPr>
            </w:pPr>
          </w:p>
        </w:tc>
        <w:tc>
          <w:tcPr>
            <w:tcW w:w="1060" w:type="dxa"/>
            <w:vAlign w:val="bottom"/>
            <w:tcBorders>
              <w:bottom w:val="single" w:sz="8" w:color="ECEDED"/>
            </w:tcBorders>
            <w:shd w:val="clear" w:color="auto" w:fill="ECEDED"/>
          </w:tcPr>
          <w:p>
            <w:pPr>
              <w:spacing w:after="0"/>
              <w:rPr>
                <w:sz w:val="16"/>
                <w:szCs w:val="16"/>
                <w:color w:val="auto"/>
              </w:rPr>
            </w:pPr>
          </w:p>
        </w:tc>
      </w:tr>
      <w:tr>
        <w:trPr>
          <w:trHeight w:val="272"/>
        </w:trPr>
        <w:tc>
          <w:tcPr>
            <w:tcW w:w="3020" w:type="dxa"/>
            <w:vAlign w:val="bottom"/>
          </w:tcPr>
          <w:p>
            <w:pPr>
              <w:spacing w:after="0"/>
              <w:rPr>
                <w:sz w:val="23"/>
                <w:szCs w:val="23"/>
                <w:color w:val="auto"/>
              </w:rPr>
            </w:pPr>
          </w:p>
        </w:tc>
        <w:tc>
          <w:tcPr>
            <w:tcW w:w="3400" w:type="dxa"/>
            <w:vAlign w:val="bottom"/>
            <w:tcBorders>
              <w:top w:val="single" w:sz="8" w:color="58585A"/>
              <w:bottom w:val="single" w:sz="8" w:color="205BA8"/>
            </w:tcBorders>
          </w:tcPr>
          <w:p>
            <w:pPr>
              <w:ind w:left="80"/>
              <w:spacing w:after="0"/>
              <w:rPr>
                <w:sz w:val="20"/>
                <w:szCs w:val="20"/>
                <w:color w:val="auto"/>
              </w:rPr>
            </w:pPr>
            <w:r>
              <w:rPr>
                <w:rFonts w:ascii="Arial" w:cs="Arial" w:eastAsia="Arial" w:hAnsi="Arial"/>
                <w:sz w:val="12"/>
                <w:szCs w:val="12"/>
                <w:b w:val="1"/>
                <w:bCs w:val="1"/>
                <w:color w:val="205BA8"/>
              </w:rPr>
              <w:t>Directors and Executive Officers:</w:t>
            </w:r>
            <w:r>
              <w:rPr>
                <w:rFonts w:ascii="Arial" w:cs="Arial" w:eastAsia="Arial" w:hAnsi="Arial"/>
                <w:sz w:val="20"/>
                <w:szCs w:val="20"/>
                <w:b w:val="1"/>
                <w:bCs w:val="1"/>
                <w:color w:val="205BA8"/>
                <w:vertAlign w:val="superscript"/>
              </w:rPr>
              <w:t>7</w:t>
            </w:r>
          </w:p>
        </w:tc>
        <w:tc>
          <w:tcPr>
            <w:tcW w:w="140" w:type="dxa"/>
            <w:vAlign w:val="bottom"/>
            <w:tcBorders>
              <w:top w:val="single" w:sz="8" w:color="58585A"/>
              <w:bottom w:val="single" w:sz="8" w:color="205BA8"/>
            </w:tcBorders>
          </w:tcPr>
          <w:p>
            <w:pPr>
              <w:spacing w:after="0"/>
              <w:rPr>
                <w:sz w:val="23"/>
                <w:szCs w:val="23"/>
                <w:color w:val="auto"/>
              </w:rPr>
            </w:pPr>
          </w:p>
        </w:tc>
        <w:tc>
          <w:tcPr>
            <w:tcW w:w="720" w:type="dxa"/>
            <w:vAlign w:val="bottom"/>
            <w:tcBorders>
              <w:top w:val="single" w:sz="8" w:color="58585A"/>
              <w:bottom w:val="single" w:sz="8" w:color="205BA8"/>
            </w:tcBorders>
          </w:tcPr>
          <w:p>
            <w:pPr>
              <w:spacing w:after="0"/>
              <w:rPr>
                <w:sz w:val="23"/>
                <w:szCs w:val="23"/>
                <w:color w:val="auto"/>
              </w:rPr>
            </w:pPr>
          </w:p>
        </w:tc>
        <w:tc>
          <w:tcPr>
            <w:tcW w:w="1060" w:type="dxa"/>
            <w:vAlign w:val="bottom"/>
            <w:tcBorders>
              <w:top w:val="single" w:sz="8" w:color="58585A"/>
              <w:bottom w:val="single" w:sz="8" w:color="205BA8"/>
            </w:tcBorders>
          </w:tcPr>
          <w:p>
            <w:pPr>
              <w:spacing w:after="0"/>
              <w:rPr>
                <w:sz w:val="23"/>
                <w:szCs w:val="23"/>
                <w:color w:val="auto"/>
              </w:rPr>
            </w:pPr>
          </w:p>
        </w:tc>
        <w:tc>
          <w:tcPr>
            <w:tcW w:w="140" w:type="dxa"/>
            <w:vAlign w:val="bottom"/>
            <w:tcBorders>
              <w:top w:val="single" w:sz="8" w:color="58585A"/>
              <w:bottom w:val="single" w:sz="8" w:color="205BA8"/>
            </w:tcBorders>
          </w:tcPr>
          <w:p>
            <w:pPr>
              <w:spacing w:after="0"/>
              <w:rPr>
                <w:sz w:val="23"/>
                <w:szCs w:val="23"/>
                <w:color w:val="auto"/>
              </w:rPr>
            </w:pPr>
          </w:p>
        </w:tc>
        <w:tc>
          <w:tcPr>
            <w:tcW w:w="860" w:type="dxa"/>
            <w:vAlign w:val="bottom"/>
            <w:tcBorders>
              <w:top w:val="single" w:sz="8" w:color="58585A"/>
              <w:bottom w:val="single" w:sz="8" w:color="205BA8"/>
            </w:tcBorders>
          </w:tcPr>
          <w:p>
            <w:pPr>
              <w:spacing w:after="0"/>
              <w:rPr>
                <w:sz w:val="23"/>
                <w:szCs w:val="23"/>
                <w:color w:val="auto"/>
              </w:rPr>
            </w:pPr>
          </w:p>
        </w:tc>
        <w:tc>
          <w:tcPr>
            <w:tcW w:w="1060" w:type="dxa"/>
            <w:vAlign w:val="bottom"/>
            <w:tcBorders>
              <w:top w:val="single" w:sz="8" w:color="58585A"/>
              <w:bottom w:val="single" w:sz="8" w:color="205BA8"/>
            </w:tcBorders>
          </w:tcPr>
          <w:p>
            <w:pPr>
              <w:spacing w:after="0"/>
              <w:rPr>
                <w:sz w:val="23"/>
                <w:szCs w:val="23"/>
                <w:color w:val="auto"/>
              </w:rPr>
            </w:pPr>
          </w:p>
        </w:tc>
      </w:tr>
      <w:tr>
        <w:trPr>
          <w:trHeight w:val="273"/>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Leonard S. Schleifer, M.D., Ph.D.</w:t>
            </w:r>
          </w:p>
        </w:tc>
        <w:tc>
          <w:tcPr>
            <w:tcW w:w="86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4"/>
              </w:rPr>
              <w:t>1,726,565</w:t>
            </w:r>
            <w:r>
              <w:rPr>
                <w:rFonts w:ascii="Arial" w:cs="Arial" w:eastAsia="Arial" w:hAnsi="Arial"/>
                <w:sz w:val="20"/>
                <w:szCs w:val="20"/>
                <w:color w:val="auto"/>
                <w:w w:val="94"/>
                <w:vertAlign w:val="superscript"/>
              </w:rPr>
              <w:t>8</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2"/>
              </w:rPr>
              <w:t>90.3%</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4"/>
              </w:rPr>
              <w:t>4,142,680</w:t>
            </w:r>
            <w:r>
              <w:rPr>
                <w:rFonts w:ascii="Arial" w:cs="Arial" w:eastAsia="Arial" w:hAnsi="Arial"/>
                <w:sz w:val="20"/>
                <w:szCs w:val="20"/>
                <w:color w:val="auto"/>
                <w:w w:val="94"/>
                <w:vertAlign w:val="superscript"/>
              </w:rPr>
              <w:t>9</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4"/>
              </w:rPr>
              <w:t>3.7%</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P. Roy Vagelos, M.D.</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3"/>
              </w:rPr>
              <w:t>2,119,225</w:t>
            </w:r>
            <w:r>
              <w:rPr>
                <w:rFonts w:ascii="Arial" w:cs="Arial" w:eastAsia="Arial" w:hAnsi="Arial"/>
                <w:sz w:val="20"/>
                <w:szCs w:val="20"/>
                <w:color w:val="auto"/>
                <w:w w:val="93"/>
                <w:vertAlign w:val="superscript"/>
              </w:rPr>
              <w:t>10</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4"/>
              </w:rPr>
              <w:t>1.9%</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George D. Yancopoulos, M.D., Ph.D.</w:t>
            </w:r>
          </w:p>
        </w:tc>
        <w:tc>
          <w:tcPr>
            <w:tcW w:w="86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1"/>
              </w:rPr>
              <w:t>42,750</w:t>
            </w:r>
            <w:r>
              <w:rPr>
                <w:rFonts w:ascii="Arial" w:cs="Arial" w:eastAsia="Arial" w:hAnsi="Arial"/>
                <w:sz w:val="20"/>
                <w:szCs w:val="20"/>
                <w:color w:val="auto"/>
                <w:w w:val="91"/>
                <w:vertAlign w:val="superscript"/>
              </w:rPr>
              <w:t>11</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2.2%</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3"/>
              </w:rPr>
              <w:t>2,874,298</w:t>
            </w:r>
            <w:r>
              <w:rPr>
                <w:rFonts w:ascii="Arial" w:cs="Arial" w:eastAsia="Arial" w:hAnsi="Arial"/>
                <w:sz w:val="20"/>
                <w:szCs w:val="20"/>
                <w:color w:val="auto"/>
                <w:w w:val="93"/>
                <w:vertAlign w:val="superscript"/>
              </w:rPr>
              <w:t>12</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4"/>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N. Anthony Coles, M.D.</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1"/>
              </w:rPr>
              <w:t>12,848</w:t>
            </w:r>
            <w:r>
              <w:rPr>
                <w:rFonts w:ascii="Arial" w:cs="Arial" w:eastAsia="Arial" w:hAnsi="Arial"/>
                <w:sz w:val="20"/>
                <w:szCs w:val="20"/>
                <w:color w:val="auto"/>
                <w:w w:val="91"/>
                <w:vertAlign w:val="superscript"/>
              </w:rPr>
              <w:t>13</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Bonnie L. Bassler, Ph.D.</w:t>
            </w:r>
          </w:p>
        </w:tc>
        <w:tc>
          <w:tcPr>
            <w:tcW w:w="140" w:type="dxa"/>
            <w:vAlign w:val="bottom"/>
            <w:tcBorders>
              <w:bottom w:val="single" w:sz="8" w:color="58585A"/>
            </w:tcBorders>
          </w:tcPr>
          <w:p>
            <w:pPr>
              <w:spacing w:after="0"/>
              <w:rPr>
                <w:sz w:val="23"/>
                <w:szCs w:val="23"/>
                <w:color w:val="auto"/>
              </w:rPr>
            </w:pPr>
          </w:p>
        </w:tc>
        <w:tc>
          <w:tcPr>
            <w:tcW w:w="720" w:type="dxa"/>
            <w:vAlign w:val="bottom"/>
            <w:tcBorders>
              <w:bottom w:val="single" w:sz="8" w:color="58585A"/>
            </w:tcBorders>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1"/>
              </w:rPr>
              <w:t>16,187</w:t>
            </w:r>
            <w:r>
              <w:rPr>
                <w:rFonts w:ascii="Arial" w:cs="Arial" w:eastAsia="Arial" w:hAnsi="Arial"/>
                <w:sz w:val="20"/>
                <w:szCs w:val="20"/>
                <w:color w:val="auto"/>
                <w:w w:val="91"/>
                <w:vertAlign w:val="superscript"/>
              </w:rPr>
              <w:t>14</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Michael S. Brown, M.D.</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1"/>
              </w:rPr>
              <w:t>61,444</w:t>
            </w:r>
            <w:r>
              <w:rPr>
                <w:rFonts w:ascii="Arial" w:cs="Arial" w:eastAsia="Arial" w:hAnsi="Arial"/>
                <w:sz w:val="20"/>
                <w:szCs w:val="20"/>
                <w:color w:val="auto"/>
                <w:w w:val="91"/>
                <w:vertAlign w:val="superscript"/>
              </w:rPr>
              <w:t>15</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Joseph L. Goldstein, M.D.</w:t>
            </w:r>
          </w:p>
        </w:tc>
        <w:tc>
          <w:tcPr>
            <w:tcW w:w="140" w:type="dxa"/>
            <w:vAlign w:val="bottom"/>
            <w:tcBorders>
              <w:bottom w:val="single" w:sz="8" w:color="58585A"/>
            </w:tcBorders>
          </w:tcPr>
          <w:p>
            <w:pPr>
              <w:spacing w:after="0"/>
              <w:rPr>
                <w:sz w:val="23"/>
                <w:szCs w:val="23"/>
                <w:color w:val="auto"/>
              </w:rPr>
            </w:pPr>
          </w:p>
        </w:tc>
        <w:tc>
          <w:tcPr>
            <w:tcW w:w="720" w:type="dxa"/>
            <w:vAlign w:val="bottom"/>
            <w:tcBorders>
              <w:bottom w:val="single" w:sz="8" w:color="58585A"/>
            </w:tcBorders>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1"/>
              </w:rPr>
              <w:t>46,595</w:t>
            </w:r>
            <w:r>
              <w:rPr>
                <w:rFonts w:ascii="Arial" w:cs="Arial" w:eastAsia="Arial" w:hAnsi="Arial"/>
                <w:sz w:val="20"/>
                <w:szCs w:val="20"/>
                <w:color w:val="auto"/>
                <w:w w:val="91"/>
                <w:vertAlign w:val="superscript"/>
              </w:rPr>
              <w:t>16</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Marion McCourt</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1"/>
              </w:rPr>
              <w:t>17,543</w:t>
            </w:r>
            <w:r>
              <w:rPr>
                <w:rFonts w:ascii="Arial" w:cs="Arial" w:eastAsia="Arial" w:hAnsi="Arial"/>
                <w:sz w:val="20"/>
                <w:szCs w:val="20"/>
                <w:color w:val="auto"/>
                <w:w w:val="91"/>
                <w:vertAlign w:val="superscript"/>
              </w:rPr>
              <w:t>17</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Christine A. Poon</w:t>
            </w:r>
          </w:p>
        </w:tc>
        <w:tc>
          <w:tcPr>
            <w:tcW w:w="140" w:type="dxa"/>
            <w:vAlign w:val="bottom"/>
            <w:tcBorders>
              <w:bottom w:val="single" w:sz="8" w:color="58585A"/>
            </w:tcBorders>
          </w:tcPr>
          <w:p>
            <w:pPr>
              <w:spacing w:after="0"/>
              <w:rPr>
                <w:sz w:val="23"/>
                <w:szCs w:val="23"/>
                <w:color w:val="auto"/>
              </w:rPr>
            </w:pPr>
          </w:p>
        </w:tc>
        <w:tc>
          <w:tcPr>
            <w:tcW w:w="720" w:type="dxa"/>
            <w:vAlign w:val="bottom"/>
            <w:tcBorders>
              <w:bottom w:val="single" w:sz="8" w:color="58585A"/>
            </w:tcBorders>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0"/>
              </w:rPr>
              <w:t>112,665</w:t>
            </w:r>
            <w:r>
              <w:rPr>
                <w:rFonts w:ascii="Arial" w:cs="Arial" w:eastAsia="Arial" w:hAnsi="Arial"/>
                <w:sz w:val="20"/>
                <w:szCs w:val="20"/>
                <w:color w:val="auto"/>
                <w:w w:val="90"/>
                <w:vertAlign w:val="superscript"/>
              </w:rPr>
              <w:t>18</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Arthur F. Ryan</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1"/>
              </w:rPr>
              <w:t>71,595</w:t>
            </w:r>
            <w:r>
              <w:rPr>
                <w:rFonts w:ascii="Arial" w:cs="Arial" w:eastAsia="Arial" w:hAnsi="Arial"/>
                <w:sz w:val="20"/>
                <w:szCs w:val="20"/>
                <w:color w:val="auto"/>
                <w:w w:val="91"/>
                <w:vertAlign w:val="superscript"/>
              </w:rPr>
              <w:t>19</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George L. Sing</w:t>
            </w:r>
          </w:p>
        </w:tc>
        <w:tc>
          <w:tcPr>
            <w:tcW w:w="140" w:type="dxa"/>
            <w:vAlign w:val="bottom"/>
            <w:tcBorders>
              <w:bottom w:val="single" w:sz="8" w:color="58585A"/>
            </w:tcBorders>
          </w:tcPr>
          <w:p>
            <w:pPr>
              <w:spacing w:after="0"/>
              <w:rPr>
                <w:sz w:val="23"/>
                <w:szCs w:val="23"/>
                <w:color w:val="auto"/>
              </w:rPr>
            </w:pPr>
          </w:p>
        </w:tc>
        <w:tc>
          <w:tcPr>
            <w:tcW w:w="720" w:type="dxa"/>
            <w:vAlign w:val="bottom"/>
            <w:tcBorders>
              <w:bottom w:val="single" w:sz="8" w:color="58585A"/>
            </w:tcBorders>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0"/>
              </w:rPr>
              <w:t>234,617</w:t>
            </w:r>
            <w:r>
              <w:rPr>
                <w:rFonts w:ascii="Arial" w:cs="Arial" w:eastAsia="Arial" w:hAnsi="Arial"/>
                <w:sz w:val="20"/>
                <w:szCs w:val="20"/>
                <w:color w:val="auto"/>
                <w:w w:val="90"/>
                <w:vertAlign w:val="superscript"/>
              </w:rPr>
              <w:t>20</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Marc Tessier-Lavigne, Ph.D.</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1"/>
              </w:rPr>
              <w:t>72,811</w:t>
            </w:r>
            <w:r>
              <w:rPr>
                <w:rFonts w:ascii="Arial" w:cs="Arial" w:eastAsia="Arial" w:hAnsi="Arial"/>
                <w:sz w:val="20"/>
                <w:szCs w:val="20"/>
                <w:color w:val="auto"/>
                <w:w w:val="91"/>
                <w:vertAlign w:val="superscript"/>
              </w:rPr>
              <w:t>21</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tcPr>
          <w:p>
            <w:pPr>
              <w:ind w:left="80"/>
              <w:spacing w:after="0"/>
              <w:rPr>
                <w:sz w:val="20"/>
                <w:szCs w:val="20"/>
                <w:color w:val="auto"/>
              </w:rPr>
            </w:pPr>
            <w:r>
              <w:rPr>
                <w:rFonts w:ascii="Arial" w:cs="Arial" w:eastAsia="Arial" w:hAnsi="Arial"/>
                <w:sz w:val="12"/>
                <w:szCs w:val="12"/>
                <w:b w:val="1"/>
                <w:bCs w:val="1"/>
                <w:color w:val="D61C5A"/>
              </w:rPr>
              <w:t>Robert E. Landry</w:t>
            </w:r>
          </w:p>
        </w:tc>
        <w:tc>
          <w:tcPr>
            <w:tcW w:w="140" w:type="dxa"/>
            <w:vAlign w:val="bottom"/>
            <w:tcBorders>
              <w:bottom w:val="single" w:sz="8" w:color="58585A"/>
            </w:tcBorders>
          </w:tcPr>
          <w:p>
            <w:pPr>
              <w:spacing w:after="0"/>
              <w:rPr>
                <w:sz w:val="23"/>
                <w:szCs w:val="23"/>
                <w:color w:val="auto"/>
              </w:rPr>
            </w:pPr>
          </w:p>
        </w:tc>
        <w:tc>
          <w:tcPr>
            <w:tcW w:w="720" w:type="dxa"/>
            <w:vAlign w:val="bottom"/>
            <w:tcBorders>
              <w:bottom w:val="single" w:sz="8" w:color="58585A"/>
            </w:tcBorders>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tcPr>
          <w:p>
            <w:pPr>
              <w:jc w:val="center"/>
              <w:spacing w:after="0"/>
              <w:rPr>
                <w:sz w:val="20"/>
                <w:szCs w:val="20"/>
                <w:color w:val="auto"/>
              </w:rPr>
            </w:pPr>
            <w:r>
              <w:rPr>
                <w:rFonts w:ascii="Arial" w:cs="Arial" w:eastAsia="Arial" w:hAnsi="Arial"/>
                <w:sz w:val="13"/>
                <w:szCs w:val="13"/>
                <w:color w:val="auto"/>
                <w:w w:val="90"/>
              </w:rPr>
              <w:t>148,308</w:t>
            </w:r>
            <w:r>
              <w:rPr>
                <w:rFonts w:ascii="Arial" w:cs="Arial" w:eastAsia="Arial" w:hAnsi="Arial"/>
                <w:sz w:val="20"/>
                <w:szCs w:val="20"/>
                <w:color w:val="auto"/>
                <w:w w:val="90"/>
                <w:vertAlign w:val="superscript"/>
              </w:rPr>
              <w:t>22</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0"/>
                <w:szCs w:val="10"/>
                <w:color w:val="auto"/>
              </w:rPr>
              <w:t>26</w:t>
            </w:r>
          </w:p>
        </w:tc>
      </w:tr>
      <w:tr>
        <w:trPr>
          <w:trHeight w:val="266"/>
        </w:trPr>
        <w:tc>
          <w:tcPr>
            <w:tcW w:w="3020" w:type="dxa"/>
            <w:vAlign w:val="bottom"/>
          </w:tcPr>
          <w:p>
            <w:pPr>
              <w:spacing w:after="0"/>
              <w:rPr>
                <w:sz w:val="23"/>
                <w:szCs w:val="23"/>
                <w:color w:val="auto"/>
              </w:rPr>
            </w:pPr>
          </w:p>
        </w:tc>
        <w:tc>
          <w:tcPr>
            <w:tcW w:w="3400" w:type="dxa"/>
            <w:vAlign w:val="bottom"/>
            <w:tcBorders>
              <w:bottom w:val="single" w:sz="8" w:color="58585A"/>
            </w:tcBorders>
            <w:shd w:val="clear" w:color="auto" w:fill="ECEDED"/>
          </w:tcPr>
          <w:p>
            <w:pPr>
              <w:ind w:left="80"/>
              <w:spacing w:after="0"/>
              <w:rPr>
                <w:sz w:val="20"/>
                <w:szCs w:val="20"/>
                <w:color w:val="auto"/>
              </w:rPr>
            </w:pPr>
            <w:r>
              <w:rPr>
                <w:rFonts w:ascii="Arial" w:cs="Arial" w:eastAsia="Arial" w:hAnsi="Arial"/>
                <w:sz w:val="12"/>
                <w:szCs w:val="12"/>
                <w:b w:val="1"/>
                <w:bCs w:val="1"/>
                <w:color w:val="D61C5A"/>
              </w:rPr>
              <w:t>Daniel P. Van Plew</w:t>
            </w:r>
          </w:p>
        </w:tc>
        <w:tc>
          <w:tcPr>
            <w:tcW w:w="140" w:type="dxa"/>
            <w:vAlign w:val="bottom"/>
            <w:tcBorders>
              <w:bottom w:val="single" w:sz="8" w:color="58585A"/>
            </w:tcBorders>
            <w:shd w:val="clear" w:color="auto" w:fill="ECEDED"/>
          </w:tcPr>
          <w:p>
            <w:pPr>
              <w:spacing w:after="0"/>
              <w:rPr>
                <w:sz w:val="23"/>
                <w:szCs w:val="23"/>
                <w:color w:val="auto"/>
              </w:rPr>
            </w:pPr>
          </w:p>
        </w:tc>
        <w:tc>
          <w:tcPr>
            <w:tcW w:w="720" w:type="dxa"/>
            <w:vAlign w:val="bottom"/>
            <w:tcBorders>
              <w:bottom w:val="single" w:sz="8" w:color="58585A"/>
            </w:tcBorders>
            <w:shd w:val="clear" w:color="auto" w:fill="ECEDED"/>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gridSpan w:val="2"/>
            <w:shd w:val="clear" w:color="auto" w:fill="ECEDED"/>
          </w:tcPr>
          <w:p>
            <w:pPr>
              <w:jc w:val="center"/>
              <w:spacing w:after="0"/>
              <w:rPr>
                <w:sz w:val="20"/>
                <w:szCs w:val="20"/>
                <w:color w:val="auto"/>
              </w:rPr>
            </w:pPr>
            <w:r>
              <w:rPr>
                <w:rFonts w:ascii="Arial" w:cs="Arial" w:eastAsia="Arial" w:hAnsi="Arial"/>
                <w:sz w:val="13"/>
                <w:szCs w:val="13"/>
                <w:color w:val="auto"/>
                <w:w w:val="90"/>
              </w:rPr>
              <w:t>364,977</w:t>
            </w:r>
            <w:r>
              <w:rPr>
                <w:rFonts w:ascii="Arial" w:cs="Arial" w:eastAsia="Arial" w:hAnsi="Arial"/>
                <w:sz w:val="20"/>
                <w:szCs w:val="20"/>
                <w:color w:val="auto"/>
                <w:w w:val="90"/>
                <w:vertAlign w:val="superscript"/>
              </w:rPr>
              <w:t>23</w:t>
            </w:r>
          </w:p>
        </w:tc>
        <w:tc>
          <w:tcPr>
            <w:tcW w:w="106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0"/>
                <w:szCs w:val="10"/>
                <w:color w:val="auto"/>
              </w:rPr>
              <w:t>26</w:t>
            </w:r>
          </w:p>
        </w:tc>
      </w:tr>
      <w:tr>
        <w:trPr>
          <w:trHeight w:val="272"/>
        </w:trPr>
        <w:tc>
          <w:tcPr>
            <w:tcW w:w="3020" w:type="dxa"/>
            <w:vAlign w:val="bottom"/>
          </w:tcPr>
          <w:p>
            <w:pPr>
              <w:spacing w:after="0"/>
              <w:rPr>
                <w:sz w:val="23"/>
                <w:szCs w:val="23"/>
                <w:color w:val="auto"/>
              </w:rPr>
            </w:pPr>
          </w:p>
        </w:tc>
        <w:tc>
          <w:tcPr>
            <w:tcW w:w="3400" w:type="dxa"/>
            <w:vAlign w:val="bottom"/>
            <w:tcBorders>
              <w:bottom w:val="single" w:sz="8" w:color="205BA8"/>
            </w:tcBorders>
          </w:tcPr>
          <w:p>
            <w:pPr>
              <w:ind w:left="80"/>
              <w:spacing w:after="0"/>
              <w:rPr>
                <w:sz w:val="20"/>
                <w:szCs w:val="20"/>
                <w:color w:val="auto"/>
              </w:rPr>
            </w:pPr>
            <w:r>
              <w:rPr>
                <w:rFonts w:ascii="Arial" w:cs="Arial" w:eastAsia="Arial" w:hAnsi="Arial"/>
                <w:sz w:val="12"/>
                <w:szCs w:val="12"/>
                <w:b w:val="1"/>
                <w:bCs w:val="1"/>
                <w:color w:val="D61C5A"/>
              </w:rPr>
              <w:t>Huda Y. Zoghbi, M.D.</w:t>
            </w:r>
          </w:p>
        </w:tc>
        <w:tc>
          <w:tcPr>
            <w:tcW w:w="140" w:type="dxa"/>
            <w:vAlign w:val="bottom"/>
            <w:tcBorders>
              <w:bottom w:val="single" w:sz="8" w:color="205BA8"/>
            </w:tcBorders>
          </w:tcPr>
          <w:p>
            <w:pPr>
              <w:spacing w:after="0"/>
              <w:rPr>
                <w:sz w:val="23"/>
                <w:szCs w:val="23"/>
                <w:color w:val="auto"/>
              </w:rPr>
            </w:pPr>
          </w:p>
        </w:tc>
        <w:tc>
          <w:tcPr>
            <w:tcW w:w="720" w:type="dxa"/>
            <w:vAlign w:val="bottom"/>
            <w:tcBorders>
              <w:bottom w:val="single" w:sz="8" w:color="205BA8"/>
            </w:tcBorders>
          </w:tcPr>
          <w:p>
            <w:pPr>
              <w:jc w:val="center"/>
              <w:ind w:right="38"/>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205BA8"/>
            </w:tcBorders>
            <w:gridSpan w:val="2"/>
          </w:tcPr>
          <w:p>
            <w:pPr>
              <w:jc w:val="center"/>
              <w:spacing w:after="0"/>
              <w:rPr>
                <w:sz w:val="20"/>
                <w:szCs w:val="20"/>
                <w:color w:val="auto"/>
              </w:rPr>
            </w:pPr>
            <w:r>
              <w:rPr>
                <w:rFonts w:ascii="Arial" w:cs="Arial" w:eastAsia="Arial" w:hAnsi="Arial"/>
                <w:sz w:val="13"/>
                <w:szCs w:val="13"/>
                <w:color w:val="auto"/>
                <w:w w:val="91"/>
              </w:rPr>
              <w:t>16,187</w:t>
            </w:r>
            <w:r>
              <w:rPr>
                <w:rFonts w:ascii="Arial" w:cs="Arial" w:eastAsia="Arial" w:hAnsi="Arial"/>
                <w:sz w:val="20"/>
                <w:szCs w:val="20"/>
                <w:color w:val="auto"/>
                <w:w w:val="91"/>
                <w:vertAlign w:val="superscript"/>
              </w:rPr>
              <w:t>24</w:t>
            </w:r>
          </w:p>
        </w:tc>
        <w:tc>
          <w:tcPr>
            <w:tcW w:w="1060" w:type="dxa"/>
            <w:vAlign w:val="bottom"/>
            <w:tcBorders>
              <w:bottom w:val="single" w:sz="8" w:color="205BA8"/>
            </w:tcBorders>
          </w:tcPr>
          <w:p>
            <w:pPr>
              <w:jc w:val="center"/>
              <w:spacing w:after="0"/>
              <w:rPr>
                <w:sz w:val="20"/>
                <w:szCs w:val="20"/>
                <w:color w:val="auto"/>
              </w:rPr>
            </w:pPr>
            <w:r>
              <w:rPr>
                <w:rFonts w:ascii="Arial" w:cs="Arial" w:eastAsia="Arial" w:hAnsi="Arial"/>
                <w:sz w:val="10"/>
                <w:szCs w:val="10"/>
                <w:color w:val="auto"/>
              </w:rPr>
              <w:t>26</w:t>
            </w:r>
          </w:p>
        </w:tc>
      </w:tr>
      <w:tr>
        <w:trPr>
          <w:trHeight w:val="234"/>
        </w:trPr>
        <w:tc>
          <w:tcPr>
            <w:tcW w:w="3020" w:type="dxa"/>
            <w:vAlign w:val="bottom"/>
          </w:tcPr>
          <w:p>
            <w:pPr>
              <w:spacing w:after="0"/>
              <w:rPr>
                <w:sz w:val="20"/>
                <w:szCs w:val="20"/>
                <w:color w:val="auto"/>
              </w:rPr>
            </w:pPr>
          </w:p>
        </w:tc>
        <w:tc>
          <w:tcPr>
            <w:tcW w:w="3400" w:type="dxa"/>
            <w:vAlign w:val="bottom"/>
            <w:shd w:val="clear" w:color="auto" w:fill="ECEDED"/>
          </w:tcPr>
          <w:p>
            <w:pPr>
              <w:ind w:left="80"/>
              <w:spacing w:after="0"/>
              <w:rPr>
                <w:sz w:val="20"/>
                <w:szCs w:val="20"/>
                <w:color w:val="auto"/>
              </w:rPr>
            </w:pPr>
            <w:r>
              <w:rPr>
                <w:rFonts w:ascii="Arial" w:cs="Arial" w:eastAsia="Arial" w:hAnsi="Arial"/>
                <w:sz w:val="12"/>
                <w:szCs w:val="12"/>
                <w:b w:val="1"/>
                <w:bCs w:val="1"/>
                <w:color w:val="D61C5A"/>
              </w:rPr>
              <w:t>All Directors and Executive</w:t>
            </w:r>
          </w:p>
        </w:tc>
        <w:tc>
          <w:tcPr>
            <w:tcW w:w="860" w:type="dxa"/>
            <w:vAlign w:val="bottom"/>
            <w:gridSpan w:val="2"/>
            <w:shd w:val="clear" w:color="auto" w:fill="ECEDED"/>
          </w:tcPr>
          <w:p>
            <w:pPr>
              <w:jc w:val="center"/>
              <w:spacing w:after="0"/>
              <w:rPr>
                <w:sz w:val="20"/>
                <w:szCs w:val="20"/>
                <w:color w:val="auto"/>
              </w:rPr>
            </w:pPr>
            <w:r>
              <w:rPr>
                <w:rFonts w:ascii="Arial" w:cs="Arial" w:eastAsia="Arial" w:hAnsi="Arial"/>
                <w:sz w:val="13"/>
                <w:szCs w:val="13"/>
                <w:b w:val="1"/>
                <w:bCs w:val="1"/>
                <w:color w:val="auto"/>
                <w:w w:val="93"/>
              </w:rPr>
              <w:t>1,769,315</w:t>
            </w:r>
          </w:p>
        </w:tc>
        <w:tc>
          <w:tcPr>
            <w:tcW w:w="1060" w:type="dxa"/>
            <w:vAlign w:val="bottom"/>
            <w:shd w:val="clear" w:color="auto" w:fill="ECEDED"/>
          </w:tcPr>
          <w:p>
            <w:pPr>
              <w:jc w:val="center"/>
              <w:spacing w:after="0"/>
              <w:rPr>
                <w:sz w:val="20"/>
                <w:szCs w:val="20"/>
                <w:color w:val="auto"/>
              </w:rPr>
            </w:pPr>
            <w:r>
              <w:rPr>
                <w:rFonts w:ascii="Arial" w:cs="Arial" w:eastAsia="Arial" w:hAnsi="Arial"/>
                <w:sz w:val="13"/>
                <w:szCs w:val="13"/>
                <w:b w:val="1"/>
                <w:bCs w:val="1"/>
                <w:color w:val="auto"/>
                <w:w w:val="92"/>
              </w:rPr>
              <w:t>92.5%</w:t>
            </w:r>
          </w:p>
        </w:tc>
        <w:tc>
          <w:tcPr>
            <w:tcW w:w="1000" w:type="dxa"/>
            <w:vAlign w:val="bottom"/>
            <w:gridSpan w:val="2"/>
            <w:shd w:val="clear" w:color="auto" w:fill="ECEDED"/>
          </w:tcPr>
          <w:p>
            <w:pPr>
              <w:jc w:val="center"/>
              <w:spacing w:after="0"/>
              <w:rPr>
                <w:sz w:val="20"/>
                <w:szCs w:val="20"/>
                <w:color w:val="auto"/>
              </w:rPr>
            </w:pPr>
            <w:r>
              <w:rPr>
                <w:rFonts w:ascii="Arial" w:cs="Arial" w:eastAsia="Arial" w:hAnsi="Arial"/>
                <w:sz w:val="13"/>
                <w:szCs w:val="13"/>
                <w:b w:val="1"/>
                <w:bCs w:val="1"/>
                <w:color w:val="auto"/>
                <w:w w:val="92"/>
              </w:rPr>
              <w:t>11,214,074</w:t>
            </w:r>
            <w:r>
              <w:rPr>
                <w:rFonts w:ascii="Arial" w:cs="Arial" w:eastAsia="Arial" w:hAnsi="Arial"/>
                <w:sz w:val="20"/>
                <w:szCs w:val="20"/>
                <w:b w:val="1"/>
                <w:bCs w:val="1"/>
                <w:color w:val="auto"/>
                <w:w w:val="92"/>
                <w:vertAlign w:val="superscript"/>
              </w:rPr>
              <w:t>25</w:t>
            </w:r>
          </w:p>
        </w:tc>
        <w:tc>
          <w:tcPr>
            <w:tcW w:w="1060" w:type="dxa"/>
            <w:vAlign w:val="bottom"/>
            <w:shd w:val="clear" w:color="auto" w:fill="ECEDED"/>
          </w:tcPr>
          <w:p>
            <w:pPr>
              <w:jc w:val="center"/>
              <w:spacing w:after="0"/>
              <w:rPr>
                <w:sz w:val="20"/>
                <w:szCs w:val="20"/>
                <w:color w:val="auto"/>
              </w:rPr>
            </w:pPr>
            <w:r>
              <w:rPr>
                <w:rFonts w:ascii="Arial" w:cs="Arial" w:eastAsia="Arial" w:hAnsi="Arial"/>
                <w:sz w:val="13"/>
                <w:szCs w:val="13"/>
                <w:b w:val="1"/>
                <w:bCs w:val="1"/>
                <w:color w:val="auto"/>
                <w:w w:val="94"/>
              </w:rPr>
              <w:t>9.6%</w:t>
            </w:r>
          </w:p>
        </w:tc>
      </w:tr>
      <w:tr>
        <w:trPr>
          <w:trHeight w:val="130"/>
        </w:trPr>
        <w:tc>
          <w:tcPr>
            <w:tcW w:w="3020" w:type="dxa"/>
            <w:vAlign w:val="bottom"/>
          </w:tcPr>
          <w:p>
            <w:pPr>
              <w:spacing w:after="0"/>
              <w:rPr>
                <w:sz w:val="11"/>
                <w:szCs w:val="11"/>
                <w:color w:val="auto"/>
              </w:rPr>
            </w:pPr>
          </w:p>
        </w:tc>
        <w:tc>
          <w:tcPr>
            <w:tcW w:w="3400" w:type="dxa"/>
            <w:vAlign w:val="bottom"/>
            <w:tcBorders>
              <w:bottom w:val="single" w:sz="8" w:color="205BA8"/>
            </w:tcBorders>
            <w:shd w:val="clear" w:color="auto" w:fill="ECEDED"/>
          </w:tcPr>
          <w:p>
            <w:pPr>
              <w:ind w:left="80"/>
              <w:spacing w:after="0" w:line="130" w:lineRule="exact"/>
              <w:rPr>
                <w:sz w:val="20"/>
                <w:szCs w:val="20"/>
                <w:color w:val="auto"/>
              </w:rPr>
            </w:pPr>
            <w:r>
              <w:rPr>
                <w:rFonts w:ascii="Arial" w:cs="Arial" w:eastAsia="Arial" w:hAnsi="Arial"/>
                <w:sz w:val="12"/>
                <w:szCs w:val="12"/>
                <w:b w:val="1"/>
                <w:bCs w:val="1"/>
                <w:color w:val="D61C5A"/>
              </w:rPr>
              <w:t>Officers as a Group (18 persons)</w:t>
            </w:r>
          </w:p>
        </w:tc>
        <w:tc>
          <w:tcPr>
            <w:tcW w:w="140" w:type="dxa"/>
            <w:vAlign w:val="bottom"/>
            <w:tcBorders>
              <w:bottom w:val="single" w:sz="8" w:color="205BA8"/>
            </w:tcBorders>
            <w:shd w:val="clear" w:color="auto" w:fill="ECEDED"/>
          </w:tcPr>
          <w:p>
            <w:pPr>
              <w:spacing w:after="0"/>
              <w:rPr>
                <w:sz w:val="11"/>
                <w:szCs w:val="11"/>
                <w:color w:val="auto"/>
              </w:rPr>
            </w:pPr>
          </w:p>
        </w:tc>
        <w:tc>
          <w:tcPr>
            <w:tcW w:w="720" w:type="dxa"/>
            <w:vAlign w:val="bottom"/>
            <w:tcBorders>
              <w:bottom w:val="single" w:sz="8" w:color="205BA8"/>
            </w:tcBorders>
            <w:shd w:val="clear" w:color="auto" w:fill="ECEDED"/>
          </w:tcPr>
          <w:p>
            <w:pPr>
              <w:spacing w:after="0"/>
              <w:rPr>
                <w:sz w:val="11"/>
                <w:szCs w:val="11"/>
                <w:color w:val="auto"/>
              </w:rPr>
            </w:pPr>
          </w:p>
        </w:tc>
        <w:tc>
          <w:tcPr>
            <w:tcW w:w="1060" w:type="dxa"/>
            <w:vAlign w:val="bottom"/>
            <w:tcBorders>
              <w:bottom w:val="single" w:sz="8" w:color="205BA8"/>
            </w:tcBorders>
            <w:shd w:val="clear" w:color="auto" w:fill="ECEDED"/>
          </w:tcPr>
          <w:p>
            <w:pPr>
              <w:spacing w:after="0"/>
              <w:rPr>
                <w:sz w:val="11"/>
                <w:szCs w:val="11"/>
                <w:color w:val="auto"/>
              </w:rPr>
            </w:pPr>
          </w:p>
        </w:tc>
        <w:tc>
          <w:tcPr>
            <w:tcW w:w="140" w:type="dxa"/>
            <w:vAlign w:val="bottom"/>
            <w:tcBorders>
              <w:bottom w:val="single" w:sz="8" w:color="205BA8"/>
            </w:tcBorders>
            <w:shd w:val="clear" w:color="auto" w:fill="ECEDED"/>
          </w:tcPr>
          <w:p>
            <w:pPr>
              <w:spacing w:after="0"/>
              <w:rPr>
                <w:sz w:val="11"/>
                <w:szCs w:val="11"/>
                <w:color w:val="auto"/>
              </w:rPr>
            </w:pPr>
          </w:p>
        </w:tc>
        <w:tc>
          <w:tcPr>
            <w:tcW w:w="860" w:type="dxa"/>
            <w:vAlign w:val="bottom"/>
            <w:tcBorders>
              <w:bottom w:val="single" w:sz="8" w:color="205BA8"/>
            </w:tcBorders>
            <w:shd w:val="clear" w:color="auto" w:fill="ECEDED"/>
          </w:tcPr>
          <w:p>
            <w:pPr>
              <w:spacing w:after="0"/>
              <w:rPr>
                <w:sz w:val="11"/>
                <w:szCs w:val="11"/>
                <w:color w:val="auto"/>
              </w:rPr>
            </w:pPr>
          </w:p>
        </w:tc>
        <w:tc>
          <w:tcPr>
            <w:tcW w:w="1060" w:type="dxa"/>
            <w:vAlign w:val="bottom"/>
            <w:tcBorders>
              <w:bottom w:val="single" w:sz="8" w:color="205BA8"/>
            </w:tcBorders>
            <w:shd w:val="clear" w:color="auto" w:fill="ECEDED"/>
          </w:tcPr>
          <w:p>
            <w:pPr>
              <w:spacing w:after="0"/>
              <w:rPr>
                <w:sz w:val="11"/>
                <w:szCs w:val="11"/>
                <w:color w:val="auto"/>
              </w:rPr>
            </w:pPr>
          </w:p>
        </w:tc>
      </w:tr>
      <w:tr>
        <w:trPr>
          <w:trHeight w:val="175"/>
        </w:trPr>
        <w:tc>
          <w:tcPr>
            <w:tcW w:w="3020" w:type="dxa"/>
            <w:vAlign w:val="bottom"/>
            <w:tcBorders>
              <w:bottom w:val="single" w:sz="8" w:color="205BA8"/>
            </w:tcBorders>
          </w:tcPr>
          <w:p>
            <w:pPr>
              <w:spacing w:after="0"/>
              <w:rPr>
                <w:sz w:val="15"/>
                <w:szCs w:val="15"/>
                <w:color w:val="auto"/>
              </w:rPr>
            </w:pPr>
          </w:p>
        </w:tc>
        <w:tc>
          <w:tcPr>
            <w:tcW w:w="3400" w:type="dxa"/>
            <w:vAlign w:val="bottom"/>
            <w:tcBorders>
              <w:bottom w:val="single" w:sz="8" w:color="205BA8"/>
            </w:tcBorders>
          </w:tcPr>
          <w:p>
            <w:pPr>
              <w:spacing w:after="0"/>
              <w:rPr>
                <w:sz w:val="15"/>
                <w:szCs w:val="15"/>
                <w:color w:val="auto"/>
              </w:rPr>
            </w:pPr>
          </w:p>
        </w:tc>
        <w:tc>
          <w:tcPr>
            <w:tcW w:w="140" w:type="dxa"/>
            <w:vAlign w:val="bottom"/>
            <w:tcBorders>
              <w:bottom w:val="single" w:sz="8" w:color="205BA8"/>
            </w:tcBorders>
          </w:tcPr>
          <w:p>
            <w:pPr>
              <w:spacing w:after="0"/>
              <w:rPr>
                <w:sz w:val="15"/>
                <w:szCs w:val="15"/>
                <w:color w:val="auto"/>
              </w:rPr>
            </w:pPr>
          </w:p>
        </w:tc>
        <w:tc>
          <w:tcPr>
            <w:tcW w:w="720" w:type="dxa"/>
            <w:vAlign w:val="bottom"/>
            <w:tcBorders>
              <w:bottom w:val="single" w:sz="8" w:color="205BA8"/>
            </w:tcBorders>
          </w:tcPr>
          <w:p>
            <w:pPr>
              <w:spacing w:after="0"/>
              <w:rPr>
                <w:sz w:val="15"/>
                <w:szCs w:val="15"/>
                <w:color w:val="auto"/>
              </w:rPr>
            </w:pPr>
          </w:p>
        </w:tc>
        <w:tc>
          <w:tcPr>
            <w:tcW w:w="1060" w:type="dxa"/>
            <w:vAlign w:val="bottom"/>
            <w:tcBorders>
              <w:bottom w:val="single" w:sz="8" w:color="205BA8"/>
            </w:tcBorders>
          </w:tcPr>
          <w:p>
            <w:pPr>
              <w:spacing w:after="0"/>
              <w:rPr>
                <w:sz w:val="15"/>
                <w:szCs w:val="15"/>
                <w:color w:val="auto"/>
              </w:rPr>
            </w:pPr>
          </w:p>
        </w:tc>
        <w:tc>
          <w:tcPr>
            <w:tcW w:w="140" w:type="dxa"/>
            <w:vAlign w:val="bottom"/>
            <w:tcBorders>
              <w:bottom w:val="single" w:sz="8" w:color="205BA8"/>
            </w:tcBorders>
          </w:tcPr>
          <w:p>
            <w:pPr>
              <w:spacing w:after="0"/>
              <w:rPr>
                <w:sz w:val="15"/>
                <w:szCs w:val="15"/>
                <w:color w:val="auto"/>
              </w:rPr>
            </w:pPr>
          </w:p>
        </w:tc>
        <w:tc>
          <w:tcPr>
            <w:tcW w:w="860" w:type="dxa"/>
            <w:vAlign w:val="bottom"/>
            <w:tcBorders>
              <w:bottom w:val="single" w:sz="8" w:color="205BA8"/>
            </w:tcBorders>
          </w:tcPr>
          <w:p>
            <w:pPr>
              <w:spacing w:after="0"/>
              <w:rPr>
                <w:sz w:val="15"/>
                <w:szCs w:val="15"/>
                <w:color w:val="auto"/>
              </w:rPr>
            </w:pPr>
          </w:p>
        </w:tc>
        <w:tc>
          <w:tcPr>
            <w:tcW w:w="1060" w:type="dxa"/>
            <w:vAlign w:val="bottom"/>
            <w:tcBorders>
              <w:bottom w:val="single" w:sz="8" w:color="205BA8"/>
            </w:tcBorders>
          </w:tcPr>
          <w:p>
            <w:pPr>
              <w:spacing w:after="0"/>
              <w:rPr>
                <w:sz w:val="15"/>
                <w:szCs w:val="15"/>
                <w:color w:val="auto"/>
              </w:rPr>
            </w:pPr>
          </w:p>
        </w:tc>
      </w:tr>
    </w:tbl>
    <w:p>
      <w:pPr>
        <w:spacing w:after="0" w:line="186" w:lineRule="exact"/>
        <w:rPr>
          <w:sz w:val="20"/>
          <w:szCs w:val="20"/>
          <w:color w:val="auto"/>
        </w:rPr>
      </w:pPr>
    </w:p>
    <w:p>
      <w:pPr>
        <w:ind w:left="263" w:right="340" w:hanging="263"/>
        <w:spacing w:after="0" w:line="239" w:lineRule="auto"/>
        <w:tabs>
          <w:tab w:leader="none" w:pos="263" w:val="left"/>
        </w:tabs>
        <w:numPr>
          <w:ilvl w:val="0"/>
          <w:numId w:val="45"/>
        </w:numPr>
        <w:rPr>
          <w:rFonts w:ascii="Arial" w:cs="Arial" w:eastAsia="Arial" w:hAnsi="Arial"/>
          <w:sz w:val="14"/>
          <w:szCs w:val="14"/>
          <w:b w:val="1"/>
          <w:bCs w:val="1"/>
          <w:color w:val="205BA8"/>
        </w:rPr>
      </w:pPr>
      <w:r>
        <w:rPr>
          <w:rFonts w:ascii="Arial" w:cs="Arial" w:eastAsia="Arial" w:hAnsi="Arial"/>
          <w:sz w:val="14"/>
          <w:szCs w:val="14"/>
          <w:color w:val="auto"/>
        </w:rPr>
        <w:t>The inclusion in this table of any Class A stock or common stock, as the case may be, deemed beneficially owned does not constitute an admission of beneficial ownership of those shares.</w:t>
      </w:r>
    </w:p>
    <w:p>
      <w:pPr>
        <w:spacing w:after="0" w:line="82" w:lineRule="exact"/>
        <w:rPr>
          <w:sz w:val="20"/>
          <w:szCs w:val="20"/>
          <w:color w:val="auto"/>
        </w:rPr>
      </w:pPr>
    </w:p>
    <w:p>
      <w:pPr>
        <w:ind w:left="263" w:right="240" w:hanging="263"/>
        <w:spacing w:after="0" w:line="275" w:lineRule="auto"/>
        <w:tabs>
          <w:tab w:leader="none" w:pos="263" w:val="left"/>
        </w:tabs>
        <w:numPr>
          <w:ilvl w:val="0"/>
          <w:numId w:val="46"/>
        </w:numPr>
        <w:rPr>
          <w:rFonts w:ascii="Arial" w:cs="Arial" w:eastAsia="Arial" w:hAnsi="Arial"/>
          <w:sz w:val="13"/>
          <w:szCs w:val="13"/>
          <w:b w:val="1"/>
          <w:bCs w:val="1"/>
          <w:color w:val="205BA8"/>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60" w:lineRule="exact"/>
        <w:rPr>
          <w:sz w:val="20"/>
          <w:szCs w:val="20"/>
          <w:color w:val="auto"/>
        </w:rPr>
      </w:pPr>
    </w:p>
    <w:p>
      <w:pPr>
        <w:ind w:left="263" w:right="60" w:hanging="263"/>
        <w:spacing w:after="0" w:line="233" w:lineRule="auto"/>
        <w:tabs>
          <w:tab w:leader="none" w:pos="263" w:val="left"/>
        </w:tabs>
        <w:numPr>
          <w:ilvl w:val="0"/>
          <w:numId w:val="47"/>
        </w:numPr>
        <w:rPr>
          <w:rFonts w:ascii="Arial" w:cs="Arial" w:eastAsia="Arial" w:hAnsi="Arial"/>
          <w:sz w:val="14"/>
          <w:szCs w:val="14"/>
          <w:b w:val="1"/>
          <w:bCs w:val="1"/>
          <w:color w:val="205BA8"/>
        </w:rPr>
      </w:pPr>
      <w:r>
        <w:rPr>
          <w:rFonts w:ascii="Arial" w:cs="Arial" w:eastAsia="Arial" w:hAnsi="Arial"/>
          <w:sz w:val="14"/>
          <w:szCs w:val="14"/>
          <w:color w:val="auto"/>
        </w:rPr>
        <w:t>Based solely on a Form 4 filed by Sanofi with the SEC on March 12, 2019. According to this Form 4, 20,723,717 of the shares are held directly by Sanofi and 2,799,552 of the shares are held directly by Aventisub LLC (formerly known as Aventis Pharmaceuticals Inc.). Aventisub LLC is an indirect, wholly-owned subsidiary of Sanofi. Pursuant to the Amended and Restated Investor Agreement, dated as of January 11, 2014 (as amended), by and among Sanofi, Sanofi-Aventis US LLC, Aventisub LLC, and Sanofi-Aventis Amérique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outstanding shares or voting rights of Class A stock and common stock (taken together), and new equity compensation plans or amendments if not materially consistent with our historical equity compensation practices. See “The Company — Certain Relationships and Related Transactions — Transactions with Related Persons — Amended and Restated Investor Agreement with Sanofi; 2018 Letter Agreement” above for further information regarding the Amended and Restated Investor Agreement with Sanofi.</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48  /  </w:t>
      </w:r>
      <w:r>
        <w:rPr>
          <w:sz w:val="1"/>
          <w:szCs w:val="1"/>
          <w:color w:val="auto"/>
        </w:rPr>
        <w:drawing>
          <wp:inline distT="0" distB="0" distL="0" distR="0">
            <wp:extent cx="717550" cy="825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bookmarkStart w:id="61" w:name="page62"/>
    <w:bookmarkEnd w:id="61"/>
    <w:p>
      <w:pPr>
        <w:jc w:val="right"/>
        <w:ind w:right="500"/>
        <w:spacing w:after="0"/>
        <w:rPr>
          <w:sz w:val="20"/>
          <w:szCs w:val="20"/>
          <w:color w:val="auto"/>
        </w:rPr>
      </w:pPr>
      <w:r>
        <w:rPr>
          <w:rFonts w:ascii="Arial" w:cs="Arial" w:eastAsia="Arial" w:hAnsi="Arial"/>
          <w:sz w:val="16"/>
          <w:szCs w:val="16"/>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20" w:lineRule="exact"/>
        <w:rPr>
          <w:sz w:val="20"/>
          <w:szCs w:val="20"/>
          <w:color w:val="auto"/>
        </w:rPr>
      </w:pPr>
    </w:p>
    <w:p>
      <w:pPr>
        <w:ind w:left="780" w:right="660" w:hanging="263"/>
        <w:spacing w:after="0" w:line="237" w:lineRule="auto"/>
        <w:tabs>
          <w:tab w:leader="none" w:pos="780" w:val="left"/>
        </w:tabs>
        <w:numPr>
          <w:ilvl w:val="0"/>
          <w:numId w:val="48"/>
        </w:numPr>
        <w:rPr>
          <w:rFonts w:ascii="Arial" w:cs="Arial" w:eastAsia="Arial" w:hAnsi="Arial"/>
          <w:sz w:val="14"/>
          <w:szCs w:val="14"/>
          <w:b w:val="1"/>
          <w:bCs w:val="1"/>
          <w:color w:val="205BA8"/>
        </w:rPr>
      </w:pPr>
      <w:r>
        <w:rPr>
          <w:rFonts w:ascii="Arial" w:cs="Arial" w:eastAsia="Arial" w:hAnsi="Arial"/>
          <w:sz w:val="14"/>
          <w:szCs w:val="14"/>
          <w:color w:val="auto"/>
        </w:rPr>
        <w:t>Based solely on a Schedule 13G filed by Capital World Investors on February 14, 2019. According to this filing, Capital World Investors, a division of Capital Research and Management Company (“CRMC”), has sole voting as to 7,033,102 of the shares reported as beneficially owned and dispositive power as to all of the shares reported as beneficially owned.</w:t>
      </w:r>
    </w:p>
    <w:p>
      <w:pPr>
        <w:spacing w:after="0" w:line="82" w:lineRule="exact"/>
        <w:rPr>
          <w:sz w:val="20"/>
          <w:szCs w:val="20"/>
          <w:color w:val="auto"/>
        </w:rPr>
      </w:pPr>
    </w:p>
    <w:p>
      <w:pPr>
        <w:ind w:left="780" w:right="900" w:hanging="263"/>
        <w:spacing w:after="0" w:line="239" w:lineRule="auto"/>
        <w:tabs>
          <w:tab w:leader="none" w:pos="780" w:val="left"/>
        </w:tabs>
        <w:numPr>
          <w:ilvl w:val="0"/>
          <w:numId w:val="49"/>
        </w:numPr>
        <w:rPr>
          <w:rFonts w:ascii="Arial" w:cs="Arial" w:eastAsia="Arial" w:hAnsi="Arial"/>
          <w:sz w:val="14"/>
          <w:szCs w:val="14"/>
          <w:b w:val="1"/>
          <w:bCs w:val="1"/>
          <w:color w:val="205BA8"/>
        </w:rPr>
      </w:pPr>
      <w:r>
        <w:rPr>
          <w:rFonts w:ascii="Arial" w:cs="Arial" w:eastAsia="Arial" w:hAnsi="Arial"/>
          <w:sz w:val="14"/>
          <w:szCs w:val="14"/>
          <w:color w:val="auto"/>
        </w:rPr>
        <w:t>Based solely on an amendment to a Schedule 13G filed by BlackRock, Inc. on February 6, 2019. According to this amendment, BlackRock, Inc. has sole voting power as to 5,315,220 of the shares reported as beneficially owned and sole dispositive power as to all of the shares reported as beneficially owned.</w:t>
      </w:r>
    </w:p>
    <w:p>
      <w:pPr>
        <w:spacing w:after="0" w:line="82" w:lineRule="exact"/>
        <w:rPr>
          <w:sz w:val="20"/>
          <w:szCs w:val="20"/>
          <w:color w:val="auto"/>
        </w:rPr>
      </w:pPr>
    </w:p>
    <w:p>
      <w:pPr>
        <w:ind w:left="780" w:right="540" w:hanging="263"/>
        <w:spacing w:after="0" w:line="235" w:lineRule="auto"/>
        <w:tabs>
          <w:tab w:leader="none" w:pos="780" w:val="left"/>
        </w:tabs>
        <w:numPr>
          <w:ilvl w:val="0"/>
          <w:numId w:val="50"/>
        </w:numPr>
        <w:rPr>
          <w:rFonts w:ascii="Arial" w:cs="Arial" w:eastAsia="Arial" w:hAnsi="Arial"/>
          <w:sz w:val="14"/>
          <w:szCs w:val="14"/>
          <w:b w:val="1"/>
          <w:bCs w:val="1"/>
          <w:color w:val="205BA8"/>
        </w:rPr>
      </w:pPr>
      <w:r>
        <w:rPr>
          <w:rFonts w:ascii="Arial" w:cs="Arial" w:eastAsia="Arial" w:hAnsi="Arial"/>
          <w:sz w:val="14"/>
          <w:szCs w:val="14"/>
          <w:color w:val="auto"/>
        </w:rPr>
        <w:t>Based solely on an amendment to a Schedule 13G filed by The Vanguard Group, Inc. According to this amendment, The Vanguard Group, Inc. has sole voting power as to 96,254, shared voting power as to 19,560, sole dispositive power as to 5,783,377, and shared dispositive power as to 114,656 of the shares reported as beneficially owned. Vanguard Fiduciary Trust Company, a wholly-owned subsidiary of The Vanguard Group, Inc., is the beneficial owner of 71,945 shares as a result of its serving as investment manager of collective trust accounts. Vanguard Investments Australia, Ltd., a wholly-owned subsidiary of The Vanguard Group, Inc., is the beneficial owner of 66,093 shares as a result of its serving as investment manager of Australian investment offerings.</w:t>
      </w:r>
    </w:p>
    <w:p>
      <w:pPr>
        <w:spacing w:after="0" w:line="82" w:lineRule="exact"/>
        <w:rPr>
          <w:sz w:val="20"/>
          <w:szCs w:val="20"/>
          <w:color w:val="auto"/>
        </w:rPr>
      </w:pPr>
    </w:p>
    <w:p>
      <w:pPr>
        <w:ind w:left="780" w:hanging="263"/>
        <w:spacing w:after="0"/>
        <w:tabs>
          <w:tab w:leader="none" w:pos="7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The address for each director and executive officer is c/o Regeneron Pharmaceuticals, Inc., 777 Old Saw Mill River Road, Tarrytown, New York 10591-6707.</w:t>
      </w:r>
    </w:p>
    <w:p>
      <w:pPr>
        <w:spacing w:after="0" w:line="69" w:lineRule="exact"/>
        <w:rPr>
          <w:rFonts w:ascii="Arial" w:cs="Arial" w:eastAsia="Arial" w:hAnsi="Arial"/>
          <w:sz w:val="14"/>
          <w:szCs w:val="14"/>
          <w:b w:val="1"/>
          <w:bCs w:val="1"/>
          <w:color w:val="205BA8"/>
        </w:rPr>
      </w:pPr>
    </w:p>
    <w:p>
      <w:pPr>
        <w:ind w:left="520"/>
        <w:spacing w:after="0"/>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8   </w:t>
      </w:r>
      <w:r>
        <w:rPr>
          <w:rFonts w:ascii="Arial" w:cs="Arial" w:eastAsia="Arial" w:hAnsi="Arial"/>
          <w:sz w:val="14"/>
          <w:szCs w:val="14"/>
          <w:color w:val="000000"/>
        </w:rPr>
        <w:t>Includes 15,775 shares of Class A stock held in trust for the benefit of Dr. Schleifer’s son, of which Dr. Schleifer is a trustee.</w:t>
      </w:r>
    </w:p>
    <w:p>
      <w:pPr>
        <w:spacing w:after="0" w:line="102" w:lineRule="exact"/>
        <w:rPr>
          <w:sz w:val="20"/>
          <w:szCs w:val="20"/>
          <w:color w:val="auto"/>
        </w:rPr>
      </w:pPr>
    </w:p>
    <w:p>
      <w:pPr>
        <w:ind w:left="780" w:right="520" w:hanging="263"/>
        <w:spacing w:after="0" w:line="235" w:lineRule="auto"/>
        <w:tabs>
          <w:tab w:leader="none" w:pos="780" w:val="left"/>
        </w:tabs>
        <w:numPr>
          <w:ilvl w:val="0"/>
          <w:numId w:val="52"/>
        </w:numPr>
        <w:rPr>
          <w:rFonts w:ascii="Arial" w:cs="Arial" w:eastAsia="Arial" w:hAnsi="Arial"/>
          <w:sz w:val="14"/>
          <w:szCs w:val="14"/>
          <w:b w:val="1"/>
          <w:bCs w:val="1"/>
          <w:color w:val="205BA8"/>
        </w:rPr>
      </w:pPr>
      <w:r>
        <w:rPr>
          <w:rFonts w:ascii="Arial" w:cs="Arial" w:eastAsia="Arial" w:hAnsi="Arial"/>
          <w:sz w:val="14"/>
          <w:szCs w:val="14"/>
          <w:color w:val="auto"/>
        </w:rPr>
        <w:t>Includes (i) 1,986,237 shares of common stock purchasable upon the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and (ii) 5,816 shares of common stock held in an account under the Company’s 401(k) Savings Plan.</w:t>
      </w:r>
    </w:p>
    <w:p>
      <w:pPr>
        <w:spacing w:after="0" w:line="84" w:lineRule="exact"/>
        <w:rPr>
          <w:sz w:val="20"/>
          <w:szCs w:val="20"/>
          <w:color w:val="auto"/>
        </w:rPr>
      </w:pPr>
    </w:p>
    <w:p>
      <w:pPr>
        <w:ind w:left="780" w:right="540" w:hanging="263"/>
        <w:spacing w:after="0" w:line="234"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Includes (i) 1,382,808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(ii) 2,318 shares of common stock held in an account under the Company’s 401(k) Savings Plan; (iii) 146,330 shares of common stock held in a charitable lead annuity trust, of which Dr. Vagelos is the trustee; (iv) 83,652 shares of common stock held in a trust for his grandchildren, of which Dr. Vagelos’s wife is the trustee; (v) 1,203 shares of common stock held in trusts for his grandchildren, of which Dr. Vagelos and/or his wife are trustees; and (vi) 54,146 shares of common stock and 133,891 shares of common stock held by the Marianthi Foundation and the Pindaros Foundation, respectively, both of which are charitable foundations of which Dr. Vagelos is a director and an officer. Dr. Vagelos disclaims beneficial ownership of the shares held by these charitable foundations.</w:t>
      </w:r>
    </w:p>
    <w:p>
      <w:pPr>
        <w:spacing w:after="0" w:line="82" w:lineRule="exact"/>
        <w:rPr>
          <w:rFonts w:ascii="Arial" w:cs="Arial" w:eastAsia="Arial" w:hAnsi="Arial"/>
          <w:sz w:val="14"/>
          <w:szCs w:val="14"/>
          <w:b w:val="1"/>
          <w:bCs w:val="1"/>
          <w:color w:val="205BA8"/>
        </w:rPr>
      </w:pPr>
    </w:p>
    <w:p>
      <w:pPr>
        <w:ind w:left="780" w:right="740" w:hanging="263"/>
        <w:spacing w:after="0" w:line="239"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82" w:lineRule="exact"/>
        <w:rPr>
          <w:rFonts w:ascii="Arial" w:cs="Arial" w:eastAsia="Arial" w:hAnsi="Arial"/>
          <w:sz w:val="14"/>
          <w:szCs w:val="14"/>
          <w:b w:val="1"/>
          <w:bCs w:val="1"/>
          <w:color w:val="205BA8"/>
        </w:rPr>
      </w:pPr>
    </w:p>
    <w:p>
      <w:pPr>
        <w:ind w:left="780" w:right="540" w:hanging="263"/>
        <w:spacing w:after="0" w:line="234"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Includes (i) 1,723,489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(ii) 5,786 shares of common stock held in an account under the Company’s 401(k) Savings Plan; (iii) 324,314 shares held in separate grantor retained annuity trusts, of which Dr. Yancopoulos is the trustee; (iv) 753,316 shares of common stock held in trust for the benefit of Dr. Yancopoulos’s children and certain other family members, of which Dr. Yancopoulos is a trustee; and (v) 24,643 shares of common stock held in trusts for the benefit of Dr. Yancopoulos’s children.</w:t>
      </w:r>
    </w:p>
    <w:p>
      <w:pPr>
        <w:spacing w:after="0" w:line="84" w:lineRule="exact"/>
        <w:rPr>
          <w:rFonts w:ascii="Arial" w:cs="Arial" w:eastAsia="Arial" w:hAnsi="Arial"/>
          <w:sz w:val="14"/>
          <w:szCs w:val="14"/>
          <w:b w:val="1"/>
          <w:bCs w:val="1"/>
          <w:color w:val="205BA8"/>
        </w:rPr>
      </w:pPr>
    </w:p>
    <w:p>
      <w:pPr>
        <w:ind w:left="780" w:right="540" w:hanging="263"/>
        <w:spacing w:after="0" w:line="235"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Consists of (i) 12,703 shares of common stock purchasable upon exercise of options granted pursuant to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84" w:lineRule="exact"/>
        <w:rPr>
          <w:rFonts w:ascii="Arial" w:cs="Arial" w:eastAsia="Arial" w:hAnsi="Arial"/>
          <w:sz w:val="14"/>
          <w:szCs w:val="14"/>
          <w:b w:val="1"/>
          <w:bCs w:val="1"/>
          <w:color w:val="205BA8"/>
        </w:rPr>
      </w:pPr>
    </w:p>
    <w:p>
      <w:pPr>
        <w:ind w:left="780" w:right="540" w:hanging="263"/>
        <w:spacing w:after="0" w:line="235"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Consists of (i) 16,042 shares of common stock purchasable upon exercise of options granted pursuant to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84" w:lineRule="exact"/>
        <w:rPr>
          <w:rFonts w:ascii="Arial" w:cs="Arial" w:eastAsia="Arial" w:hAnsi="Arial"/>
          <w:sz w:val="14"/>
          <w:szCs w:val="14"/>
          <w:b w:val="1"/>
          <w:bCs w:val="1"/>
          <w:color w:val="205BA8"/>
        </w:rPr>
      </w:pPr>
    </w:p>
    <w:p>
      <w:pPr>
        <w:ind w:left="780" w:right="760" w:hanging="263"/>
        <w:spacing w:after="0" w:line="250" w:lineRule="auto"/>
        <w:tabs>
          <w:tab w:leader="none" w:pos="780" w:val="left"/>
        </w:tabs>
        <w:numPr>
          <w:ilvl w:val="0"/>
          <w:numId w:val="53"/>
        </w:numPr>
        <w:rPr>
          <w:rFonts w:ascii="Arial" w:cs="Arial" w:eastAsia="Arial" w:hAnsi="Arial"/>
          <w:sz w:val="13"/>
          <w:szCs w:val="13"/>
          <w:b w:val="1"/>
          <w:bCs w:val="1"/>
          <w:color w:val="205BA8"/>
        </w:rPr>
      </w:pPr>
      <w:r>
        <w:rPr>
          <w:rFonts w:ascii="Arial" w:cs="Arial" w:eastAsia="Arial" w:hAnsi="Arial"/>
          <w:sz w:val="13"/>
          <w:szCs w:val="13"/>
          <w:color w:val="auto"/>
        </w:rPr>
        <w:t>Consists of (i) 40,200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which are held in a trust of which</w:t>
      </w:r>
    </w:p>
    <w:p>
      <w:pPr>
        <w:ind w:left="780" w:right="520"/>
        <w:spacing w:after="0" w:line="235" w:lineRule="auto"/>
        <w:rPr>
          <w:rFonts w:ascii="Arial" w:cs="Arial" w:eastAsia="Arial" w:hAnsi="Arial"/>
          <w:sz w:val="13"/>
          <w:szCs w:val="13"/>
          <w:b w:val="1"/>
          <w:bCs w:val="1"/>
          <w:color w:val="205BA8"/>
        </w:rPr>
      </w:pPr>
      <w:r>
        <w:rPr>
          <w:rFonts w:ascii="Arial" w:cs="Arial" w:eastAsia="Arial" w:hAnsi="Arial"/>
          <w:sz w:val="14"/>
          <w:szCs w:val="14"/>
          <w:color w:val="auto"/>
        </w:rPr>
        <w:t>Dr. Brown and his spouse are trustees for the benefit of Dr. Brown’s immediate family members; (ii) 12,349 shares of common stock held in a trust of which Dr. Brown and his spouse are trustees for the benefit of Dr. Brown’s immediate family members; (iii) 5,000 shares of common stock held in a trust of which Dr. Brown’s spouse is trustee for the benefit of Dr. Brown’s immediate family members; (iv) 3,750 shares of common stock held by a family charitable foundation of which Dr. Brown is a director and an officer and his wife is a director; and (v) 145 shares of common stock issuable upon settlement of RSUs that are releasable within sixty days after April 17, 2019 upon termination of service. Dr. Brown disclaims beneficial ownership of the shares referenced in (iii) and (iv).</w:t>
      </w:r>
    </w:p>
    <w:p>
      <w:pPr>
        <w:spacing w:after="0" w:line="82" w:lineRule="exact"/>
        <w:rPr>
          <w:rFonts w:ascii="Arial" w:cs="Arial" w:eastAsia="Arial" w:hAnsi="Arial"/>
          <w:sz w:val="13"/>
          <w:szCs w:val="13"/>
          <w:b w:val="1"/>
          <w:bCs w:val="1"/>
          <w:color w:val="205BA8"/>
        </w:rPr>
      </w:pPr>
    </w:p>
    <w:p>
      <w:pPr>
        <w:ind w:left="780" w:right="660" w:hanging="263"/>
        <w:spacing w:after="0" w:line="235"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Includes (i) 34,450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84" w:lineRule="exact"/>
        <w:rPr>
          <w:rFonts w:ascii="Arial" w:cs="Arial" w:eastAsia="Arial" w:hAnsi="Arial"/>
          <w:sz w:val="14"/>
          <w:szCs w:val="14"/>
          <w:b w:val="1"/>
          <w:bCs w:val="1"/>
          <w:color w:val="205BA8"/>
        </w:rPr>
      </w:pPr>
    </w:p>
    <w:p>
      <w:pPr>
        <w:ind w:left="780" w:right="520" w:hanging="263"/>
        <w:spacing w:after="0" w:line="235"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Consists of (i) 5,000 shares of common stock purchasable upon exercise of options granted pursuant to the Amended and Restated Regeneron Pharmaceuticals, Inc. 2014 Long-Term Incentive Plan that are exercisable or become so within sixty days after April 17, 2019; (ii) 12,500 shares of restricted stock (2,500 of which vest on February 12, 2023 and 10,000 of which vest on December 12, 2023); and (iii) 43 shares of common stock held in an account under the Company’s 401(k) Savings Plan.</w:t>
      </w:r>
    </w:p>
    <w:p>
      <w:pPr>
        <w:spacing w:after="0" w:line="84" w:lineRule="exact"/>
        <w:rPr>
          <w:rFonts w:ascii="Arial" w:cs="Arial" w:eastAsia="Arial" w:hAnsi="Arial"/>
          <w:sz w:val="14"/>
          <w:szCs w:val="14"/>
          <w:b w:val="1"/>
          <w:bCs w:val="1"/>
          <w:color w:val="205BA8"/>
        </w:rPr>
      </w:pPr>
    </w:p>
    <w:p>
      <w:pPr>
        <w:ind w:left="780" w:right="600" w:hanging="263"/>
        <w:spacing w:after="0" w:line="235"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Includes (i) 111,730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84" w:lineRule="exact"/>
        <w:rPr>
          <w:rFonts w:ascii="Arial" w:cs="Arial" w:eastAsia="Arial" w:hAnsi="Arial"/>
          <w:sz w:val="14"/>
          <w:szCs w:val="14"/>
          <w:b w:val="1"/>
          <w:bCs w:val="1"/>
          <w:color w:val="205BA8"/>
        </w:rPr>
      </w:pPr>
    </w:p>
    <w:p>
      <w:pPr>
        <w:ind w:left="780" w:right="660" w:hanging="263"/>
        <w:spacing w:after="0" w:line="235" w:lineRule="auto"/>
        <w:tabs>
          <w:tab w:leader="none" w:pos="780" w:val="left"/>
        </w:tabs>
        <w:numPr>
          <w:ilvl w:val="0"/>
          <w:numId w:val="53"/>
        </w:numPr>
        <w:rPr>
          <w:rFonts w:ascii="Arial" w:cs="Arial" w:eastAsia="Arial" w:hAnsi="Arial"/>
          <w:sz w:val="14"/>
          <w:szCs w:val="14"/>
          <w:b w:val="1"/>
          <w:bCs w:val="1"/>
          <w:color w:val="205BA8"/>
        </w:rPr>
      </w:pPr>
      <w:r>
        <w:rPr>
          <w:rFonts w:ascii="Arial" w:cs="Arial" w:eastAsia="Arial" w:hAnsi="Arial"/>
          <w:sz w:val="14"/>
          <w:szCs w:val="14"/>
          <w:color w:val="auto"/>
        </w:rPr>
        <w:t>Includes (i) 42,950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b w:val="1"/>
                <w:bCs w:val="1"/>
                <w:color w:val="205BA8"/>
              </w:rPr>
              <w:t>/  49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2" w:name="page63"/>
    <w:bookmarkEnd w:id="62"/>
    <w:p>
      <w:pPr>
        <w:ind w:left="3"/>
        <w:spacing w:after="0"/>
        <w:rPr>
          <w:sz w:val="20"/>
          <w:szCs w:val="20"/>
          <w:color w:val="auto"/>
        </w:rPr>
      </w:pPr>
      <w:r>
        <w:rPr>
          <w:rFonts w:ascii="Arial" w:cs="Arial" w:eastAsia="Arial" w:hAnsi="Arial"/>
          <w:sz w:val="16"/>
          <w:szCs w:val="16"/>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600190"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4" w:lineRule="exact"/>
        <w:rPr>
          <w:sz w:val="20"/>
          <w:szCs w:val="20"/>
          <w:color w:val="auto"/>
        </w:rPr>
      </w:pPr>
    </w:p>
    <w:p>
      <w:pPr>
        <w:ind w:left="263" w:right="100" w:hanging="263"/>
        <w:spacing w:after="0" w:line="248" w:lineRule="auto"/>
        <w:tabs>
          <w:tab w:leader="none" w:pos="263" w:val="left"/>
        </w:tabs>
        <w:numPr>
          <w:ilvl w:val="0"/>
          <w:numId w:val="54"/>
        </w:numPr>
        <w:rPr>
          <w:rFonts w:ascii="Arial" w:cs="Arial" w:eastAsia="Arial" w:hAnsi="Arial"/>
          <w:sz w:val="12"/>
          <w:szCs w:val="12"/>
          <w:b w:val="1"/>
          <w:bCs w:val="1"/>
          <w:color w:val="205BA8"/>
        </w:rPr>
      </w:pPr>
      <w:r>
        <w:rPr>
          <w:rFonts w:ascii="Arial" w:cs="Arial" w:eastAsia="Arial" w:hAnsi="Arial"/>
          <w:sz w:val="12"/>
          <w:szCs w:val="12"/>
          <w:color w:val="auto"/>
        </w:rPr>
        <w:t>Includes (i) 102,200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(ii) 3,000 shares of common stock held by Mr. Sing’s spouse; (iii) 4,500 shares of common stock held by Mr. Sing’s spouse as custodian for the benefit of their son; (iv) 10,000 shares of common stock held in a trust for benefit of Mr. Sing’s son; and</w:t>
      </w:r>
    </w:p>
    <w:p>
      <w:pPr>
        <w:spacing w:after="0" w:line="1" w:lineRule="exact"/>
        <w:rPr>
          <w:rFonts w:ascii="Arial" w:cs="Arial" w:eastAsia="Arial" w:hAnsi="Arial"/>
          <w:sz w:val="12"/>
          <w:szCs w:val="12"/>
          <w:b w:val="1"/>
          <w:bCs w:val="1"/>
          <w:color w:val="205BA8"/>
        </w:rPr>
      </w:pPr>
    </w:p>
    <w:p>
      <w:pPr>
        <w:ind w:left="443" w:hanging="183"/>
        <w:spacing w:after="0"/>
        <w:tabs>
          <w:tab w:leader="none" w:pos="443" w:val="left"/>
        </w:tabs>
        <w:numPr>
          <w:ilvl w:val="1"/>
          <w:numId w:val="54"/>
        </w:numPr>
        <w:rPr>
          <w:rFonts w:ascii="Arial" w:cs="Arial" w:eastAsia="Arial" w:hAnsi="Arial"/>
          <w:sz w:val="13"/>
          <w:szCs w:val="13"/>
          <w:color w:val="auto"/>
        </w:rPr>
      </w:pPr>
      <w:r>
        <w:rPr>
          <w:rFonts w:ascii="Arial" w:cs="Arial" w:eastAsia="Arial" w:hAnsi="Arial"/>
          <w:sz w:val="13"/>
          <w:szCs w:val="13"/>
          <w:color w:val="auto"/>
        </w:rPr>
        <w:t>145 shares of common stock issuable upon settlement of RSUs that are releasable within sixty days after April 17, 2019 upon termination of service.</w:t>
      </w:r>
    </w:p>
    <w:p>
      <w:pPr>
        <w:spacing w:after="0" w:line="84" w:lineRule="exact"/>
        <w:rPr>
          <w:rFonts w:ascii="Arial" w:cs="Arial" w:eastAsia="Arial" w:hAnsi="Arial"/>
          <w:sz w:val="13"/>
          <w:szCs w:val="13"/>
          <w:color w:val="auto"/>
        </w:rPr>
      </w:pPr>
    </w:p>
    <w:p>
      <w:pPr>
        <w:ind w:left="263" w:right="160" w:hanging="263"/>
        <w:spacing w:after="0" w:line="234" w:lineRule="auto"/>
        <w:tabs>
          <w:tab w:leader="none" w:pos="263" w:val="left"/>
        </w:tabs>
        <w:numPr>
          <w:ilvl w:val="0"/>
          <w:numId w:val="54"/>
        </w:numPr>
        <w:rPr>
          <w:rFonts w:ascii="Arial" w:cs="Arial" w:eastAsia="Arial" w:hAnsi="Arial"/>
          <w:sz w:val="13"/>
          <w:szCs w:val="13"/>
          <w:b w:val="1"/>
          <w:bCs w:val="1"/>
          <w:color w:val="205BA8"/>
        </w:rPr>
      </w:pPr>
      <w:r>
        <w:rPr>
          <w:rFonts w:ascii="Arial" w:cs="Arial" w:eastAsia="Arial" w:hAnsi="Arial"/>
          <w:sz w:val="13"/>
          <w:szCs w:val="13"/>
          <w:color w:val="auto"/>
        </w:rPr>
        <w:t>Includes (i) 71,479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79" w:lineRule="exact"/>
        <w:rPr>
          <w:rFonts w:ascii="Arial" w:cs="Arial" w:eastAsia="Arial" w:hAnsi="Arial"/>
          <w:sz w:val="13"/>
          <w:szCs w:val="13"/>
          <w:b w:val="1"/>
          <w:bCs w:val="1"/>
          <w:color w:val="205BA8"/>
        </w:rPr>
      </w:pPr>
    </w:p>
    <w:p>
      <w:pPr>
        <w:ind w:left="263" w:right="140" w:hanging="263"/>
        <w:spacing w:after="0" w:line="248" w:lineRule="auto"/>
        <w:tabs>
          <w:tab w:leader="none" w:pos="263" w:val="left"/>
        </w:tabs>
        <w:numPr>
          <w:ilvl w:val="0"/>
          <w:numId w:val="54"/>
        </w:numPr>
        <w:rPr>
          <w:rFonts w:ascii="Arial" w:cs="Arial" w:eastAsia="Arial" w:hAnsi="Arial"/>
          <w:sz w:val="12"/>
          <w:szCs w:val="12"/>
          <w:b w:val="1"/>
          <w:bCs w:val="1"/>
          <w:color w:val="205BA8"/>
        </w:rPr>
      </w:pPr>
      <w:r>
        <w:rPr>
          <w:rFonts w:ascii="Arial" w:cs="Arial" w:eastAsia="Arial" w:hAnsi="Arial"/>
          <w:sz w:val="12"/>
          <w:szCs w:val="12"/>
          <w:color w:val="auto"/>
        </w:rPr>
        <w:t>Includes (i) 130,793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(ii) 12,500 shares of restricted stock which vest on December 12, 2023; and</w:t>
      </w:r>
    </w:p>
    <w:p>
      <w:pPr>
        <w:ind w:left="463" w:hanging="203"/>
        <w:spacing w:after="0"/>
        <w:tabs>
          <w:tab w:leader="none" w:pos="463" w:val="left"/>
        </w:tabs>
        <w:numPr>
          <w:ilvl w:val="1"/>
          <w:numId w:val="55"/>
        </w:numPr>
        <w:rPr>
          <w:rFonts w:ascii="Arial" w:cs="Arial" w:eastAsia="Arial" w:hAnsi="Arial"/>
          <w:sz w:val="13"/>
          <w:szCs w:val="13"/>
          <w:color w:val="auto"/>
        </w:rPr>
      </w:pPr>
      <w:r>
        <w:rPr>
          <w:rFonts w:ascii="Arial" w:cs="Arial" w:eastAsia="Arial" w:hAnsi="Arial"/>
          <w:sz w:val="13"/>
          <w:szCs w:val="13"/>
          <w:color w:val="auto"/>
        </w:rPr>
        <w:t>167 shares of common stock held in an account under the Company’s 401(k) Savings Plan.</w:t>
      </w:r>
    </w:p>
    <w:p>
      <w:pPr>
        <w:spacing w:after="0" w:line="84" w:lineRule="exact"/>
        <w:rPr>
          <w:rFonts w:ascii="Arial" w:cs="Arial" w:eastAsia="Arial" w:hAnsi="Arial"/>
          <w:sz w:val="13"/>
          <w:szCs w:val="13"/>
          <w:color w:val="auto"/>
        </w:rPr>
      </w:pPr>
    </w:p>
    <w:p>
      <w:pPr>
        <w:ind w:left="263" w:right="160" w:hanging="263"/>
        <w:spacing w:after="0" w:line="234" w:lineRule="auto"/>
        <w:tabs>
          <w:tab w:leader="none" w:pos="263" w:val="left"/>
        </w:tabs>
        <w:numPr>
          <w:ilvl w:val="0"/>
          <w:numId w:val="56"/>
        </w:numPr>
        <w:rPr>
          <w:rFonts w:ascii="Arial" w:cs="Arial" w:eastAsia="Arial" w:hAnsi="Arial"/>
          <w:sz w:val="13"/>
          <w:szCs w:val="13"/>
          <w:b w:val="1"/>
          <w:bCs w:val="1"/>
          <w:color w:val="205BA8"/>
        </w:rPr>
      </w:pPr>
      <w:r>
        <w:rPr>
          <w:rFonts w:ascii="Arial" w:cs="Arial" w:eastAsia="Arial" w:hAnsi="Arial"/>
          <w:sz w:val="13"/>
          <w:szCs w:val="13"/>
          <w:color w:val="auto"/>
        </w:rPr>
        <w:t>Includes (i) 342,814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and (ii) 1,537 shares of common stock held in an account under the Company’s 401(k) Savings Plan.</w:t>
      </w:r>
    </w:p>
    <w:p>
      <w:pPr>
        <w:spacing w:after="0" w:line="79" w:lineRule="exact"/>
        <w:rPr>
          <w:rFonts w:ascii="Arial" w:cs="Arial" w:eastAsia="Arial" w:hAnsi="Arial"/>
          <w:sz w:val="13"/>
          <w:szCs w:val="13"/>
          <w:b w:val="1"/>
          <w:bCs w:val="1"/>
          <w:color w:val="205BA8"/>
        </w:rPr>
      </w:pPr>
    </w:p>
    <w:p>
      <w:pPr>
        <w:ind w:left="263" w:right="40" w:hanging="263"/>
        <w:spacing w:after="0" w:line="236" w:lineRule="auto"/>
        <w:tabs>
          <w:tab w:leader="none" w:pos="263" w:val="left"/>
        </w:tabs>
        <w:numPr>
          <w:ilvl w:val="0"/>
          <w:numId w:val="56"/>
        </w:numPr>
        <w:rPr>
          <w:rFonts w:ascii="Arial" w:cs="Arial" w:eastAsia="Arial" w:hAnsi="Arial"/>
          <w:sz w:val="13"/>
          <w:szCs w:val="13"/>
          <w:b w:val="1"/>
          <w:bCs w:val="1"/>
          <w:color w:val="205BA8"/>
        </w:rPr>
      </w:pPr>
      <w:r>
        <w:rPr>
          <w:rFonts w:ascii="Arial" w:cs="Arial" w:eastAsia="Arial" w:hAnsi="Arial"/>
          <w:sz w:val="13"/>
          <w:szCs w:val="13"/>
          <w:color w:val="auto"/>
        </w:rPr>
        <w:t>Consists of (i) 16,042 shares of common stock purchasable upon exercise of options granted pursuant to the Regeneron Pharmaceuticals, Inc. 2014 Long-Term Incentive Plan or the Amended and Restated Regeneron Pharmaceuticals, Inc. 2014 Long-Term Incentive Plan that are exercisable or become so within sixty days after April 17, 2019; and (ii) 145 shares of common stock issuable upon settlement of RSUs that are releasable within sixty days after April 17, 2019 upon termination of service.</w:t>
      </w:r>
    </w:p>
    <w:p>
      <w:pPr>
        <w:spacing w:after="0" w:line="78" w:lineRule="exact"/>
        <w:rPr>
          <w:rFonts w:ascii="Arial" w:cs="Arial" w:eastAsia="Arial" w:hAnsi="Arial"/>
          <w:sz w:val="13"/>
          <w:szCs w:val="13"/>
          <w:b w:val="1"/>
          <w:bCs w:val="1"/>
          <w:color w:val="205BA8"/>
        </w:rPr>
      </w:pPr>
    </w:p>
    <w:p>
      <w:pPr>
        <w:ind w:left="263" w:right="40" w:hanging="263"/>
        <w:spacing w:after="0" w:line="233" w:lineRule="auto"/>
        <w:tabs>
          <w:tab w:leader="none" w:pos="263" w:val="left"/>
        </w:tabs>
        <w:numPr>
          <w:ilvl w:val="0"/>
          <w:numId w:val="56"/>
        </w:numPr>
        <w:rPr>
          <w:rFonts w:ascii="Arial" w:cs="Arial" w:eastAsia="Arial" w:hAnsi="Arial"/>
          <w:sz w:val="13"/>
          <w:szCs w:val="13"/>
          <w:b w:val="1"/>
          <w:bCs w:val="1"/>
          <w:color w:val="205BA8"/>
        </w:rPr>
      </w:pPr>
      <w:r>
        <w:rPr>
          <w:rFonts w:ascii="Arial" w:cs="Arial" w:eastAsia="Arial" w:hAnsi="Arial"/>
          <w:sz w:val="13"/>
          <w:szCs w:val="13"/>
          <w:color w:val="auto"/>
        </w:rPr>
        <w:t>Includes (i) 6,849,878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17, 2019; (ii) 30,000 shares of unvested restricted stock; (iii) 1,305 shares of common stock issuable upon settlement of RSUs that are releasable within sixty days after April 17, 2019; and (iv) 23,040 shares of common stock held in an account under the Company’s 401(k) Savings Plan.</w:t>
      </w:r>
    </w:p>
    <w:p>
      <w:pPr>
        <w:spacing w:after="0" w:line="79" w:lineRule="exact"/>
        <w:rPr>
          <w:rFonts w:ascii="Arial" w:cs="Arial" w:eastAsia="Arial" w:hAnsi="Arial"/>
          <w:sz w:val="13"/>
          <w:szCs w:val="13"/>
          <w:b w:val="1"/>
          <w:bCs w:val="1"/>
          <w:color w:val="205BA8"/>
        </w:rPr>
      </w:pPr>
    </w:p>
    <w:p>
      <w:pPr>
        <w:ind w:left="263" w:hanging="263"/>
        <w:spacing w:after="0"/>
        <w:tabs>
          <w:tab w:leader="none" w:pos="263" w:val="left"/>
        </w:tabs>
        <w:numPr>
          <w:ilvl w:val="0"/>
          <w:numId w:val="56"/>
        </w:numPr>
        <w:rPr>
          <w:rFonts w:ascii="Arial" w:cs="Arial" w:eastAsia="Arial" w:hAnsi="Arial"/>
          <w:sz w:val="13"/>
          <w:szCs w:val="13"/>
          <w:b w:val="1"/>
          <w:bCs w:val="1"/>
          <w:color w:val="205BA8"/>
        </w:rPr>
      </w:pPr>
      <w:r>
        <w:rPr>
          <w:rFonts w:ascii="Arial" w:cs="Arial" w:eastAsia="Arial" w:hAnsi="Arial"/>
          <w:sz w:val="13"/>
          <w:szCs w:val="13"/>
          <w:color w:val="auto"/>
        </w:rPr>
        <w:t>Represents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66001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351" w:lineRule="exact"/>
        <w:rPr>
          <w:sz w:val="20"/>
          <w:szCs w:val="20"/>
          <w:color w:val="auto"/>
        </w:rPr>
      </w:pPr>
    </w:p>
    <w:p>
      <w:pPr>
        <w:ind w:left="3"/>
        <w:spacing w:after="0" w:line="297" w:lineRule="auto"/>
        <w:rPr>
          <w:sz w:val="20"/>
          <w:szCs w:val="20"/>
          <w:color w:val="auto"/>
        </w:rPr>
      </w:pPr>
      <w:r>
        <w:rPr>
          <w:rFonts w:ascii="Arial" w:cs="Arial" w:eastAsia="Arial" w:hAnsi="Arial"/>
          <w:sz w:val="25"/>
          <w:szCs w:val="25"/>
          <w:b w:val="1"/>
          <w:bCs w:val="1"/>
          <w:color w:val="D61C5A"/>
        </w:rPr>
        <w:t>SHAREHOLDER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-94615</wp:posOffset>
            </wp:positionV>
            <wp:extent cx="717550" cy="825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423" w:space="600"/>
            <w:col w:w="7380"/>
          </w:cols>
          <w:pgMar w:left="757" w:top="396" w:right="739" w:bottom="1440" w:gutter="0" w:footer="0" w:header="0"/>
          <w:type w:val="continuous"/>
        </w:sectPr>
      </w:pPr>
    </w:p>
    <w:bookmarkStart w:id="63" w:name="page64"/>
    <w:bookmarkEnd w:id="63"/>
    <w:p>
      <w:pPr>
        <w:jc w:val="right"/>
        <w:ind w:right="1200"/>
        <w:spacing w:after="0"/>
        <w:rPr>
          <w:sz w:val="20"/>
          <w:szCs w:val="20"/>
          <w:color w:val="auto"/>
        </w:rPr>
      </w:pPr>
      <w:r>
        <w:rPr>
          <w:rFonts w:ascii="Arial" w:cs="Arial" w:eastAsia="Arial" w:hAnsi="Arial"/>
          <w:sz w:val="35"/>
          <w:szCs w:val="35"/>
          <w:b w:val="1"/>
          <w:bCs w:val="1"/>
          <w:color w:val="205BA8"/>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t>COMPENSATION-RELATED</w:t>
      </w:r>
    </w:p>
    <w:p>
      <w:pPr>
        <w:spacing w:after="0" w:line="44" w:lineRule="exact"/>
        <w:rPr>
          <w:sz w:val="20"/>
          <w:szCs w:val="20"/>
          <w:color w:val="auto"/>
        </w:rPr>
      </w:pPr>
    </w:p>
    <w:p>
      <w:pPr>
        <w:jc w:val="right"/>
        <w:ind w:right="1200"/>
        <w:spacing w:after="0"/>
        <w:rPr>
          <w:sz w:val="20"/>
          <w:szCs w:val="20"/>
          <w:color w:val="auto"/>
        </w:rPr>
      </w:pPr>
      <w:r>
        <w:rPr>
          <w:rFonts w:ascii="Arial" w:cs="Arial" w:eastAsia="Arial" w:hAnsi="Arial"/>
          <w:sz w:val="35"/>
          <w:szCs w:val="35"/>
          <w:b w:val="1"/>
          <w:bCs w:val="1"/>
          <w:color w:val="205BA8"/>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982980</wp:posOffset>
            </wp:positionV>
            <wp:extent cx="66001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spacing w:after="0"/>
        <w:tabs>
          <w:tab w:leader="none" w:pos="3520" w:val="left"/>
          <w:tab w:leader="none" w:pos="6820" w:val="left"/>
          <w:tab w:leader="none" w:pos="7360" w:val="left"/>
          <w:tab w:leader="none" w:pos="10660" w:val="left"/>
        </w:tabs>
        <w:rPr>
          <w:rFonts w:ascii="Arial" w:cs="Arial" w:eastAsia="Arial" w:hAnsi="Arial"/>
          <w:sz w:val="21"/>
          <w:szCs w:val="21"/>
          <w:b w:val="1"/>
          <w:bCs w:val="1"/>
          <w:u w:val="single" w:color="auto"/>
          <w:color w:val="0000EE"/>
        </w:rPr>
      </w:pPr>
      <w:r>
        <w:rPr>
          <w:rFonts w:ascii="Arial" w:cs="Arial" w:eastAsia="Arial" w:hAnsi="Arial"/>
          <w:sz w:val="21"/>
          <w:szCs w:val="21"/>
          <w:b w:val="1"/>
          <w:bCs w:val="1"/>
          <w:color w:val="D61C5A"/>
        </w:rPr>
        <w:t>TABLE OF CONTENTS</w:t>
      </w:r>
      <w:r>
        <w:rPr>
          <w:sz w:val="20"/>
          <w:szCs w:val="20"/>
          <w:color w:val="auto"/>
        </w:rPr>
        <w:tab/>
      </w:r>
      <w:r>
        <w:rPr>
          <w:rFonts w:ascii="Arial" w:cs="Arial" w:eastAsia="Arial" w:hAnsi="Arial"/>
          <w:sz w:val="21"/>
          <w:szCs w:val="21"/>
          <w:b w:val="1"/>
          <w:bCs w:val="1"/>
          <w:u w:val="single" w:color="auto"/>
          <w:color w:val="0000EE"/>
        </w:rPr>
        <w:t>INTRODUCTION</w:t>
      </w:r>
      <w:r>
        <w:rPr>
          <w:sz w:val="20"/>
          <w:szCs w:val="20"/>
          <w:color w:val="auto"/>
        </w:rPr>
        <w:tab/>
      </w:r>
      <w:r>
        <w:rPr>
          <w:rFonts w:ascii="Arial" w:cs="Arial" w:eastAsia="Arial" w:hAnsi="Arial"/>
          <w:sz w:val="21"/>
          <w:szCs w:val="21"/>
          <w:b w:val="1"/>
          <w:bCs w:val="1"/>
          <w:color w:val="205BA8"/>
        </w:rPr>
        <w:t>52</w:t>
      </w:r>
      <w:r>
        <w:rPr>
          <w:sz w:val="20"/>
          <w:szCs w:val="20"/>
          <w:color w:val="auto"/>
        </w:rPr>
        <w:tab/>
      </w:r>
      <w:hyperlink w:anchor="page91">
        <w:r>
          <w:rPr>
            <w:rFonts w:ascii="Arial" w:cs="Arial" w:eastAsia="Arial" w:hAnsi="Arial"/>
            <w:sz w:val="21"/>
            <w:szCs w:val="21"/>
            <w:b w:val="1"/>
            <w:bCs w:val="1"/>
            <w:u w:val="single" w:color="auto"/>
            <w:color w:val="0000EE"/>
          </w:rPr>
          <w:t>COMPENSATION DASHBOARD</w:t>
        </w:r>
      </w:hyperlink>
      <w:r>
        <w:rPr>
          <w:rFonts w:ascii="Arial" w:cs="Arial" w:eastAsia="Arial" w:hAnsi="Arial"/>
          <w:sz w:val="21"/>
          <w:szCs w:val="21"/>
          <w:b w:val="1"/>
          <w:bCs w:val="1"/>
          <w:u w:val="single" w:color="auto"/>
          <w:color w:val="0000EE"/>
        </w:rPr>
        <w:tab/>
      </w:r>
      <w:r>
        <w:rPr>
          <w:rFonts w:ascii="Arial" w:cs="Arial" w:eastAsia="Arial" w:hAnsi="Arial"/>
          <w:sz w:val="19"/>
          <w:szCs w:val="19"/>
          <w:b w:val="1"/>
          <w:bCs w:val="1"/>
          <w:u w:val="single" w:color="auto"/>
          <w:color w:val="205BA8"/>
        </w:rPr>
        <w:t>78</w:t>
      </w:r>
    </w:p>
    <w:p>
      <w:pPr>
        <w:sectPr>
          <w:pgSz w:w="11900" w:h="16838" w:orient="portrait"/>
          <w:cols w:equalWidth="0" w:num="1">
            <w:col w:w="11420"/>
          </w:cols>
          <w:pgMar w:left="240" w:top="1432" w:right="239" w:bottom="1440" w:gutter="0" w:footer="0" w:header="0"/>
        </w:sectPr>
      </w:pPr>
    </w:p>
    <w:p>
      <w:pPr>
        <w:spacing w:after="0" w:line="99" w:lineRule="exact"/>
        <w:rPr>
          <w:sz w:val="20"/>
          <w:szCs w:val="20"/>
          <w:color w:val="auto"/>
        </w:rPr>
      </w:pPr>
    </w:p>
    <w:p>
      <w:pPr>
        <w:ind w:left="3700"/>
        <w:spacing w:after="0"/>
        <w:tabs>
          <w:tab w:leader="none" w:pos="6900" w:val="left"/>
        </w:tabs>
        <w:rPr>
          <w:rFonts w:ascii="Arial" w:cs="Arial" w:eastAsia="Arial" w:hAnsi="Arial"/>
          <w:sz w:val="13"/>
          <w:szCs w:val="13"/>
          <w:b w:val="1"/>
          <w:bCs w:val="1"/>
          <w:color w:val="0000EE"/>
        </w:rPr>
      </w:pPr>
      <w:hyperlink w:anchor="page65">
        <w:r>
          <w:rPr>
            <w:rFonts w:ascii="Arial" w:cs="Arial" w:eastAsia="Arial" w:hAnsi="Arial"/>
            <w:sz w:val="13"/>
            <w:szCs w:val="13"/>
            <w:b w:val="1"/>
            <w:bCs w:val="1"/>
            <w:u w:val="single" w:color="auto"/>
            <w:color w:val="0000EE"/>
          </w:rPr>
          <w:t>Regeneron’s Overall Approach to Compensation</w:t>
        </w:r>
      </w:hyperlink>
      <w:r>
        <w:rPr>
          <w:rFonts w:ascii="Arial" w:cs="Arial" w:eastAsia="Arial" w:hAnsi="Arial"/>
          <w:sz w:val="13"/>
          <w:szCs w:val="13"/>
          <w:b w:val="1"/>
          <w:bCs w:val="1"/>
          <w:color w:val="0000EE"/>
        </w:rPr>
        <w:tab/>
      </w:r>
      <w:r>
        <w:rPr>
          <w:rFonts w:ascii="Arial" w:cs="Arial" w:eastAsia="Arial" w:hAnsi="Arial"/>
          <w:sz w:val="12"/>
          <w:szCs w:val="12"/>
          <w:b w:val="1"/>
          <w:bCs w:val="1"/>
          <w:color w:val="0000EE"/>
        </w:rPr>
        <w:t>52</w:t>
      </w:r>
    </w:p>
    <w:p>
      <w:pPr>
        <w:spacing w:after="0" w:line="106" w:lineRule="exact"/>
        <w:rPr>
          <w:sz w:val="20"/>
          <w:szCs w:val="20"/>
          <w:color w:val="auto"/>
        </w:rPr>
      </w:pPr>
    </w:p>
    <w:tbl>
      <w:tblPr>
        <w:tblLayout w:type="fixed"/>
        <w:tblInd w:w="3540" w:type="dxa"/>
        <w:tblCellMar>
          <w:top w:w="0" w:type="dxa"/>
          <w:left w:w="0" w:type="dxa"/>
          <w:bottom w:w="0" w:type="dxa"/>
          <w:right w:w="0" w:type="dxa"/>
        </w:tblCellMar>
      </w:tblPr>
      <w:tr>
        <w:trPr>
          <w:trHeight w:val="241"/>
        </w:trPr>
        <w:tc>
          <w:tcPr>
            <w:tcW w:w="3260" w:type="dxa"/>
            <w:vAlign w:val="bottom"/>
            <w:gridSpan w:val="35"/>
          </w:tcPr>
          <w:p>
            <w:pPr>
              <w:spacing w:after="0"/>
              <w:rPr>
                <w:rFonts w:ascii="Arial" w:cs="Arial" w:eastAsia="Arial" w:hAnsi="Arial"/>
                <w:sz w:val="21"/>
                <w:szCs w:val="21"/>
                <w:b w:val="1"/>
                <w:bCs w:val="1"/>
                <w:color w:val="0000EE"/>
              </w:rPr>
            </w:pPr>
            <w:hyperlink w:anchor="page72">
              <w:r>
                <w:rPr>
                  <w:rFonts w:ascii="Arial" w:cs="Arial" w:eastAsia="Arial" w:hAnsi="Arial"/>
                  <w:sz w:val="21"/>
                  <w:szCs w:val="21"/>
                  <w:b w:val="1"/>
                  <w:bCs w:val="1"/>
                  <w:color w:val="0000EE"/>
                </w:rPr>
                <w:t>COMPENSATION</w:t>
              </w:r>
            </w:hyperlink>
          </w:p>
        </w:tc>
        <w:tc>
          <w:tcPr>
            <w:tcW w:w="260" w:type="dxa"/>
            <w:vAlign w:val="bottom"/>
            <w:vMerge w:val="restart"/>
          </w:tcPr>
          <w:p>
            <w:pPr>
              <w:jc w:val="right"/>
              <w:spacing w:after="0"/>
              <w:rPr>
                <w:sz w:val="20"/>
                <w:szCs w:val="20"/>
                <w:color w:val="auto"/>
              </w:rPr>
            </w:pPr>
            <w:r>
              <w:rPr>
                <w:rFonts w:ascii="Arial" w:cs="Arial" w:eastAsia="Arial" w:hAnsi="Arial"/>
                <w:sz w:val="21"/>
                <w:szCs w:val="21"/>
                <w:b w:val="1"/>
                <w:bCs w:val="1"/>
                <w:color w:val="205BA8"/>
              </w:rPr>
              <w:t>59</w:t>
            </w:r>
          </w:p>
        </w:tc>
        <w:tc>
          <w:tcPr>
            <w:tcW w:w="0" w:type="dxa"/>
            <w:vAlign w:val="bottom"/>
          </w:tcPr>
          <w:p>
            <w:pPr>
              <w:spacing w:after="0"/>
              <w:rPr>
                <w:sz w:val="1"/>
                <w:szCs w:val="1"/>
                <w:color w:val="auto"/>
              </w:rPr>
            </w:pPr>
          </w:p>
        </w:tc>
      </w:tr>
      <w:tr>
        <w:trPr>
          <w:trHeight w:val="214"/>
        </w:trPr>
        <w:tc>
          <w:tcPr>
            <w:tcW w:w="1680" w:type="dxa"/>
            <w:vAlign w:val="bottom"/>
            <w:tcBorders>
              <w:top w:val="single" w:sz="8" w:color="0000EE"/>
            </w:tcBorders>
            <w:gridSpan w:val="15"/>
          </w:tcPr>
          <w:p>
            <w:pPr>
              <w:jc w:val="right"/>
              <w:ind w:right="180"/>
              <w:spacing w:after="0" w:line="214" w:lineRule="exact"/>
              <w:rPr>
                <w:rFonts w:ascii="Arial" w:cs="Arial" w:eastAsia="Arial" w:hAnsi="Arial"/>
                <w:sz w:val="21"/>
                <w:szCs w:val="21"/>
                <w:b w:val="1"/>
                <w:bCs w:val="1"/>
                <w:color w:val="0000EE"/>
                <w:w w:val="97"/>
              </w:rPr>
            </w:pPr>
            <w:hyperlink w:anchor="page72">
              <w:r>
                <w:rPr>
                  <w:rFonts w:ascii="Arial" w:cs="Arial" w:eastAsia="Arial" w:hAnsi="Arial"/>
                  <w:sz w:val="21"/>
                  <w:szCs w:val="21"/>
                  <w:b w:val="1"/>
                  <w:bCs w:val="1"/>
                  <w:color w:val="0000EE"/>
                  <w:w w:val="97"/>
                </w:rPr>
                <w:t>DISCUSSION &amp;</w:t>
              </w:r>
            </w:hyperlink>
          </w:p>
        </w:tc>
        <w:tc>
          <w:tcPr>
            <w:tcW w:w="1580" w:type="dxa"/>
            <w:vAlign w:val="bottom"/>
            <w:gridSpan w:val="20"/>
          </w:tcPr>
          <w:p>
            <w:pPr>
              <w:jc w:val="center"/>
              <w:ind w:right="680"/>
              <w:spacing w:after="0" w:line="214" w:lineRule="exact"/>
              <w:rPr>
                <w:rFonts w:ascii="Arial" w:cs="Arial" w:eastAsia="Arial" w:hAnsi="Arial"/>
                <w:sz w:val="21"/>
                <w:szCs w:val="21"/>
                <w:b w:val="1"/>
                <w:bCs w:val="1"/>
                <w:color w:val="0000EE"/>
                <w:w w:val="84"/>
              </w:rPr>
            </w:pPr>
            <w:hyperlink w:anchor="page72">
              <w:r>
                <w:rPr>
                  <w:rFonts w:ascii="Arial" w:cs="Arial" w:eastAsia="Arial" w:hAnsi="Arial"/>
                  <w:sz w:val="21"/>
                  <w:szCs w:val="21"/>
                  <w:b w:val="1"/>
                  <w:bCs w:val="1"/>
                  <w:color w:val="0000EE"/>
                  <w:w w:val="84"/>
                </w:rPr>
                <w:t>ANALYSIS</w:t>
              </w:r>
            </w:hyperlink>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60" w:type="dxa"/>
            <w:vAlign w:val="bottom"/>
          </w:tcPr>
          <w:p>
            <w:pPr>
              <w:spacing w:after="0"/>
              <w:rPr>
                <w:sz w:val="20"/>
                <w:szCs w:val="20"/>
                <w:color w:val="auto"/>
              </w:rPr>
            </w:pPr>
          </w:p>
        </w:tc>
        <w:tc>
          <w:tcPr>
            <w:tcW w:w="2880" w:type="dxa"/>
            <w:vAlign w:val="bottom"/>
            <w:tcBorders>
              <w:bottom w:val="single" w:sz="8" w:color="0000EE"/>
            </w:tcBorders>
            <w:gridSpan w:val="30"/>
          </w:tcPr>
          <w:p>
            <w:pPr>
              <w:spacing w:after="0"/>
              <w:rPr>
                <w:sz w:val="20"/>
                <w:szCs w:val="20"/>
                <w:color w:val="auto"/>
              </w:rPr>
            </w:pPr>
            <w:r>
              <w:rPr>
                <w:rFonts w:ascii="Arial" w:cs="Arial" w:eastAsia="Arial" w:hAnsi="Arial"/>
                <w:sz w:val="13"/>
                <w:szCs w:val="13"/>
                <w:b w:val="1"/>
                <w:bCs w:val="1"/>
                <w:color w:val="0000EE"/>
                <w:w w:val="99"/>
              </w:rPr>
              <w:t>Our Compensation Philosophy and Objectives</w:t>
            </w:r>
          </w:p>
        </w:tc>
        <w:tc>
          <w:tcPr>
            <w:tcW w:w="220" w:type="dxa"/>
            <w:vAlign w:val="bottom"/>
            <w:gridSpan w:val="4"/>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Borders>
              <w:bottom w:val="single" w:sz="8" w:color="0000EE"/>
            </w:tcBorders>
            <w:gridSpan w:val="28"/>
          </w:tcPr>
          <w:p>
            <w:pPr>
              <w:spacing w:after="0"/>
              <w:rPr>
                <w:rFonts w:ascii="Arial" w:cs="Arial" w:eastAsia="Arial" w:hAnsi="Arial"/>
                <w:sz w:val="13"/>
                <w:szCs w:val="13"/>
                <w:color w:val="0000EE"/>
                <w:w w:val="99"/>
              </w:rPr>
            </w:pPr>
            <w:hyperlink w:anchor="page72">
              <w:r>
                <w:rPr>
                  <w:rFonts w:ascii="Arial" w:cs="Arial" w:eastAsia="Arial" w:hAnsi="Arial"/>
                  <w:sz w:val="13"/>
                  <w:szCs w:val="13"/>
                  <w:color w:val="0000EE"/>
                  <w:w w:val="99"/>
                </w:rPr>
                <w:t>Driving Innovation and Balancing Dilution</w:t>
              </w:r>
            </w:hyperlink>
          </w:p>
        </w:tc>
        <w:tc>
          <w:tcPr>
            <w:tcW w:w="540" w:type="dxa"/>
            <w:vAlign w:val="bottom"/>
            <w:gridSpan w:val="5"/>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Borders>
              <w:bottom w:val="single" w:sz="8" w:color="0000EE"/>
            </w:tcBorders>
            <w:gridSpan w:val="25"/>
          </w:tcPr>
          <w:p>
            <w:pPr>
              <w:spacing w:after="0"/>
              <w:rPr>
                <w:rFonts w:ascii="Arial" w:cs="Arial" w:eastAsia="Arial" w:hAnsi="Arial"/>
                <w:sz w:val="13"/>
                <w:szCs w:val="13"/>
                <w:color w:val="0000EE"/>
              </w:rPr>
            </w:pPr>
            <w:hyperlink w:anchor="page73">
              <w:r>
                <w:rPr>
                  <w:rFonts w:ascii="Arial" w:cs="Arial" w:eastAsia="Arial" w:hAnsi="Arial"/>
                  <w:sz w:val="13"/>
                  <w:szCs w:val="13"/>
                  <w:color w:val="0000EE"/>
                </w:rPr>
                <w:t>Compensation Program Simplicity</w:t>
              </w:r>
            </w:hyperlink>
          </w:p>
        </w:tc>
        <w:tc>
          <w:tcPr>
            <w:tcW w:w="940" w:type="dxa"/>
            <w:vAlign w:val="bottom"/>
            <w:gridSpan w:val="8"/>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Borders>
              <w:bottom w:val="single" w:sz="8" w:color="0000EE"/>
            </w:tcBorders>
            <w:gridSpan w:val="23"/>
          </w:tcPr>
          <w:p>
            <w:pPr>
              <w:spacing w:after="0"/>
              <w:rPr>
                <w:rFonts w:ascii="Arial" w:cs="Arial" w:eastAsia="Arial" w:hAnsi="Arial"/>
                <w:sz w:val="13"/>
                <w:szCs w:val="13"/>
                <w:color w:val="0000EE"/>
                <w:w w:val="99"/>
              </w:rPr>
            </w:pPr>
            <w:hyperlink w:anchor="page74">
              <w:r>
                <w:rPr>
                  <w:rFonts w:ascii="Arial" w:cs="Arial" w:eastAsia="Arial" w:hAnsi="Arial"/>
                  <w:sz w:val="13"/>
                  <w:szCs w:val="13"/>
                  <w:color w:val="0000EE"/>
                  <w:w w:val="99"/>
                </w:rPr>
                <w:t>At-Risk, Performance-Based Pay</w:t>
              </w:r>
            </w:hyperlink>
          </w:p>
        </w:tc>
        <w:tc>
          <w:tcPr>
            <w:tcW w:w="1000" w:type="dxa"/>
            <w:vAlign w:val="bottom"/>
            <w:gridSpan w:val="10"/>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74">
              <w:r>
                <w:rPr>
                  <w:rFonts w:ascii="Arial" w:cs="Arial" w:eastAsia="Arial" w:hAnsi="Arial"/>
                  <w:sz w:val="13"/>
                  <w:szCs w:val="13"/>
                  <w:color w:val="0000EE"/>
                </w:rPr>
                <w:t>Year-over-Year Consistency</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74">
              <w:r>
                <w:rPr>
                  <w:rFonts w:ascii="Arial" w:cs="Arial" w:eastAsia="Arial" w:hAnsi="Arial"/>
                  <w:sz w:val="13"/>
                  <w:szCs w:val="13"/>
                  <w:color w:val="0000EE"/>
                </w:rPr>
                <w:t>Linking Compensation to Long-Term Performance</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Borders>
              <w:top w:val="single" w:sz="8" w:color="0000EE"/>
            </w:tcBorders>
            <w:gridSpan w:val="32"/>
          </w:tcPr>
          <w:p>
            <w:pPr>
              <w:spacing w:after="0"/>
              <w:rPr>
                <w:rFonts w:ascii="Arial" w:cs="Arial" w:eastAsia="Arial" w:hAnsi="Arial"/>
                <w:sz w:val="13"/>
                <w:szCs w:val="13"/>
                <w:color w:val="0000EE"/>
              </w:rPr>
            </w:pPr>
            <w:hyperlink w:anchor="page75">
              <w:r>
                <w:rPr>
                  <w:rFonts w:ascii="Arial" w:cs="Arial" w:eastAsia="Arial" w:hAnsi="Arial"/>
                  <w:sz w:val="13"/>
                  <w:szCs w:val="13"/>
                  <w:color w:val="0000EE"/>
                </w:rPr>
                <w:t>Use of Independent Expertise and Comparative</w:t>
              </w:r>
            </w:hyperlink>
          </w:p>
        </w:tc>
        <w:tc>
          <w:tcPr>
            <w:tcW w:w="6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23"/>
        </w:trPr>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0000EE"/>
              <w:bottom w:val="single" w:sz="8" w:color="0000EE"/>
            </w:tcBorders>
            <w:gridSpan w:val="2"/>
          </w:tcPr>
          <w:p>
            <w:pPr>
              <w:spacing w:after="0" w:line="123" w:lineRule="exact"/>
              <w:rPr>
                <w:rFonts w:ascii="Arial" w:cs="Arial" w:eastAsia="Arial" w:hAnsi="Arial"/>
                <w:sz w:val="13"/>
                <w:szCs w:val="13"/>
                <w:color w:val="0000EE"/>
                <w:w w:val="94"/>
              </w:rPr>
            </w:pPr>
            <w:hyperlink w:anchor="page75">
              <w:r>
                <w:rPr>
                  <w:rFonts w:ascii="Arial" w:cs="Arial" w:eastAsia="Arial" w:hAnsi="Arial"/>
                  <w:sz w:val="13"/>
                  <w:szCs w:val="13"/>
                  <w:color w:val="0000EE"/>
                  <w:w w:val="94"/>
                </w:rPr>
                <w:t>Data</w:t>
              </w:r>
            </w:hyperlink>
          </w:p>
        </w:tc>
        <w:tc>
          <w:tcPr>
            <w:tcW w:w="2460" w:type="dxa"/>
            <w:vAlign w:val="bottom"/>
            <w:tcBorders>
              <w:top w:val="single" w:sz="8" w:color="0000EE"/>
            </w:tcBorders>
            <w:gridSpan w:val="28"/>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75">
              <w:r>
                <w:rPr>
                  <w:rFonts w:ascii="Arial" w:cs="Arial" w:eastAsia="Arial" w:hAnsi="Arial"/>
                  <w:sz w:val="13"/>
                  <w:szCs w:val="13"/>
                  <w:color w:val="0000EE"/>
                </w:rPr>
                <w:t>Measurable Results</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tcPr>
          <w:p>
            <w:pPr>
              <w:spacing w:after="0"/>
              <w:rPr>
                <w:sz w:val="18"/>
                <w:szCs w:val="18"/>
                <w:color w:val="auto"/>
              </w:rPr>
            </w:pPr>
          </w:p>
        </w:tc>
        <w:tc>
          <w:tcPr>
            <w:tcW w:w="3100" w:type="dxa"/>
            <w:vAlign w:val="bottom"/>
            <w:gridSpan w:val="34"/>
          </w:tcPr>
          <w:p>
            <w:pPr>
              <w:spacing w:after="0"/>
              <w:rPr>
                <w:rFonts w:ascii="Arial" w:cs="Arial" w:eastAsia="Arial" w:hAnsi="Arial"/>
                <w:sz w:val="13"/>
                <w:szCs w:val="13"/>
                <w:b w:val="1"/>
                <w:bCs w:val="1"/>
                <w:color w:val="0000EE"/>
              </w:rPr>
            </w:pPr>
            <w:hyperlink w:anchor="page76">
              <w:r>
                <w:rPr>
                  <w:rFonts w:ascii="Arial" w:cs="Arial" w:eastAsia="Arial" w:hAnsi="Arial"/>
                  <w:sz w:val="13"/>
                  <w:szCs w:val="13"/>
                  <w:b w:val="1"/>
                  <w:bCs w:val="1"/>
                  <w:color w:val="0000EE"/>
                </w:rPr>
                <w:t>Components of Executive Pay:</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60" w:type="dxa"/>
            <w:vAlign w:val="bottom"/>
          </w:tcPr>
          <w:p>
            <w:pPr>
              <w:spacing w:after="0"/>
              <w:rPr>
                <w:sz w:val="10"/>
                <w:szCs w:val="10"/>
                <w:color w:val="auto"/>
              </w:rPr>
            </w:pPr>
          </w:p>
        </w:tc>
        <w:tc>
          <w:tcPr>
            <w:tcW w:w="1960" w:type="dxa"/>
            <w:vAlign w:val="bottom"/>
            <w:tcBorders>
              <w:top w:val="single" w:sz="8" w:color="0000EE"/>
              <w:bottom w:val="single" w:sz="8" w:color="0000EE"/>
            </w:tcBorders>
            <w:gridSpan w:val="19"/>
          </w:tcPr>
          <w:p>
            <w:pPr>
              <w:spacing w:after="0" w:line="123" w:lineRule="exact"/>
              <w:rPr>
                <w:rFonts w:ascii="Arial" w:cs="Arial" w:eastAsia="Arial" w:hAnsi="Arial"/>
                <w:sz w:val="13"/>
                <w:szCs w:val="13"/>
                <w:b w:val="1"/>
                <w:bCs w:val="1"/>
                <w:color w:val="0000EE"/>
              </w:rPr>
            </w:pPr>
            <w:hyperlink w:anchor="page76">
              <w:r>
                <w:rPr>
                  <w:rFonts w:ascii="Arial" w:cs="Arial" w:eastAsia="Arial" w:hAnsi="Arial"/>
                  <w:sz w:val="13"/>
                  <w:szCs w:val="13"/>
                  <w:b w:val="1"/>
                  <w:bCs w:val="1"/>
                  <w:color w:val="0000EE"/>
                </w:rPr>
                <w:t>What We Pay and Why We Pay</w:t>
              </w:r>
            </w:hyperlink>
          </w:p>
        </w:tc>
        <w:tc>
          <w:tcPr>
            <w:tcW w:w="60" w:type="dxa"/>
            <w:vAlign w:val="bottom"/>
            <w:tcBorders>
              <w:bottom w:val="single" w:sz="8" w:color="0000EE"/>
            </w:tcBorders>
            <w:gridSpan w:val="2"/>
          </w:tcPr>
          <w:p>
            <w:pPr>
              <w:jc w:val="center"/>
              <w:spacing w:after="0" w:line="123" w:lineRule="exact"/>
              <w:rPr>
                <w:rFonts w:ascii="Arial" w:cs="Arial" w:eastAsia="Arial" w:hAnsi="Arial"/>
                <w:sz w:val="13"/>
                <w:szCs w:val="13"/>
                <w:b w:val="1"/>
                <w:bCs w:val="1"/>
                <w:color w:val="0000EE"/>
                <w:w w:val="74"/>
              </w:rPr>
            </w:pPr>
            <w:hyperlink w:anchor="page76">
              <w:r>
                <w:rPr>
                  <w:rFonts w:ascii="Arial" w:cs="Arial" w:eastAsia="Arial" w:hAnsi="Arial"/>
                  <w:sz w:val="13"/>
                  <w:szCs w:val="13"/>
                  <w:b w:val="1"/>
                  <w:bCs w:val="1"/>
                  <w:color w:val="0000EE"/>
                  <w:w w:val="74"/>
                </w:rPr>
                <w:t>It</w:t>
              </w:r>
            </w:hyperlink>
          </w:p>
        </w:tc>
        <w:tc>
          <w:tcPr>
            <w:tcW w:w="1080" w:type="dxa"/>
            <w:vAlign w:val="bottom"/>
            <w:gridSpan w:val="13"/>
          </w:tcPr>
          <w:p>
            <w:pPr>
              <w:spacing w:after="0"/>
              <w:rPr>
                <w:sz w:val="10"/>
                <w:szCs w:val="10"/>
                <w:color w:val="auto"/>
              </w:rPr>
            </w:pPr>
          </w:p>
        </w:tc>
        <w:tc>
          <w:tcPr>
            <w:tcW w:w="26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77">
              <w:r>
                <w:rPr>
                  <w:rFonts w:ascii="Arial" w:cs="Arial" w:eastAsia="Arial" w:hAnsi="Arial"/>
                  <w:sz w:val="13"/>
                  <w:szCs w:val="13"/>
                  <w:color w:val="0000EE"/>
                </w:rPr>
                <w:t>Base Salary</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77">
              <w:r>
                <w:rPr>
                  <w:rFonts w:ascii="Arial" w:cs="Arial" w:eastAsia="Arial" w:hAnsi="Arial"/>
                  <w:sz w:val="13"/>
                  <w:szCs w:val="13"/>
                  <w:color w:val="0000EE"/>
                </w:rPr>
                <w:t>Annual Cash Incentive</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0000EE"/>
              <w:bottom w:val="single" w:sz="8" w:color="0000EE"/>
            </w:tcBorders>
            <w:gridSpan w:val="11"/>
          </w:tcPr>
          <w:p>
            <w:pPr>
              <w:spacing w:after="0"/>
              <w:rPr>
                <w:rFonts w:ascii="Arial" w:cs="Arial" w:eastAsia="Arial" w:hAnsi="Arial"/>
                <w:sz w:val="13"/>
                <w:szCs w:val="13"/>
                <w:color w:val="0000EE"/>
                <w:w w:val="99"/>
              </w:rPr>
            </w:pPr>
            <w:hyperlink w:anchor="page80">
              <w:r>
                <w:rPr>
                  <w:rFonts w:ascii="Arial" w:cs="Arial" w:eastAsia="Arial" w:hAnsi="Arial"/>
                  <w:sz w:val="13"/>
                  <w:szCs w:val="13"/>
                  <w:color w:val="0000EE"/>
                  <w:w w:val="99"/>
                </w:rPr>
                <w:t>Annual Equity Awards</w:t>
              </w:r>
            </w:hyperlink>
          </w:p>
        </w:tc>
        <w:tc>
          <w:tcPr>
            <w:tcW w:w="20" w:type="dxa"/>
            <w:vAlign w:val="bottom"/>
            <w:tcBorders>
              <w:top w:val="single" w:sz="8" w:color="0000EE"/>
            </w:tcBorders>
          </w:tcPr>
          <w:p>
            <w:pPr>
              <w:spacing w:after="0"/>
              <w:rPr>
                <w:sz w:val="18"/>
                <w:szCs w:val="18"/>
                <w:color w:val="auto"/>
              </w:rPr>
            </w:pPr>
          </w:p>
        </w:tc>
        <w:tc>
          <w:tcPr>
            <w:tcW w:w="1620" w:type="dxa"/>
            <w:vAlign w:val="bottom"/>
            <w:gridSpan w:val="21"/>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Borders>
              <w:bottom w:val="single" w:sz="8" w:color="0000EE"/>
            </w:tcBorders>
            <w:gridSpan w:val="24"/>
          </w:tcPr>
          <w:p>
            <w:pPr>
              <w:spacing w:after="0"/>
              <w:rPr>
                <w:rFonts w:ascii="Arial" w:cs="Arial" w:eastAsia="Arial" w:hAnsi="Arial"/>
                <w:sz w:val="13"/>
                <w:szCs w:val="13"/>
                <w:color w:val="0000EE"/>
                <w:w w:val="99"/>
              </w:rPr>
            </w:pPr>
            <w:hyperlink w:anchor="page82">
              <w:r>
                <w:rPr>
                  <w:rFonts w:ascii="Arial" w:cs="Arial" w:eastAsia="Arial" w:hAnsi="Arial"/>
                  <w:sz w:val="13"/>
                  <w:szCs w:val="13"/>
                  <w:color w:val="0000EE"/>
                  <w:w w:val="99"/>
                </w:rPr>
                <w:t>Perquisites and Personal Benefits</w:t>
              </w:r>
            </w:hyperlink>
          </w:p>
        </w:tc>
        <w:tc>
          <w:tcPr>
            <w:tcW w:w="960" w:type="dxa"/>
            <w:vAlign w:val="bottom"/>
            <w:gridSpan w:val="9"/>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bottom w:val="single" w:sz="8" w:color="0000EE"/>
            </w:tcBorders>
            <w:gridSpan w:val="19"/>
          </w:tcPr>
          <w:p>
            <w:pPr>
              <w:spacing w:after="0"/>
              <w:rPr>
                <w:rFonts w:ascii="Arial" w:cs="Arial" w:eastAsia="Arial" w:hAnsi="Arial"/>
                <w:sz w:val="13"/>
                <w:szCs w:val="13"/>
                <w:color w:val="0000EE"/>
              </w:rPr>
            </w:pPr>
            <w:hyperlink w:anchor="page82">
              <w:r>
                <w:rPr>
                  <w:rFonts w:ascii="Arial" w:cs="Arial" w:eastAsia="Arial" w:hAnsi="Arial"/>
                  <w:sz w:val="13"/>
                  <w:szCs w:val="13"/>
                  <w:color w:val="0000EE"/>
                </w:rPr>
                <w:t>Potential Severance Payments</w:t>
              </w:r>
            </w:hyperlink>
          </w:p>
        </w:tc>
        <w:tc>
          <w:tcPr>
            <w:tcW w:w="1120" w:type="dxa"/>
            <w:vAlign w:val="bottom"/>
            <w:gridSpan w:val="14"/>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100" w:type="dxa"/>
            <w:vAlign w:val="bottom"/>
            <w:gridSpan w:val="34"/>
          </w:tcPr>
          <w:p>
            <w:pPr>
              <w:spacing w:after="0"/>
              <w:rPr>
                <w:rFonts w:ascii="Arial" w:cs="Arial" w:eastAsia="Arial" w:hAnsi="Arial"/>
                <w:sz w:val="13"/>
                <w:szCs w:val="13"/>
                <w:b w:val="1"/>
                <w:bCs w:val="1"/>
                <w:color w:val="0000EE"/>
              </w:rPr>
            </w:pPr>
            <w:hyperlink w:anchor="page83">
              <w:r>
                <w:rPr>
                  <w:rFonts w:ascii="Arial" w:cs="Arial" w:eastAsia="Arial" w:hAnsi="Arial"/>
                  <w:sz w:val="13"/>
                  <w:szCs w:val="13"/>
                  <w:b w:val="1"/>
                  <w:bCs w:val="1"/>
                  <w:color w:val="0000EE"/>
                </w:rPr>
                <w:t>Our Compensation Processes</w:t>
              </w:r>
            </w:hyperlink>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70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gridSpan w:val="17"/>
          </w:tcPr>
          <w:p>
            <w:pPr>
              <w:spacing w:after="0"/>
              <w:rPr>
                <w:rFonts w:ascii="Arial" w:cs="Arial" w:eastAsia="Arial" w:hAnsi="Arial"/>
                <w:sz w:val="13"/>
                <w:szCs w:val="13"/>
                <w:color w:val="0000EE"/>
              </w:rPr>
            </w:pPr>
            <w:hyperlink w:anchor="page83">
              <w:r>
                <w:rPr>
                  <w:rFonts w:ascii="Arial" w:cs="Arial" w:eastAsia="Arial" w:hAnsi="Arial"/>
                  <w:sz w:val="13"/>
                  <w:szCs w:val="13"/>
                  <w:color w:val="0000EE"/>
                </w:rPr>
                <w:t>Compensation Committee</w:t>
              </w:r>
            </w:hyperlink>
          </w:p>
        </w:tc>
        <w:tc>
          <w:tcPr>
            <w:tcW w:w="1240" w:type="dxa"/>
            <w:vAlign w:val="bottom"/>
            <w:gridSpan w:val="16"/>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0000EE"/>
              <w:bottom w:val="single" w:sz="8" w:color="0000EE"/>
            </w:tcBorders>
            <w:gridSpan w:val="6"/>
          </w:tcPr>
          <w:p>
            <w:pPr>
              <w:spacing w:after="0"/>
              <w:rPr>
                <w:rFonts w:ascii="Arial" w:cs="Arial" w:eastAsia="Arial" w:hAnsi="Arial"/>
                <w:sz w:val="13"/>
                <w:szCs w:val="13"/>
                <w:color w:val="0000EE"/>
                <w:w w:val="97"/>
              </w:rPr>
            </w:pPr>
            <w:hyperlink w:anchor="page83">
              <w:r>
                <w:rPr>
                  <w:rFonts w:ascii="Arial" w:cs="Arial" w:eastAsia="Arial" w:hAnsi="Arial"/>
                  <w:sz w:val="13"/>
                  <w:szCs w:val="13"/>
                  <w:color w:val="0000EE"/>
                  <w:w w:val="97"/>
                </w:rPr>
                <w:t>Management</w:t>
              </w:r>
            </w:hyperlink>
          </w:p>
        </w:tc>
        <w:tc>
          <w:tcPr>
            <w:tcW w:w="740" w:type="dxa"/>
            <w:vAlign w:val="bottom"/>
            <w:tcBorders>
              <w:top w:val="single" w:sz="8" w:color="0000EE"/>
            </w:tcBorders>
            <w:gridSpan w:val="9"/>
          </w:tcPr>
          <w:p>
            <w:pPr>
              <w:spacing w:after="0"/>
              <w:rPr>
                <w:sz w:val="18"/>
                <w:szCs w:val="18"/>
                <w:color w:val="auto"/>
              </w:rPr>
            </w:pPr>
          </w:p>
        </w:tc>
        <w:tc>
          <w:tcPr>
            <w:tcW w:w="1420" w:type="dxa"/>
            <w:vAlign w:val="bottom"/>
            <w:gridSpan w:val="18"/>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Borders>
              <w:bottom w:val="single" w:sz="8" w:color="0000EE"/>
            </w:tcBorders>
            <w:gridSpan w:val="21"/>
          </w:tcPr>
          <w:p>
            <w:pPr>
              <w:spacing w:after="0"/>
              <w:rPr>
                <w:rFonts w:ascii="Arial" w:cs="Arial" w:eastAsia="Arial" w:hAnsi="Arial"/>
                <w:sz w:val="13"/>
                <w:szCs w:val="13"/>
                <w:color w:val="0000EE"/>
                <w:w w:val="99"/>
              </w:rPr>
            </w:pPr>
            <w:hyperlink w:anchor="page84">
              <w:r>
                <w:rPr>
                  <w:rFonts w:ascii="Arial" w:cs="Arial" w:eastAsia="Arial" w:hAnsi="Arial"/>
                  <w:sz w:val="13"/>
                  <w:szCs w:val="13"/>
                  <w:color w:val="0000EE"/>
                  <w:w w:val="99"/>
                </w:rPr>
                <w:t>Shareholder Input and Outreach</w:t>
              </w:r>
            </w:hyperlink>
          </w:p>
        </w:tc>
        <w:tc>
          <w:tcPr>
            <w:tcW w:w="1060" w:type="dxa"/>
            <w:vAlign w:val="bottom"/>
            <w:gridSpan w:val="1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0000EE"/>
            </w:tcBorders>
            <w:gridSpan w:val="9"/>
          </w:tcPr>
          <w:p>
            <w:pPr>
              <w:jc w:val="right"/>
              <w:spacing w:after="0"/>
              <w:rPr>
                <w:rFonts w:ascii="Arial" w:cs="Arial" w:eastAsia="Arial" w:hAnsi="Arial"/>
                <w:sz w:val="13"/>
                <w:szCs w:val="13"/>
                <w:color w:val="0000EE"/>
                <w:w w:val="97"/>
              </w:rPr>
            </w:pPr>
            <w:hyperlink w:anchor="page84">
              <w:r>
                <w:rPr>
                  <w:rFonts w:ascii="Arial" w:cs="Arial" w:eastAsia="Arial" w:hAnsi="Arial"/>
                  <w:sz w:val="13"/>
                  <w:szCs w:val="13"/>
                  <w:color w:val="0000EE"/>
                  <w:w w:val="97"/>
                </w:rPr>
                <w:t>Say-on-Pay Vote</w:t>
              </w:r>
            </w:hyperlink>
          </w:p>
        </w:tc>
        <w:tc>
          <w:tcPr>
            <w:tcW w:w="1760" w:type="dxa"/>
            <w:vAlign w:val="bottom"/>
            <w:gridSpan w:val="23"/>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bottom w:val="single" w:sz="8" w:color="0000EE"/>
            </w:tcBorders>
            <w:gridSpan w:val="13"/>
          </w:tcPr>
          <w:p>
            <w:pPr>
              <w:spacing w:after="0"/>
              <w:rPr>
                <w:rFonts w:ascii="Arial" w:cs="Arial" w:eastAsia="Arial" w:hAnsi="Arial"/>
                <w:sz w:val="13"/>
                <w:szCs w:val="13"/>
                <w:color w:val="0000EE"/>
                <w:w w:val="98"/>
              </w:rPr>
            </w:pPr>
            <w:hyperlink w:anchor="page84">
              <w:r>
                <w:rPr>
                  <w:rFonts w:ascii="Arial" w:cs="Arial" w:eastAsia="Arial" w:hAnsi="Arial"/>
                  <w:sz w:val="13"/>
                  <w:szCs w:val="13"/>
                  <w:color w:val="0000EE"/>
                  <w:w w:val="98"/>
                </w:rPr>
                <w:t>Shareholder Outreach</w:t>
              </w:r>
            </w:hyperlink>
          </w:p>
        </w:tc>
        <w:tc>
          <w:tcPr>
            <w:tcW w:w="1460" w:type="dxa"/>
            <w:vAlign w:val="bottom"/>
            <w:gridSpan w:val="19"/>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Borders>
              <w:bottom w:val="single" w:sz="8" w:color="0000EE"/>
            </w:tcBorders>
            <w:gridSpan w:val="27"/>
          </w:tcPr>
          <w:p>
            <w:pPr>
              <w:spacing w:after="0"/>
              <w:rPr>
                <w:rFonts w:ascii="Arial" w:cs="Arial" w:eastAsia="Arial" w:hAnsi="Arial"/>
                <w:sz w:val="13"/>
                <w:szCs w:val="13"/>
                <w:color w:val="0000EE"/>
                <w:w w:val="99"/>
              </w:rPr>
            </w:pPr>
            <w:hyperlink w:anchor="page86">
              <w:r>
                <w:rPr>
                  <w:rFonts w:ascii="Arial" w:cs="Arial" w:eastAsia="Arial" w:hAnsi="Arial"/>
                  <w:sz w:val="13"/>
                  <w:szCs w:val="13"/>
                  <w:color w:val="0000EE"/>
                  <w:w w:val="99"/>
                </w:rPr>
                <w:t>Independent Compensation Consultant</w:t>
              </w:r>
            </w:hyperlink>
          </w:p>
        </w:tc>
        <w:tc>
          <w:tcPr>
            <w:tcW w:w="660" w:type="dxa"/>
            <w:vAlign w:val="bottom"/>
            <w:gridSpan w:val="6"/>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86">
              <w:r>
                <w:rPr>
                  <w:rFonts w:ascii="Arial" w:cs="Arial" w:eastAsia="Arial" w:hAnsi="Arial"/>
                  <w:sz w:val="13"/>
                  <w:szCs w:val="13"/>
                  <w:color w:val="0000EE"/>
                </w:rPr>
                <w:t>Peer Data</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14"/>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0000EE"/>
            </w:tcBorders>
            <w:gridSpan w:val="8"/>
          </w:tcPr>
          <w:p>
            <w:pPr>
              <w:spacing w:after="0"/>
              <w:rPr>
                <w:rFonts w:ascii="Arial" w:cs="Arial" w:eastAsia="Arial" w:hAnsi="Arial"/>
                <w:sz w:val="13"/>
                <w:szCs w:val="13"/>
                <w:color w:val="0000EE"/>
                <w:w w:val="98"/>
              </w:rPr>
            </w:pPr>
            <w:hyperlink w:anchor="page88">
              <w:r>
                <w:rPr>
                  <w:rFonts w:ascii="Arial" w:cs="Arial" w:eastAsia="Arial" w:hAnsi="Arial"/>
                  <w:sz w:val="13"/>
                  <w:szCs w:val="13"/>
                  <w:color w:val="0000EE"/>
                  <w:w w:val="98"/>
                </w:rPr>
                <w:t>Risk Assessment</w:t>
              </w:r>
            </w:hyperlink>
          </w:p>
        </w:tc>
        <w:tc>
          <w:tcPr>
            <w:tcW w:w="1920" w:type="dxa"/>
            <w:vAlign w:val="bottom"/>
            <w:gridSpan w:val="25"/>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3"/>
          </w:tcPr>
          <w:p>
            <w:pPr>
              <w:spacing w:after="0"/>
              <w:rPr>
                <w:rFonts w:ascii="Arial" w:cs="Arial" w:eastAsia="Arial" w:hAnsi="Arial"/>
                <w:sz w:val="13"/>
                <w:szCs w:val="13"/>
                <w:color w:val="0000EE"/>
              </w:rPr>
            </w:pPr>
            <w:hyperlink w:anchor="page88">
              <w:r>
                <w:rPr>
                  <w:rFonts w:ascii="Arial" w:cs="Arial" w:eastAsia="Arial" w:hAnsi="Arial"/>
                  <w:sz w:val="13"/>
                  <w:szCs w:val="13"/>
                  <w:color w:val="0000EE"/>
                </w:rPr>
                <w:t>Tax Implications</w:t>
              </w:r>
            </w:hyperlink>
          </w:p>
        </w:tc>
        <w:tc>
          <w:tcPr>
            <w:tcW w:w="2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80" w:type="dxa"/>
            <w:vAlign w:val="bottom"/>
            <w:gridSpan w:val="15"/>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tcPr>
          <w:p>
            <w:pPr>
              <w:spacing w:after="0"/>
              <w:rPr>
                <w:sz w:val="18"/>
                <w:szCs w:val="18"/>
                <w:color w:val="auto"/>
              </w:rPr>
            </w:pPr>
          </w:p>
        </w:tc>
        <w:tc>
          <w:tcPr>
            <w:tcW w:w="2080" w:type="dxa"/>
            <w:vAlign w:val="bottom"/>
            <w:tcBorders>
              <w:bottom w:val="single" w:sz="8" w:color="0000EE"/>
            </w:tcBorders>
            <w:gridSpan w:val="23"/>
          </w:tcPr>
          <w:p>
            <w:pPr>
              <w:spacing w:after="0"/>
              <w:rPr>
                <w:rFonts w:ascii="Arial" w:cs="Arial" w:eastAsia="Arial" w:hAnsi="Arial"/>
                <w:sz w:val="13"/>
                <w:szCs w:val="13"/>
                <w:b w:val="1"/>
                <w:bCs w:val="1"/>
                <w:color w:val="0000EE"/>
                <w:w w:val="99"/>
              </w:rPr>
            </w:pPr>
            <w:hyperlink w:anchor="page90">
              <w:r>
                <w:rPr>
                  <w:rFonts w:ascii="Arial" w:cs="Arial" w:eastAsia="Arial" w:hAnsi="Arial"/>
                  <w:sz w:val="13"/>
                  <w:szCs w:val="13"/>
                  <w:b w:val="1"/>
                  <w:bCs w:val="1"/>
                  <w:color w:val="0000EE"/>
                  <w:w w:val="99"/>
                </w:rPr>
                <w:t>Compensation Committee Report</w:t>
              </w:r>
            </w:hyperlink>
          </w:p>
        </w:tc>
        <w:tc>
          <w:tcPr>
            <w:tcW w:w="1020" w:type="dxa"/>
            <w:vAlign w:val="bottom"/>
            <w:gridSpan w:val="11"/>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77</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100" w:type="dxa"/>
            <w:vAlign w:val="bottom"/>
            <w:gridSpan w:val="34"/>
          </w:tcPr>
          <w:p>
            <w:pPr>
              <w:spacing w:after="0"/>
              <w:rPr>
                <w:rFonts w:ascii="Arial" w:cs="Arial" w:eastAsia="Arial" w:hAnsi="Arial"/>
                <w:sz w:val="13"/>
                <w:szCs w:val="13"/>
                <w:b w:val="1"/>
                <w:bCs w:val="1"/>
                <w:color w:val="0000EE"/>
              </w:rPr>
            </w:pPr>
            <w:hyperlink w:anchor="page90">
              <w:r>
                <w:rPr>
                  <w:rFonts w:ascii="Arial" w:cs="Arial" w:eastAsia="Arial" w:hAnsi="Arial"/>
                  <w:sz w:val="13"/>
                  <w:szCs w:val="13"/>
                  <w:b w:val="1"/>
                  <w:bCs w:val="1"/>
                  <w:color w:val="0000EE"/>
                </w:rPr>
                <w:t>Compensation Committee Interlocks and Insider</w:t>
              </w:r>
            </w:hyperlink>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77</w:t>
            </w:r>
          </w:p>
        </w:tc>
        <w:tc>
          <w:tcPr>
            <w:tcW w:w="0" w:type="dxa"/>
            <w:vAlign w:val="bottom"/>
          </w:tcPr>
          <w:p>
            <w:pPr>
              <w:spacing w:after="0"/>
              <w:rPr>
                <w:sz w:val="1"/>
                <w:szCs w:val="1"/>
                <w:color w:val="auto"/>
              </w:rPr>
            </w:pPr>
          </w:p>
        </w:tc>
      </w:tr>
      <w:tr>
        <w:trPr>
          <w:trHeight w:val="123"/>
        </w:trPr>
        <w:tc>
          <w:tcPr>
            <w:tcW w:w="160" w:type="dxa"/>
            <w:vAlign w:val="bottom"/>
          </w:tcPr>
          <w:p>
            <w:pPr>
              <w:spacing w:after="0"/>
              <w:rPr>
                <w:sz w:val="10"/>
                <w:szCs w:val="10"/>
                <w:color w:val="auto"/>
              </w:rPr>
            </w:pPr>
          </w:p>
        </w:tc>
        <w:tc>
          <w:tcPr>
            <w:tcW w:w="800" w:type="dxa"/>
            <w:vAlign w:val="bottom"/>
            <w:tcBorders>
              <w:top w:val="single" w:sz="8" w:color="0000EE"/>
              <w:bottom w:val="single" w:sz="8" w:color="0000EE"/>
            </w:tcBorders>
            <w:gridSpan w:val="5"/>
          </w:tcPr>
          <w:p>
            <w:pPr>
              <w:spacing w:after="0" w:line="123" w:lineRule="exact"/>
              <w:rPr>
                <w:rFonts w:ascii="Arial" w:cs="Arial" w:eastAsia="Arial" w:hAnsi="Arial"/>
                <w:sz w:val="13"/>
                <w:szCs w:val="13"/>
                <w:b w:val="1"/>
                <w:bCs w:val="1"/>
                <w:color w:val="0000EE"/>
                <w:w w:val="98"/>
              </w:rPr>
            </w:pPr>
            <w:hyperlink w:anchor="page90">
              <w:r>
                <w:rPr>
                  <w:rFonts w:ascii="Arial" w:cs="Arial" w:eastAsia="Arial" w:hAnsi="Arial"/>
                  <w:sz w:val="13"/>
                  <w:szCs w:val="13"/>
                  <w:b w:val="1"/>
                  <w:bCs w:val="1"/>
                  <w:color w:val="0000EE"/>
                  <w:w w:val="98"/>
                </w:rPr>
                <w:t>Participation</w:t>
              </w:r>
            </w:hyperlink>
          </w:p>
        </w:tc>
        <w:tc>
          <w:tcPr>
            <w:tcW w:w="2200" w:type="dxa"/>
            <w:vAlign w:val="bottom"/>
            <w:tcBorders>
              <w:top w:val="single" w:sz="8" w:color="0000EE"/>
            </w:tcBorders>
            <w:gridSpan w:val="27"/>
          </w:tcPr>
          <w:p>
            <w:pPr>
              <w:spacing w:after="0"/>
              <w:rPr>
                <w:sz w:val="10"/>
                <w:szCs w:val="10"/>
                <w:color w:val="auto"/>
              </w:rPr>
            </w:pPr>
          </w:p>
        </w:tc>
        <w:tc>
          <w:tcPr>
            <w:tcW w:w="100" w:type="dxa"/>
            <w:vAlign w:val="bottom"/>
            <w:gridSpan w:val="2"/>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Borders>
              <w:bottom w:val="single" w:sz="8" w:color="0000EE"/>
            </w:tcBorders>
            <w:gridSpan w:val="13"/>
          </w:tcPr>
          <w:p>
            <w:pPr>
              <w:spacing w:after="0"/>
              <w:rPr>
                <w:rFonts w:ascii="Arial" w:cs="Arial" w:eastAsia="Arial" w:hAnsi="Arial"/>
                <w:sz w:val="13"/>
                <w:szCs w:val="13"/>
                <w:b w:val="1"/>
                <w:bCs w:val="1"/>
                <w:color w:val="0000EE"/>
                <w:w w:val="99"/>
              </w:rPr>
            </w:pPr>
            <w:hyperlink w:anchor="page91">
              <w:r>
                <w:rPr>
                  <w:rFonts w:ascii="Arial" w:cs="Arial" w:eastAsia="Arial" w:hAnsi="Arial"/>
                  <w:sz w:val="13"/>
                  <w:szCs w:val="13"/>
                  <w:b w:val="1"/>
                  <w:bCs w:val="1"/>
                  <w:color w:val="0000EE"/>
                  <w:w w:val="99"/>
                </w:rPr>
                <w:t>2018 Executive Compensation Tables</w:t>
              </w:r>
            </w:hyperlink>
          </w:p>
        </w:tc>
        <w:tc>
          <w:tcPr>
            <w:tcW w:w="800" w:type="dxa"/>
            <w:vAlign w:val="bottom"/>
            <w:gridSpan w:val="5"/>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78</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940" w:type="dxa"/>
            <w:vAlign w:val="bottom"/>
            <w:gridSpan w:val="17"/>
          </w:tcPr>
          <w:p>
            <w:pPr>
              <w:spacing w:after="0"/>
              <w:rPr>
                <w:rFonts w:ascii="Arial" w:cs="Arial" w:eastAsia="Arial" w:hAnsi="Arial"/>
                <w:sz w:val="13"/>
                <w:szCs w:val="13"/>
                <w:color w:val="0000EE"/>
              </w:rPr>
            </w:pPr>
            <w:hyperlink w:anchor="page91">
              <w:r>
                <w:rPr>
                  <w:rFonts w:ascii="Arial" w:cs="Arial" w:eastAsia="Arial" w:hAnsi="Arial"/>
                  <w:sz w:val="13"/>
                  <w:szCs w:val="13"/>
                  <w:color w:val="0000EE"/>
                </w:rPr>
                <w:t>2018 Summary Compensation Table</w:t>
              </w:r>
            </w:hyperlink>
          </w:p>
        </w:tc>
        <w:tc>
          <w:tcPr>
            <w:tcW w:w="24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040" w:type="dxa"/>
            <w:vAlign w:val="bottom"/>
            <w:tcBorders>
              <w:top w:val="single" w:sz="8" w:color="0000EE"/>
              <w:bottom w:val="single" w:sz="8" w:color="0000EE"/>
            </w:tcBorders>
            <w:gridSpan w:val="10"/>
          </w:tcPr>
          <w:p>
            <w:pPr>
              <w:spacing w:after="0"/>
              <w:rPr>
                <w:rFonts w:ascii="Arial" w:cs="Arial" w:eastAsia="Arial" w:hAnsi="Arial"/>
                <w:sz w:val="13"/>
                <w:szCs w:val="13"/>
                <w:color w:val="0000EE"/>
                <w:w w:val="99"/>
              </w:rPr>
            </w:pPr>
            <w:hyperlink w:anchor="page92">
              <w:r>
                <w:rPr>
                  <w:rFonts w:ascii="Arial" w:cs="Arial" w:eastAsia="Arial" w:hAnsi="Arial"/>
                  <w:sz w:val="13"/>
                  <w:szCs w:val="13"/>
                  <w:color w:val="0000EE"/>
                  <w:w w:val="99"/>
                </w:rPr>
                <w:t>2018 Grants of Plan-Based Awards</w:t>
              </w:r>
            </w:hyperlink>
          </w:p>
        </w:tc>
        <w:tc>
          <w:tcPr>
            <w:tcW w:w="60" w:type="dxa"/>
            <w:vAlign w:val="bottom"/>
            <w:tcBorders>
              <w:top w:val="single" w:sz="8" w:color="0000EE"/>
            </w:tcBorders>
          </w:tcPr>
          <w:p>
            <w:pPr>
              <w:spacing w:after="0"/>
              <w:rPr>
                <w:sz w:val="18"/>
                <w:szCs w:val="18"/>
                <w:color w:val="auto"/>
              </w:rPr>
            </w:pPr>
          </w:p>
        </w:tc>
        <w:tc>
          <w:tcPr>
            <w:tcW w:w="840" w:type="dxa"/>
            <w:vAlign w:val="bottom"/>
            <w:gridSpan w:val="6"/>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940" w:type="dxa"/>
            <w:vAlign w:val="bottom"/>
            <w:gridSpan w:val="17"/>
          </w:tcPr>
          <w:p>
            <w:pPr>
              <w:spacing w:after="0"/>
              <w:rPr>
                <w:rFonts w:ascii="Arial" w:cs="Arial" w:eastAsia="Arial" w:hAnsi="Arial"/>
                <w:sz w:val="13"/>
                <w:szCs w:val="13"/>
                <w:color w:val="0000EE"/>
              </w:rPr>
            </w:pPr>
            <w:hyperlink w:anchor="page93">
              <w:r>
                <w:rPr>
                  <w:rFonts w:ascii="Arial" w:cs="Arial" w:eastAsia="Arial" w:hAnsi="Arial"/>
                  <w:sz w:val="13"/>
                  <w:szCs w:val="13"/>
                  <w:color w:val="0000EE"/>
                </w:rPr>
                <w:t>Outstanding Equity Awards at 2018 Fiscal Year-</w:t>
              </w:r>
            </w:hyperlink>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23" w:lineRule="exact"/>
              <w:rPr>
                <w:rFonts w:ascii="Arial" w:cs="Arial" w:eastAsia="Arial" w:hAnsi="Arial"/>
                <w:sz w:val="13"/>
                <w:szCs w:val="13"/>
                <w:color w:val="0000EE"/>
                <w:w w:val="86"/>
              </w:rPr>
            </w:pPr>
            <w:hyperlink w:anchor="page93">
              <w:r>
                <w:rPr>
                  <w:rFonts w:ascii="Arial" w:cs="Arial" w:eastAsia="Arial" w:hAnsi="Arial"/>
                  <w:sz w:val="13"/>
                  <w:szCs w:val="13"/>
                  <w:color w:val="0000EE"/>
                  <w:w w:val="86"/>
                </w:rPr>
                <w:t>End</w:t>
              </w:r>
            </w:hyperlink>
          </w:p>
        </w:tc>
        <w:tc>
          <w:tcPr>
            <w:tcW w:w="2520" w:type="dxa"/>
            <w:vAlign w:val="bottom"/>
            <w:tcBorders>
              <w:top w:val="single" w:sz="8" w:color="0000EE"/>
            </w:tcBorders>
            <w:gridSpan w:val="14"/>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380" w:type="dxa"/>
            <w:vAlign w:val="bottom"/>
            <w:tcBorders>
              <w:bottom w:val="single" w:sz="8" w:color="0000EE"/>
            </w:tcBorders>
            <w:gridSpan w:val="14"/>
          </w:tcPr>
          <w:p>
            <w:pPr>
              <w:spacing w:after="0"/>
              <w:rPr>
                <w:rFonts w:ascii="Arial" w:cs="Arial" w:eastAsia="Arial" w:hAnsi="Arial"/>
                <w:sz w:val="13"/>
                <w:szCs w:val="13"/>
                <w:color w:val="0000EE"/>
                <w:w w:val="99"/>
              </w:rPr>
            </w:pPr>
            <w:hyperlink w:anchor="page95">
              <w:r>
                <w:rPr>
                  <w:rFonts w:ascii="Arial" w:cs="Arial" w:eastAsia="Arial" w:hAnsi="Arial"/>
                  <w:sz w:val="13"/>
                  <w:szCs w:val="13"/>
                  <w:color w:val="0000EE"/>
                  <w:w w:val="99"/>
                </w:rPr>
                <w:t>2018 Option Exercises and Stock Vested</w:t>
              </w:r>
            </w:hyperlink>
          </w:p>
        </w:tc>
        <w:tc>
          <w:tcPr>
            <w:tcW w:w="560" w:type="dxa"/>
            <w:vAlign w:val="bottom"/>
            <w:gridSpan w:val="3"/>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900" w:type="dxa"/>
            <w:vAlign w:val="bottom"/>
            <w:tcBorders>
              <w:bottom w:val="single" w:sz="8" w:color="0000EE"/>
            </w:tcBorders>
            <w:gridSpan w:val="6"/>
          </w:tcPr>
          <w:p>
            <w:pPr>
              <w:spacing w:after="0"/>
              <w:rPr>
                <w:rFonts w:ascii="Arial" w:cs="Arial" w:eastAsia="Arial" w:hAnsi="Arial"/>
                <w:sz w:val="13"/>
                <w:szCs w:val="13"/>
                <w:color w:val="0000EE"/>
                <w:w w:val="98"/>
              </w:rPr>
            </w:pPr>
            <w:hyperlink w:anchor="page95">
              <w:r>
                <w:rPr>
                  <w:rFonts w:ascii="Arial" w:cs="Arial" w:eastAsia="Arial" w:hAnsi="Arial"/>
                  <w:sz w:val="13"/>
                  <w:szCs w:val="13"/>
                  <w:color w:val="0000EE"/>
                  <w:w w:val="98"/>
                </w:rPr>
                <w:t>Post-Employment Compensation</w:t>
              </w:r>
            </w:hyperlink>
          </w:p>
        </w:tc>
        <w:tc>
          <w:tcPr>
            <w:tcW w:w="1040" w:type="dxa"/>
            <w:vAlign w:val="bottom"/>
            <w:gridSpan w:val="11"/>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14"/>
        </w:trPr>
        <w:tc>
          <w:tcPr>
            <w:tcW w:w="2340" w:type="dxa"/>
            <w:vAlign w:val="bottom"/>
            <w:tcBorders>
              <w:bottom w:val="single" w:sz="8" w:color="0000EE"/>
            </w:tcBorders>
            <w:gridSpan w:val="14"/>
          </w:tcPr>
          <w:p>
            <w:pPr>
              <w:spacing w:after="0"/>
              <w:rPr>
                <w:rFonts w:ascii="Arial" w:cs="Arial" w:eastAsia="Arial" w:hAnsi="Arial"/>
                <w:sz w:val="13"/>
                <w:szCs w:val="13"/>
                <w:b w:val="1"/>
                <w:bCs w:val="1"/>
                <w:color w:val="0000EE"/>
                <w:w w:val="99"/>
              </w:rPr>
            </w:pPr>
            <w:hyperlink w:anchor="page99">
              <w:r>
                <w:rPr>
                  <w:rFonts w:ascii="Arial" w:cs="Arial" w:eastAsia="Arial" w:hAnsi="Arial"/>
                  <w:sz w:val="13"/>
                  <w:szCs w:val="13"/>
                  <w:b w:val="1"/>
                  <w:bCs w:val="1"/>
                  <w:color w:val="0000EE"/>
                  <w:w w:val="99"/>
                </w:rPr>
                <w:t>Additional Compensation Information</w:t>
              </w:r>
            </w:hyperlink>
          </w:p>
        </w:tc>
        <w:tc>
          <w:tcPr>
            <w:tcW w:w="780" w:type="dxa"/>
            <w:vAlign w:val="bottom"/>
            <w:gridSpan w:val="4"/>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86</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300" w:type="dxa"/>
            <w:vAlign w:val="bottom"/>
            <w:tcBorders>
              <w:bottom w:val="single" w:sz="8" w:color="0000EE"/>
            </w:tcBorders>
            <w:gridSpan w:val="4"/>
          </w:tcPr>
          <w:p>
            <w:pPr>
              <w:spacing w:after="0"/>
              <w:rPr>
                <w:rFonts w:ascii="Arial" w:cs="Arial" w:eastAsia="Arial" w:hAnsi="Arial"/>
                <w:sz w:val="13"/>
                <w:szCs w:val="13"/>
                <w:color w:val="0000EE"/>
                <w:w w:val="98"/>
              </w:rPr>
            </w:pPr>
            <w:hyperlink w:anchor="page99">
              <w:r>
                <w:rPr>
                  <w:rFonts w:ascii="Arial" w:cs="Arial" w:eastAsia="Arial" w:hAnsi="Arial"/>
                  <w:sz w:val="13"/>
                  <w:szCs w:val="13"/>
                  <w:color w:val="0000EE"/>
                  <w:w w:val="98"/>
                </w:rPr>
                <w:t>Annual Cash Incentive</w:t>
              </w:r>
            </w:hyperlink>
          </w:p>
        </w:tc>
        <w:tc>
          <w:tcPr>
            <w:tcW w:w="1640" w:type="dxa"/>
            <w:vAlign w:val="bottom"/>
            <w:gridSpan w:val="13"/>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940" w:type="dxa"/>
            <w:vAlign w:val="bottom"/>
            <w:gridSpan w:val="17"/>
          </w:tcPr>
          <w:p>
            <w:pPr>
              <w:spacing w:after="0"/>
              <w:rPr>
                <w:rFonts w:ascii="Arial" w:cs="Arial" w:eastAsia="Arial" w:hAnsi="Arial"/>
                <w:sz w:val="13"/>
                <w:szCs w:val="13"/>
                <w:color w:val="0000EE"/>
              </w:rPr>
            </w:pPr>
            <w:hyperlink w:anchor="page100">
              <w:r>
                <w:rPr>
                  <w:rFonts w:ascii="Arial" w:cs="Arial" w:eastAsia="Arial" w:hAnsi="Arial"/>
                  <w:sz w:val="13"/>
                  <w:szCs w:val="13"/>
                  <w:color w:val="0000EE"/>
                </w:rPr>
                <w:t>Perquisites and Personal Benefits</w:t>
              </w:r>
            </w:hyperlink>
          </w:p>
        </w:tc>
        <w:tc>
          <w:tcPr>
            <w:tcW w:w="24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3"/>
                <w:szCs w:val="13"/>
                <w:color w:val="0000EE"/>
                <w:w w:val="98"/>
              </w:rPr>
            </w:pPr>
            <w:hyperlink w:anchor="page101">
              <w:r>
                <w:rPr>
                  <w:rFonts w:ascii="Arial" w:cs="Arial" w:eastAsia="Arial" w:hAnsi="Arial"/>
                  <w:sz w:val="13"/>
                  <w:szCs w:val="13"/>
                  <w:color w:val="0000EE"/>
                  <w:w w:val="98"/>
                </w:rPr>
                <w:t>Potential Severance Payments</w:t>
              </w:r>
            </w:hyperlink>
          </w:p>
        </w:tc>
        <w:tc>
          <w:tcPr>
            <w:tcW w:w="160" w:type="dxa"/>
            <w:vAlign w:val="bottom"/>
            <w:tcBorders>
              <w:top w:val="single" w:sz="8" w:color="0000EE"/>
            </w:tcBorders>
            <w:gridSpan w:val="3"/>
          </w:tcPr>
          <w:p>
            <w:pPr>
              <w:spacing w:after="0"/>
              <w:rPr>
                <w:sz w:val="18"/>
                <w:szCs w:val="18"/>
                <w:color w:val="auto"/>
              </w:rPr>
            </w:pPr>
          </w:p>
        </w:tc>
        <w:tc>
          <w:tcPr>
            <w:tcW w:w="1000" w:type="dxa"/>
            <w:vAlign w:val="bottom"/>
            <w:gridSpan w:val="9"/>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940" w:type="dxa"/>
            <w:vAlign w:val="bottom"/>
            <w:gridSpan w:val="17"/>
          </w:tcPr>
          <w:p>
            <w:pPr>
              <w:spacing w:after="0"/>
              <w:rPr>
                <w:rFonts w:ascii="Arial" w:cs="Arial" w:eastAsia="Arial" w:hAnsi="Arial"/>
                <w:sz w:val="13"/>
                <w:szCs w:val="13"/>
                <w:color w:val="0000EE"/>
              </w:rPr>
            </w:pPr>
            <w:hyperlink w:anchor="page102">
              <w:r>
                <w:rPr>
                  <w:rFonts w:ascii="Arial" w:cs="Arial" w:eastAsia="Arial" w:hAnsi="Arial"/>
                  <w:sz w:val="13"/>
                  <w:szCs w:val="13"/>
                  <w:color w:val="0000EE"/>
                </w:rPr>
                <w:t>Pay Ratio</w:t>
              </w:r>
            </w:hyperlink>
          </w:p>
        </w:tc>
        <w:tc>
          <w:tcPr>
            <w:tcW w:w="24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1920" w:type="dxa"/>
            <w:vAlign w:val="bottom"/>
            <w:tcBorders>
              <w:bottom w:val="single" w:sz="8" w:color="0000EE"/>
            </w:tcBorders>
            <w:gridSpan w:val="7"/>
          </w:tcPr>
          <w:p>
            <w:pPr>
              <w:spacing w:after="0"/>
              <w:rPr>
                <w:rFonts w:ascii="Arial" w:cs="Arial" w:eastAsia="Arial" w:hAnsi="Arial"/>
                <w:sz w:val="13"/>
                <w:szCs w:val="13"/>
                <w:color w:val="0000EE"/>
                <w:w w:val="98"/>
              </w:rPr>
            </w:pPr>
            <w:hyperlink w:anchor="page103">
              <w:r>
                <w:rPr>
                  <w:rFonts w:ascii="Arial" w:cs="Arial" w:eastAsia="Arial" w:hAnsi="Arial"/>
                  <w:sz w:val="13"/>
                  <w:szCs w:val="13"/>
                  <w:color w:val="0000EE"/>
                  <w:w w:val="98"/>
                </w:rPr>
                <w:t>Equity Compensation Information</w:t>
              </w:r>
            </w:hyperlink>
          </w:p>
        </w:tc>
        <w:tc>
          <w:tcPr>
            <w:tcW w:w="1020" w:type="dxa"/>
            <w:vAlign w:val="bottom"/>
            <w:gridSpan w:val="10"/>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Borders>
              <w:bottom w:val="single" w:sz="8" w:color="0000EE"/>
            </w:tcBorders>
            <w:gridSpan w:val="16"/>
          </w:tcPr>
          <w:p>
            <w:pPr>
              <w:spacing w:after="0"/>
              <w:rPr>
                <w:rFonts w:ascii="Arial" w:cs="Arial" w:eastAsia="Arial" w:hAnsi="Arial"/>
                <w:sz w:val="13"/>
                <w:szCs w:val="13"/>
                <w:color w:val="0000EE"/>
                <w:w w:val="96"/>
              </w:rPr>
            </w:pPr>
            <w:hyperlink w:anchor="page103">
              <w:r>
                <w:rPr>
                  <w:rFonts w:ascii="Arial" w:cs="Arial" w:eastAsia="Arial" w:hAnsi="Arial"/>
                  <w:sz w:val="13"/>
                  <w:szCs w:val="13"/>
                  <w:color w:val="0000EE"/>
                  <w:w w:val="96"/>
                </w:rPr>
                <w:t>Corporate Governance Aspects of the Amended</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16"/>
          </w:tcPr>
          <w:p>
            <w:pPr>
              <w:spacing w:after="0" w:line="123" w:lineRule="exact"/>
              <w:rPr>
                <w:rFonts w:ascii="Arial" w:cs="Arial" w:eastAsia="Arial" w:hAnsi="Arial"/>
                <w:sz w:val="13"/>
                <w:szCs w:val="13"/>
                <w:color w:val="0000EE"/>
                <w:w w:val="98"/>
              </w:rPr>
            </w:pPr>
            <w:hyperlink w:anchor="page103">
              <w:r>
                <w:rPr>
                  <w:rFonts w:ascii="Arial" w:cs="Arial" w:eastAsia="Arial" w:hAnsi="Arial"/>
                  <w:sz w:val="13"/>
                  <w:szCs w:val="13"/>
                  <w:color w:val="0000EE"/>
                  <w:w w:val="98"/>
                </w:rPr>
                <w:t>and Restated Regeneron Pharmaceuticals, Inc.</w:t>
              </w:r>
            </w:hyperlink>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Borders>
              <w:top w:val="single" w:sz="8" w:color="0000EE"/>
              <w:bottom w:val="single" w:sz="8" w:color="0000EE"/>
            </w:tcBorders>
            <w:gridSpan w:val="8"/>
          </w:tcPr>
          <w:p>
            <w:pPr>
              <w:spacing w:after="0" w:line="123" w:lineRule="exact"/>
              <w:rPr>
                <w:rFonts w:ascii="Arial" w:cs="Arial" w:eastAsia="Arial" w:hAnsi="Arial"/>
                <w:sz w:val="13"/>
                <w:szCs w:val="13"/>
                <w:color w:val="0000EE"/>
                <w:w w:val="94"/>
              </w:rPr>
            </w:pPr>
            <w:hyperlink w:anchor="page103">
              <w:r>
                <w:rPr>
                  <w:rFonts w:ascii="Arial" w:cs="Arial" w:eastAsia="Arial" w:hAnsi="Arial"/>
                  <w:sz w:val="13"/>
                  <w:szCs w:val="13"/>
                  <w:color w:val="0000EE"/>
                  <w:w w:val="94"/>
                </w:rPr>
                <w:t>2014 Long-Term Incentive Plan</w:t>
              </w:r>
            </w:hyperlink>
          </w:p>
        </w:tc>
        <w:tc>
          <w:tcPr>
            <w:tcW w:w="920" w:type="dxa"/>
            <w:vAlign w:val="bottom"/>
            <w:tcBorders>
              <w:top w:val="single" w:sz="8" w:color="0000EE"/>
            </w:tcBorders>
            <w:gridSpan w:val="7"/>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16"/>
          </w:tcPr>
          <w:p>
            <w:pPr>
              <w:spacing w:after="0"/>
              <w:rPr>
                <w:rFonts w:ascii="Arial" w:cs="Arial" w:eastAsia="Arial" w:hAnsi="Arial"/>
                <w:sz w:val="13"/>
                <w:szCs w:val="13"/>
                <w:color w:val="0000EE"/>
              </w:rPr>
            </w:pPr>
            <w:hyperlink w:anchor="page104">
              <w:r>
                <w:rPr>
                  <w:rFonts w:ascii="Arial" w:cs="Arial" w:eastAsia="Arial" w:hAnsi="Arial"/>
                  <w:sz w:val="13"/>
                  <w:szCs w:val="13"/>
                  <w:color w:val="0000EE"/>
                </w:rPr>
                <w:t>Key Equity Metrics</w:t>
              </w:r>
            </w:hyperlink>
          </w:p>
        </w:tc>
        <w:tc>
          <w:tcPr>
            <w:tcW w:w="24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16"/>
          </w:tcPr>
          <w:p>
            <w:pPr>
              <w:spacing w:after="0"/>
              <w:rPr>
                <w:rFonts w:ascii="Arial" w:cs="Arial" w:eastAsia="Arial" w:hAnsi="Arial"/>
                <w:sz w:val="13"/>
                <w:szCs w:val="13"/>
                <w:color w:val="0000EE"/>
              </w:rPr>
            </w:pPr>
            <w:hyperlink w:anchor="page104">
              <w:r>
                <w:rPr>
                  <w:rFonts w:ascii="Arial" w:cs="Arial" w:eastAsia="Arial" w:hAnsi="Arial"/>
                  <w:sz w:val="13"/>
                  <w:szCs w:val="13"/>
                  <w:color w:val="0000EE"/>
                </w:rPr>
                <w:t>Equity Compensation Plan Information</w:t>
              </w:r>
            </w:hyperlink>
          </w:p>
        </w:tc>
        <w:tc>
          <w:tcPr>
            <w:tcW w:w="24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6" w:lineRule="exact"/>
        <w:rPr>
          <w:sz w:val="20"/>
          <w:szCs w:val="20"/>
          <w:color w:val="auto"/>
        </w:rPr>
      </w:pPr>
    </w:p>
    <w:p>
      <w:pPr>
        <w:sectPr>
          <w:pgSz w:w="11900" w:h="16838" w:orient="portrait"/>
          <w:cols w:equalWidth="0" w:num="2">
            <w:col w:w="7060" w:space="480"/>
            <w:col w:w="3880"/>
          </w:cols>
          <w:pgMar w:left="240" w:top="1432" w:right="2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51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32" w:right="239" w:bottom="1440" w:gutter="0" w:footer="0" w:header="0"/>
          <w:type w:val="continuous"/>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spacing w:after="0" w:line="316" w:lineRule="exact"/>
        <w:rPr>
          <w:sz w:val="20"/>
          <w:szCs w:val="20"/>
          <w:color w:val="auto"/>
        </w:rPr>
      </w:pPr>
    </w:p>
    <w:p>
      <w:pPr>
        <w:ind w:left="623"/>
        <w:spacing w:after="0"/>
        <w:rPr>
          <w:sz w:val="20"/>
          <w:szCs w:val="20"/>
          <w:color w:val="auto"/>
        </w:rPr>
      </w:pPr>
      <w:r>
        <w:rPr>
          <w:rFonts w:ascii="Arial" w:cs="Arial" w:eastAsia="Arial" w:hAnsi="Arial"/>
          <w:sz w:val="38"/>
          <w:szCs w:val="38"/>
          <w:b w:val="1"/>
          <w:bCs w:val="1"/>
          <w:color w:val="FFFFF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912495</wp:posOffset>
            </wp:positionV>
            <wp:extent cx="66001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3"/>
          </w:cols>
          <w:pgMar w:left="757"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
        <w:spacing w:after="0" w:line="261" w:lineRule="auto"/>
        <w:rPr>
          <w:sz w:val="20"/>
          <w:szCs w:val="20"/>
          <w:color w:val="auto"/>
        </w:rPr>
      </w:pPr>
      <w:r>
        <w:rPr>
          <w:rFonts w:ascii="Arial" w:cs="Arial" w:eastAsia="Arial" w:hAnsi="Arial"/>
          <w:sz w:val="34"/>
          <w:szCs w:val="34"/>
          <w:b w:val="1"/>
          <w:bCs w:val="1"/>
          <w:color w:val="D61C5A"/>
        </w:rPr>
        <w:t>REGENERON’S OVERALL APPROACH TO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1614170</wp:posOffset>
            </wp:positionV>
            <wp:extent cx="1649730" cy="8248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49730" cy="82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3" w:right="380"/>
        <w:spacing w:after="0" w:line="238" w:lineRule="auto"/>
        <w:rPr>
          <w:sz w:val="20"/>
          <w:szCs w:val="20"/>
          <w:color w:val="auto"/>
        </w:rPr>
      </w:pPr>
      <w:r>
        <w:rPr>
          <w:rFonts w:ascii="Arial" w:cs="Arial" w:eastAsia="Arial" w:hAnsi="Arial"/>
          <w:sz w:val="19"/>
          <w:szCs w:val="19"/>
          <w:b w:val="1"/>
          <w:bCs w:val="1"/>
          <w:color w:val="205BA8"/>
        </w:rPr>
        <w:t xml:space="preserve">Last year, </w:t>
      </w:r>
      <w:r>
        <w:rPr>
          <w:rFonts w:ascii="Arial" w:cs="Arial" w:eastAsia="Arial" w:hAnsi="Arial"/>
          <w:sz w:val="19"/>
          <w:szCs w:val="19"/>
          <w:b w:val="1"/>
          <w:bCs w:val="1"/>
          <w:color w:val="D61C5A"/>
        </w:rPr>
        <w:t>over 90%</w:t>
      </w:r>
      <w:r>
        <w:rPr>
          <w:rFonts w:ascii="Arial" w:cs="Arial" w:eastAsia="Arial" w:hAnsi="Arial"/>
          <w:sz w:val="19"/>
          <w:szCs w:val="19"/>
          <w:b w:val="1"/>
          <w:bCs w:val="1"/>
          <w:color w:val="205BA8"/>
        </w:rPr>
        <w:t xml:space="preserve"> of the employee equity grants were made to our employees who were not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Our Company Mission and Business Model — Sustainable Growth through Innovation</w:t>
      </w:r>
      <w:r>
        <w:rPr>
          <w:rFonts w:ascii="Arial" w:cs="Arial" w:eastAsia="Arial" w:hAnsi="Arial"/>
          <w:sz w:val="28"/>
          <w:szCs w:val="28"/>
          <w:b w:val="1"/>
          <w:bCs w:val="1"/>
          <w:color w:val="205BA8"/>
          <w:vertAlign w:val="superscript"/>
        </w:rPr>
        <w:t>1</w:t>
      </w:r>
    </w:p>
    <w:p>
      <w:pPr>
        <w:spacing w:after="0" w:line="81" w:lineRule="exact"/>
        <w:rPr>
          <w:sz w:val="20"/>
          <w:szCs w:val="20"/>
          <w:color w:val="auto"/>
        </w:rPr>
      </w:pPr>
    </w:p>
    <w:p>
      <w:pPr>
        <w:ind w:right="120"/>
        <w:spacing w:after="0" w:line="205" w:lineRule="auto"/>
        <w:rPr>
          <w:sz w:val="20"/>
          <w:szCs w:val="20"/>
          <w:color w:val="auto"/>
        </w:rPr>
      </w:pPr>
      <w:r>
        <w:rPr>
          <w:rFonts w:ascii="Arial" w:cs="Arial" w:eastAsia="Arial" w:hAnsi="Arial"/>
          <w:sz w:val="15"/>
          <w:szCs w:val="15"/>
          <w:color w:val="auto"/>
        </w:rPr>
        <w:t>To understand the compensation of our “Named Executive Officers” or “NEOs,”</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it is important to consider our overall approach to compensation and to appreciate how closely we tie our pay practices to our mission, strategy, and business model. As a science-driven company, we have set out to create an environment where the highest-quality fundamental drug research thrives and where dedicated teams of the best and the brightest can discover, develop, and commercialize new medicines for unmet medical needs.</w:t>
      </w:r>
    </w:p>
    <w:p>
      <w:pPr>
        <w:spacing w:after="0" w:line="140" w:lineRule="exact"/>
        <w:rPr>
          <w:sz w:val="20"/>
          <w:szCs w:val="20"/>
          <w:color w:val="auto"/>
        </w:rPr>
      </w:pPr>
    </w:p>
    <w:p>
      <w:pPr>
        <w:ind w:right="100"/>
        <w:spacing w:after="0" w:line="221" w:lineRule="auto"/>
        <w:rPr>
          <w:sz w:val="20"/>
          <w:szCs w:val="20"/>
          <w:color w:val="auto"/>
        </w:rPr>
      </w:pPr>
      <w:r>
        <w:rPr>
          <w:rFonts w:ascii="Arial" w:cs="Arial" w:eastAsia="Arial" w:hAnsi="Arial"/>
          <w:sz w:val="15"/>
          <w:szCs w:val="15"/>
          <w:color w:val="auto"/>
        </w:rPr>
        <w:t xml:space="preserve">Our mission is to use the power of science to bring new medicines to patients — over and over again. Our long-term commitment to science and innovation is critical to achieve this mission. Equally important is our ability to engage </w:t>
      </w:r>
      <w:r>
        <w:rPr>
          <w:rFonts w:ascii="Arial" w:cs="Arial" w:eastAsia="Arial" w:hAnsi="Arial"/>
          <w:sz w:val="15"/>
          <w:szCs w:val="15"/>
          <w:b w:val="1"/>
          <w:bCs w:val="1"/>
          <w:color w:val="auto"/>
        </w:rPr>
        <w:t>all</w:t>
      </w:r>
      <w:r>
        <w:rPr>
          <w:rFonts w:ascii="Arial" w:cs="Arial" w:eastAsia="Arial" w:hAnsi="Arial"/>
          <w:sz w:val="15"/>
          <w:szCs w:val="15"/>
          <w:color w:val="auto"/>
        </w:rPr>
        <w:t xml:space="preserve"> of our employees in our mission and to create an ownership culture that guides our employees to operate for the long term. We have designed our compensation program with this in mind: to sustain our business model and drive our product pipeline.</w:t>
      </w:r>
    </w:p>
    <w:p>
      <w:pPr>
        <w:spacing w:after="0" w:line="141" w:lineRule="exact"/>
        <w:rPr>
          <w:sz w:val="20"/>
          <w:szCs w:val="20"/>
          <w:color w:val="auto"/>
        </w:rPr>
      </w:pPr>
    </w:p>
    <w:p>
      <w:pPr>
        <w:ind w:right="40"/>
        <w:spacing w:after="0" w:line="219" w:lineRule="auto"/>
        <w:rPr>
          <w:sz w:val="20"/>
          <w:szCs w:val="20"/>
          <w:color w:val="auto"/>
        </w:rPr>
      </w:pPr>
      <w:r>
        <w:rPr>
          <w:rFonts w:ascii="Arial" w:cs="Arial" w:eastAsia="Arial" w:hAnsi="Arial"/>
          <w:sz w:val="15"/>
          <w:szCs w:val="15"/>
          <w:color w:val="auto"/>
        </w:rPr>
        <w:t>The design and application of our compensation plans (including our reliance on stock options as a primary long-term employee incentive) have been consistent since the Company’s inception. We use stock options because we view them as inherently performance-based and aligned with our shareholders’ interests: no amount of time will make a stock option deliver any value unless the company’s stock price increases. This is why we have favored options over full-value equity awards (such as performance stock units or restricted shares), as full-value awards provide value to employees even when shareholders get nominal or negative returns. In addition, stock options reward our employees for increasing shareholder value over the entire 10-year option term, which we believe is consistent with the drug-discovery/development cycle. We also believe that the performance-based nature of stock options is enhanced for companies like Regeneron whose stock price is directly impacted by pipeline developments.</w:t>
      </w:r>
    </w:p>
    <w:p>
      <w:pPr>
        <w:spacing w:after="0" w:line="141" w:lineRule="exact"/>
        <w:rPr>
          <w:sz w:val="20"/>
          <w:szCs w:val="20"/>
          <w:color w:val="auto"/>
        </w:rPr>
      </w:pPr>
    </w:p>
    <w:p>
      <w:pPr>
        <w:ind w:right="40"/>
        <w:spacing w:after="0" w:line="220" w:lineRule="auto"/>
        <w:rPr>
          <w:sz w:val="20"/>
          <w:szCs w:val="20"/>
          <w:color w:val="auto"/>
        </w:rPr>
      </w:pPr>
      <w:r>
        <w:rPr>
          <w:rFonts w:ascii="Arial" w:cs="Arial" w:eastAsia="Arial" w:hAnsi="Arial"/>
          <w:sz w:val="15"/>
          <w:szCs w:val="15"/>
          <w:color w:val="auto"/>
        </w:rPr>
        <w:t>However, we recognize that we may need to adapt as circumstances change and, therefore, periodically assess our approach to compensation in light of our business objectives, feedback from our shareholders, and market practices. Our goal is to apply the same kind of rigor to compensation that is emblematic of our approach to science and business matters, and to adjust our compensation program based on our evolving business needs. Following a comprehensive review and based in part on shareholder and employee feedback, we supplemented our annual equity awards in 2018 with highly targeted grants of restricted stock to certain key employees to promote employee retention and reward performance. We will continue to balance consistency and flexibility in our compensation decisions.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Our Compensation Philosophy — Reward All Employees for Value Creation</w:t>
      </w:r>
    </w:p>
    <w:p>
      <w:pPr>
        <w:spacing w:after="0" w:line="176" w:lineRule="exact"/>
        <w:rPr>
          <w:sz w:val="20"/>
          <w:szCs w:val="20"/>
          <w:color w:val="auto"/>
        </w:rPr>
      </w:pPr>
    </w:p>
    <w:p>
      <w:pPr>
        <w:ind w:right="120"/>
        <w:spacing w:after="0" w:line="225" w:lineRule="auto"/>
        <w:rPr>
          <w:sz w:val="20"/>
          <w:szCs w:val="20"/>
          <w:color w:val="auto"/>
        </w:rPr>
      </w:pPr>
      <w:r>
        <w:rPr>
          <w:rFonts w:ascii="Arial" w:cs="Arial" w:eastAsia="Arial" w:hAnsi="Arial"/>
          <w:sz w:val="15"/>
          <w:szCs w:val="15"/>
          <w:color w:val="auto"/>
        </w:rPr>
        <w:t>Our compensation supports our core strategy to create and advance a high-quality, internally developed product pipeline. The pipeline is directly created by our talented employees, and their engagement and commitment are a key driver of pipeline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88900</wp:posOffset>
            </wp:positionV>
            <wp:extent cx="66001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3" w:space="220"/>
            <w:col w:w="7380"/>
          </w:cols>
          <w:pgMar w:left="757" w:top="1440" w:right="739" w:bottom="1440" w:gutter="0" w:footer="0" w:header="0"/>
          <w:type w:val="continuous"/>
        </w:sectPr>
      </w:pPr>
    </w:p>
    <w:p>
      <w:pPr>
        <w:spacing w:after="0" w:line="36" w:lineRule="exact"/>
        <w:rPr>
          <w:sz w:val="20"/>
          <w:szCs w:val="20"/>
          <w:color w:val="auto"/>
        </w:rPr>
      </w:pPr>
    </w:p>
    <w:p>
      <w:pPr>
        <w:ind w:left="203" w:hanging="203"/>
        <w:spacing w:after="0"/>
        <w:tabs>
          <w:tab w:leader="none" w:pos="203" w:val="left"/>
        </w:tabs>
        <w:numPr>
          <w:ilvl w:val="0"/>
          <w:numId w:val="57"/>
        </w:numPr>
        <w:rPr>
          <w:rFonts w:ascii="Arial" w:cs="Arial" w:eastAsia="Arial" w:hAnsi="Arial"/>
          <w:sz w:val="14"/>
          <w:szCs w:val="14"/>
          <w:b w:val="1"/>
          <w:bCs w:val="1"/>
          <w:color w:val="205BA8"/>
        </w:rPr>
      </w:pPr>
      <w:r>
        <w:rPr>
          <w:rFonts w:ascii="Arial" w:cs="Arial" w:eastAsia="Arial" w:hAnsi="Arial"/>
          <w:sz w:val="14"/>
          <w:szCs w:val="14"/>
          <w:color w:val="auto"/>
        </w:rPr>
        <w:t>In this section, “we,” “us,” and “our” refer to the Company and, where applicable, to the Compensation Committee of the Company’s Board of Directors.</w:t>
      </w:r>
    </w:p>
    <w:p>
      <w:pPr>
        <w:spacing w:after="0" w:line="151" w:lineRule="exact"/>
        <w:rPr>
          <w:sz w:val="20"/>
          <w:szCs w:val="20"/>
          <w:color w:val="auto"/>
        </w:rPr>
      </w:pPr>
    </w:p>
    <w:p>
      <w:pPr>
        <w:ind w:left="203" w:right="320" w:hanging="203"/>
        <w:spacing w:after="0" w:line="237" w:lineRule="auto"/>
        <w:tabs>
          <w:tab w:leader="none" w:pos="203" w:val="left"/>
        </w:tabs>
        <w:numPr>
          <w:ilvl w:val="0"/>
          <w:numId w:val="58"/>
        </w:numPr>
        <w:rPr>
          <w:rFonts w:ascii="Arial" w:cs="Arial" w:eastAsia="Arial" w:hAnsi="Arial"/>
          <w:sz w:val="14"/>
          <w:szCs w:val="14"/>
          <w:b w:val="1"/>
          <w:bCs w:val="1"/>
          <w:color w:val="205BA8"/>
        </w:rPr>
      </w:pPr>
      <w:r>
        <w:rPr>
          <w:rFonts w:ascii="Arial" w:cs="Arial" w:eastAsia="Arial" w:hAnsi="Arial"/>
          <w:sz w:val="14"/>
          <w:szCs w:val="14"/>
          <w:color w:val="auto"/>
        </w:rPr>
        <w:t>These are determined in accordance with SEC rules, and for this year consist of our President and Chief Executive Officer (“CEO”); President and Chief Scientific Officer (“CSO”); Executive Vice President, Finance and Chief Financial Officer (“CFO”); and our two other highest-paid executives for 2018, our Executive Vice President and General Manager, Industrial Operations and Product Supply, and our Senior Vice President, Commercial.</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52  /  </w:t>
      </w:r>
      <w:r>
        <w:rPr>
          <w:sz w:val="1"/>
          <w:szCs w:val="1"/>
          <w:color w:val="auto"/>
        </w:rPr>
        <w:drawing>
          <wp:inline distT="0" distB="0" distL="0" distR="0">
            <wp:extent cx="717550" cy="825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1440" w:right="739" w:bottom="1440" w:gutter="0" w:footer="0" w:header="0"/>
          <w:type w:val="continuous"/>
        </w:sectPr>
      </w:pPr>
    </w:p>
    <w:bookmarkStart w:id="65" w:name="page66"/>
    <w:bookmarkEnd w:id="65"/>
    <w:p>
      <w:pPr>
        <w:ind w:left="658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8" w:lineRule="exact"/>
        <w:rPr>
          <w:sz w:val="20"/>
          <w:szCs w:val="20"/>
          <w:color w:val="auto"/>
        </w:rPr>
      </w:pPr>
    </w:p>
    <w:p>
      <w:pPr>
        <w:ind w:left="3540" w:right="600"/>
        <w:spacing w:after="0" w:line="224" w:lineRule="auto"/>
        <w:rPr>
          <w:sz w:val="20"/>
          <w:szCs w:val="20"/>
          <w:color w:val="auto"/>
        </w:rPr>
      </w:pPr>
      <w:r>
        <w:rPr>
          <w:rFonts w:ascii="Arial" w:cs="Arial" w:eastAsia="Arial" w:hAnsi="Arial"/>
          <w:sz w:val="15"/>
          <w:szCs w:val="15"/>
          <w:b w:val="1"/>
          <w:bCs w:val="1"/>
          <w:color w:val="auto"/>
        </w:rPr>
        <w:t xml:space="preserve">Our equity program is focused on all employees. </w:t>
      </w:r>
      <w:r>
        <w:rPr>
          <w:rFonts w:ascii="Arial" w:cs="Arial" w:eastAsia="Arial" w:hAnsi="Arial"/>
          <w:sz w:val="15"/>
          <w:szCs w:val="15"/>
          <w:color w:val="auto"/>
        </w:rPr>
        <w:t>We award equity-based pay to</w:t>
      </w:r>
      <w:r>
        <w:rPr>
          <w:rFonts w:ascii="Arial" w:cs="Arial" w:eastAsia="Arial" w:hAnsi="Arial"/>
          <w:sz w:val="15"/>
          <w:szCs w:val="15"/>
          <w:b w:val="1"/>
          <w:bCs w:val="1"/>
          <w:color w:val="auto"/>
        </w:rPr>
        <w:t xml:space="preserve"> all </w:t>
      </w:r>
      <w:r>
        <w:rPr>
          <w:rFonts w:ascii="Arial" w:cs="Arial" w:eastAsia="Arial" w:hAnsi="Arial"/>
          <w:sz w:val="15"/>
          <w:szCs w:val="15"/>
          <w:color w:val="auto"/>
        </w:rPr>
        <w:t>employees to ensure that</w:t>
      </w:r>
      <w:r>
        <w:rPr>
          <w:rFonts w:ascii="Arial" w:cs="Arial" w:eastAsia="Arial" w:hAnsi="Arial"/>
          <w:sz w:val="15"/>
          <w:szCs w:val="15"/>
          <w:b w:val="1"/>
          <w:bCs w:val="1"/>
          <w:color w:val="auto"/>
        </w:rPr>
        <w:t xml:space="preserve"> </w:t>
      </w:r>
      <w:r>
        <w:rPr>
          <w:rFonts w:ascii="Arial" w:cs="Arial" w:eastAsia="Arial" w:hAnsi="Arial"/>
          <w:sz w:val="15"/>
          <w:szCs w:val="15"/>
          <w:color w:val="auto"/>
        </w:rPr>
        <w:t>when we deliver for patients and for shareholders, everyone shares in the potential upside growth. In addition to a comprehensive annual equity program covering all levels of employees, we award initial equity grants to all new hires, primarily in the form of stock options. Last year, approximately 90% of the employee equity grants (both based on grant date fair value and number of underlying shares) were made to our employees who were not NEOs. The broad-based equity program ensures that all employees can share in our future potential in the same way as executives.</w:t>
      </w:r>
    </w:p>
    <w:p>
      <w:pPr>
        <w:sectPr>
          <w:pgSz w:w="11900" w:h="16838" w:orient="portrait"/>
          <w:cols w:equalWidth="0" w:num="1">
            <w:col w:w="11420"/>
          </w:cols>
          <w:pgMar w:left="240" w:top="396" w:right="239" w:bottom="1440" w:gutter="0" w:footer="0" w:header="0"/>
        </w:sectPr>
      </w:pPr>
    </w:p>
    <w:p>
      <w:pPr>
        <w:spacing w:after="0" w:line="204" w:lineRule="exact"/>
        <w:rPr>
          <w:sz w:val="20"/>
          <w:szCs w:val="20"/>
          <w:color w:val="auto"/>
        </w:rPr>
      </w:pPr>
    </w:p>
    <w:p>
      <w:pPr>
        <w:ind w:left="600"/>
        <w:spacing w:after="0" w:line="236" w:lineRule="auto"/>
        <w:rPr>
          <w:sz w:val="20"/>
          <w:szCs w:val="20"/>
          <w:color w:val="auto"/>
        </w:rPr>
      </w:pPr>
      <w:r>
        <w:rPr>
          <w:rFonts w:ascii="Arial" w:cs="Arial" w:eastAsia="Arial" w:hAnsi="Arial"/>
          <w:sz w:val="19"/>
          <w:szCs w:val="19"/>
          <w:b w:val="1"/>
          <w:bCs w:val="1"/>
          <w:color w:val="205BA8"/>
        </w:rPr>
        <w:t xml:space="preserve">We focus on </w:t>
      </w:r>
      <w:r>
        <w:rPr>
          <w:rFonts w:ascii="Arial" w:cs="Arial" w:eastAsia="Arial" w:hAnsi="Arial"/>
          <w:sz w:val="19"/>
          <w:szCs w:val="19"/>
          <w:b w:val="1"/>
          <w:bCs w:val="1"/>
          <w:color w:val="D61C5A"/>
        </w:rPr>
        <w:t>long-term</w:t>
      </w:r>
      <w:r>
        <w:rPr>
          <w:rFonts w:ascii="Arial" w:cs="Arial" w:eastAsia="Arial" w:hAnsi="Arial"/>
          <w:sz w:val="19"/>
          <w:szCs w:val="19"/>
          <w:b w:val="1"/>
          <w:bCs w:val="1"/>
          <w:color w:val="205BA8"/>
        </w:rPr>
        <w:t xml:space="preserve"> growth through </w:t>
      </w:r>
      <w:r>
        <w:rPr>
          <w:rFonts w:ascii="Arial" w:cs="Arial" w:eastAsia="Arial" w:hAnsi="Arial"/>
          <w:sz w:val="19"/>
          <w:szCs w:val="19"/>
          <w:b w:val="1"/>
          <w:bCs w:val="1"/>
          <w:color w:val="D61C5A"/>
        </w:rPr>
        <w:t>internal</w:t>
      </w:r>
      <w:r>
        <w:rPr>
          <w:rFonts w:ascii="Arial" w:cs="Arial" w:eastAsia="Arial" w:hAnsi="Arial"/>
          <w:sz w:val="19"/>
          <w:szCs w:val="19"/>
          <w:b w:val="1"/>
          <w:bCs w:val="1"/>
          <w:color w:val="205BA8"/>
        </w:rPr>
        <w:t xml:space="preserve"> innovation. Our compensation model and company culture underpin this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-858520</wp:posOffset>
            </wp:positionV>
            <wp:extent cx="1649730" cy="9569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49730" cy="95694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1731645</wp:posOffset>
            </wp:positionV>
            <wp:extent cx="1649730" cy="10890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4973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0" w:right="60"/>
        <w:spacing w:after="0" w:line="235" w:lineRule="auto"/>
        <w:rPr>
          <w:sz w:val="20"/>
          <w:szCs w:val="20"/>
          <w:color w:val="auto"/>
        </w:rPr>
      </w:pPr>
      <w:r>
        <w:rPr>
          <w:rFonts w:ascii="Arial" w:cs="Arial" w:eastAsia="Arial" w:hAnsi="Arial"/>
          <w:sz w:val="19"/>
          <w:szCs w:val="19"/>
          <w:b w:val="1"/>
          <w:bCs w:val="1"/>
          <w:color w:val="205BA8"/>
        </w:rPr>
        <w:t xml:space="preserve">Over the last 10 years, we brought </w:t>
      </w:r>
      <w:r>
        <w:rPr>
          <w:rFonts w:ascii="Arial" w:cs="Arial" w:eastAsia="Arial" w:hAnsi="Arial"/>
          <w:sz w:val="19"/>
          <w:szCs w:val="19"/>
          <w:b w:val="1"/>
          <w:bCs w:val="1"/>
          <w:color w:val="D61C5A"/>
        </w:rPr>
        <w:t>six</w:t>
      </w:r>
      <w:r>
        <w:rPr>
          <w:rFonts w:ascii="Arial" w:cs="Arial" w:eastAsia="Arial" w:hAnsi="Arial"/>
          <w:sz w:val="19"/>
          <w:szCs w:val="19"/>
          <w:b w:val="1"/>
          <w:bCs w:val="1"/>
          <w:color w:val="205BA8"/>
        </w:rPr>
        <w:t xml:space="preserve"> important medicines to patients and obtained regulatory approval for </w:t>
      </w:r>
      <w:r>
        <w:rPr>
          <w:rFonts w:ascii="Arial" w:cs="Arial" w:eastAsia="Arial" w:hAnsi="Arial"/>
          <w:sz w:val="19"/>
          <w:szCs w:val="19"/>
          <w:b w:val="1"/>
          <w:bCs w:val="1"/>
          <w:color w:val="D61C5A"/>
        </w:rPr>
        <w:t>four</w:t>
      </w:r>
      <w:r>
        <w:rPr>
          <w:rFonts w:ascii="Arial" w:cs="Arial" w:eastAsia="Arial" w:hAnsi="Arial"/>
          <w:sz w:val="19"/>
          <w:szCs w:val="19"/>
          <w:b w:val="1"/>
          <w:bCs w:val="1"/>
          <w:color w:val="205BA8"/>
        </w:rPr>
        <w:t xml:space="preserve"> additional key indications for these products.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Our Company Culture</w:t>
      </w:r>
    </w:p>
    <w:p>
      <w:pPr>
        <w:spacing w:after="0" w:line="176" w:lineRule="exact"/>
        <w:rPr>
          <w:sz w:val="20"/>
          <w:szCs w:val="20"/>
          <w:color w:val="auto"/>
        </w:rPr>
      </w:pPr>
    </w:p>
    <w:p>
      <w:pPr>
        <w:ind w:right="680"/>
        <w:spacing w:after="0" w:line="229" w:lineRule="auto"/>
        <w:rPr>
          <w:sz w:val="20"/>
          <w:szCs w:val="20"/>
          <w:color w:val="auto"/>
        </w:rPr>
      </w:pPr>
      <w:r>
        <w:rPr>
          <w:rFonts w:ascii="Arial" w:cs="Arial" w:eastAsia="Arial" w:hAnsi="Arial"/>
          <w:sz w:val="14"/>
          <w:szCs w:val="14"/>
          <w:color w:val="auto"/>
        </w:rPr>
        <w:t>Our compensation model has been instrumental in furthering a culture of loyal and motivated employees with an entrepreneurial spirit. In each of the last five years, our attrition rate was less than half the industry average. For</w:t>
      </w:r>
    </w:p>
    <w:p>
      <w:pPr>
        <w:spacing w:after="0" w:line="1" w:lineRule="exact"/>
        <w:rPr>
          <w:sz w:val="20"/>
          <w:szCs w:val="20"/>
          <w:color w:val="auto"/>
        </w:rPr>
      </w:pPr>
    </w:p>
    <w:p>
      <w:pPr>
        <w:jc w:val="both"/>
        <w:ind w:right="920"/>
        <w:spacing w:after="0" w:line="199" w:lineRule="auto"/>
        <w:rPr>
          <w:sz w:val="20"/>
          <w:szCs w:val="20"/>
          <w:color w:val="auto"/>
        </w:rPr>
      </w:pPr>
      <w:r>
        <w:rPr>
          <w:rFonts w:ascii="Arial" w:cs="Arial" w:eastAsia="Arial" w:hAnsi="Arial"/>
          <w:sz w:val="15"/>
          <w:szCs w:val="15"/>
          <w:color w:val="auto"/>
        </w:rPr>
        <w:t>example, our 2018 turnover rate was 7.1% compared to an industry average of 17.9%,</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with turnover of our scientists ranking the lowest of all of our employee groups. We continued to retain employees well above the industry average and to attract new talent.</w:t>
      </w:r>
    </w:p>
    <w:p>
      <w:pPr>
        <w:spacing w:after="0" w:line="139" w:lineRule="exact"/>
        <w:rPr>
          <w:sz w:val="20"/>
          <w:szCs w:val="20"/>
          <w:color w:val="auto"/>
        </w:rPr>
      </w:pPr>
    </w:p>
    <w:p>
      <w:pPr>
        <w:ind w:right="700"/>
        <w:spacing w:after="0" w:line="236" w:lineRule="auto"/>
        <w:rPr>
          <w:sz w:val="20"/>
          <w:szCs w:val="20"/>
          <w:color w:val="auto"/>
        </w:rPr>
      </w:pPr>
      <w:r>
        <w:rPr>
          <w:rFonts w:ascii="Arial" w:cs="Arial" w:eastAsia="Arial" w:hAnsi="Arial"/>
          <w:sz w:val="14"/>
          <w:szCs w:val="14"/>
          <w:color w:val="auto"/>
        </w:rPr>
        <w:t>Stability, consistency, and scientific focus have been important not only to our compensation model, but also our governance. We are led by the longest-serving founder CEO in the S&amp;P 500. He, and our exceptionally stable management and scientific teams, have been the stewards of our long-term approach, and we believe that they are part of the formula for our success. In addition, by having our board of directors and senior management heavily populated with top-science talent, we signal to both employees and investors our seriousness about the Company’s dedication to science and its core competencies and main value driver.</w:t>
      </w:r>
    </w:p>
    <w:p>
      <w:pPr>
        <w:spacing w:after="0" w:line="141" w:lineRule="exact"/>
        <w:rPr>
          <w:sz w:val="20"/>
          <w:szCs w:val="20"/>
          <w:color w:val="auto"/>
        </w:rPr>
      </w:pPr>
    </w:p>
    <w:p>
      <w:pPr>
        <w:ind w:right="560"/>
        <w:spacing w:after="0" w:line="221" w:lineRule="auto"/>
        <w:rPr>
          <w:sz w:val="20"/>
          <w:szCs w:val="20"/>
          <w:color w:val="auto"/>
        </w:rPr>
      </w:pPr>
      <w:r>
        <w:rPr>
          <w:rFonts w:ascii="Arial" w:cs="Arial" w:eastAsia="Arial" w:hAnsi="Arial"/>
          <w:sz w:val="15"/>
          <w:szCs w:val="15"/>
          <w:color w:val="auto"/>
        </w:rPr>
        <w:t>We also believe that our compensation model (including the use of stock options as a primary long-term employee incentive) has helped us establish a culture where employees focus on our mission and the drug-development process. The emphasis on the long term is a core Company belief, consistent with our history of growing through innovation and through a pipeline of internally developed medicines. It also reflects our philosophy of “doing well by doing good,” which encompasses our approach to operating responsibly (including by not using product price increases as a growth strategy) and our commitment to patients.</w:t>
      </w:r>
    </w:p>
    <w:p>
      <w:pPr>
        <w:spacing w:after="0" w:line="138" w:lineRule="exact"/>
        <w:rPr>
          <w:sz w:val="20"/>
          <w:szCs w:val="20"/>
          <w:color w:val="auto"/>
        </w:rPr>
      </w:pPr>
    </w:p>
    <w:p>
      <w:pPr>
        <w:jc w:val="both"/>
        <w:ind w:right="680"/>
        <w:spacing w:after="0" w:line="239" w:lineRule="auto"/>
        <w:rPr>
          <w:sz w:val="20"/>
          <w:szCs w:val="20"/>
          <w:color w:val="auto"/>
        </w:rPr>
      </w:pPr>
      <w:r>
        <w:rPr>
          <w:rFonts w:ascii="Arial" w:cs="Arial" w:eastAsia="Arial" w:hAnsi="Arial"/>
          <w:sz w:val="14"/>
          <w:szCs w:val="14"/>
          <w:color w:val="auto"/>
        </w:rPr>
        <w:t>Further, many of our employees effectively invest in Regeneron’s future by holding their option awards long after they vest and could be exercised for a gain. We think this exemplifies our employees’ belief in our future and the long-term ownership culture that we have created with our compensation program. Similarly, our CEO and CSO have generally held their vested, in-the-money option awards until nearly the end of the full 10-year option term.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Our Performance</w:t>
      </w:r>
    </w:p>
    <w:p>
      <w:pPr>
        <w:spacing w:after="0" w:line="176" w:lineRule="exact"/>
        <w:rPr>
          <w:sz w:val="20"/>
          <w:szCs w:val="20"/>
          <w:color w:val="auto"/>
        </w:rPr>
      </w:pPr>
    </w:p>
    <w:p>
      <w:pPr>
        <w:ind w:right="620"/>
        <w:spacing w:after="0" w:line="220" w:lineRule="auto"/>
        <w:rPr>
          <w:sz w:val="20"/>
          <w:szCs w:val="20"/>
          <w:color w:val="auto"/>
        </w:rPr>
      </w:pPr>
      <w:r>
        <w:rPr>
          <w:rFonts w:ascii="Arial" w:cs="Arial" w:eastAsia="Arial" w:hAnsi="Arial"/>
          <w:sz w:val="15"/>
          <w:szCs w:val="15"/>
          <w:color w:val="auto"/>
        </w:rPr>
        <w:t>Our compensation program underpins our strategy of delivering sustainable, long-term growth through continued innovation. We believe the success of our compensation program and our performance (both financial and operational, in particular with respect to our pipeline progress) are best judged from a long-term perspective. We provide an overview of our key accomplishments in the last five years below. In addition, to give our shareholders an opportunity to assess last year’s performance, we highlight our achievements in 2018 in the subsection “Compensation Discussion and Analysis — Components of Executive Pay: What We Pay and Why We Pay It — Annual Cash Incentive.”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Over the last five years, we delivered on our strategic plan and made great strides as we brought four important</w:t>
      </w:r>
    </w:p>
    <w:p>
      <w:pPr>
        <w:ind w:right="680"/>
        <w:spacing w:after="0" w:line="203" w:lineRule="auto"/>
        <w:rPr>
          <w:sz w:val="20"/>
          <w:szCs w:val="20"/>
          <w:color w:val="auto"/>
        </w:rPr>
      </w:pPr>
      <w:r>
        <w:rPr>
          <w:rFonts w:ascii="Arial" w:cs="Arial" w:eastAsia="Arial" w:hAnsi="Arial"/>
          <w:sz w:val="15"/>
          <w:szCs w:val="15"/>
          <w:color w:val="auto"/>
        </w:rPr>
        <w:t>new medicines to market; obtained regulatory approval for several new indications of our flagship drug, 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(aflibercept) Injection; advanced multiple new product candidates into clinical development; grew revenue and earnings; diversified our revenue stream; and strengthened our balance sheet. Operational and financial performance highlights from this period include those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88900</wp:posOffset>
            </wp:positionV>
            <wp:extent cx="66001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540"/>
            <w:col w:w="7880"/>
          </w:cols>
          <w:pgMar w:left="240" w:top="396" w:right="239" w:bottom="1440" w:gutter="0" w:footer="0" w:header="0"/>
          <w:type w:val="continuous"/>
        </w:sectPr>
      </w:pPr>
    </w:p>
    <w:p>
      <w:pPr>
        <w:spacing w:after="0" w:line="36" w:lineRule="exact"/>
        <w:rPr>
          <w:sz w:val="20"/>
          <w:szCs w:val="20"/>
          <w:color w:val="auto"/>
        </w:rPr>
      </w:pPr>
    </w:p>
    <w:p>
      <w:pPr>
        <w:ind w:left="720" w:hanging="203"/>
        <w:spacing w:after="0"/>
        <w:tabs>
          <w:tab w:leader="none" w:pos="720" w:val="left"/>
        </w:tabs>
        <w:numPr>
          <w:ilvl w:val="0"/>
          <w:numId w:val="59"/>
        </w:numPr>
        <w:rPr>
          <w:rFonts w:ascii="Arial" w:cs="Arial" w:eastAsia="Arial" w:hAnsi="Arial"/>
          <w:sz w:val="14"/>
          <w:szCs w:val="14"/>
          <w:b w:val="1"/>
          <w:bCs w:val="1"/>
          <w:color w:val="205BA8"/>
        </w:rPr>
      </w:pPr>
      <w:r>
        <w:rPr>
          <w:rFonts w:ascii="Arial" w:cs="Arial" w:eastAsia="Arial" w:hAnsi="Arial"/>
          <w:sz w:val="14"/>
          <w:szCs w:val="14"/>
          <w:color w:val="auto"/>
        </w:rPr>
        <w:t>Industry average is based on the Radford U.S. Life Sciences Trends Report for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53</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D61C5A"/>
        </w:rPr>
        <w:t>Operational Performance Highlights</w:t>
      </w:r>
    </w:p>
    <w:p>
      <w:pPr>
        <w:spacing w:after="0" w:line="160" w:lineRule="exact"/>
        <w:rPr>
          <w:sz w:val="20"/>
          <w:szCs w:val="20"/>
          <w:color w:val="auto"/>
        </w:rPr>
      </w:pPr>
    </w:p>
    <w:p>
      <w:pPr>
        <w:ind w:left="3020" w:right="100"/>
        <w:spacing w:after="0" w:line="225" w:lineRule="auto"/>
        <w:rPr>
          <w:sz w:val="20"/>
          <w:szCs w:val="20"/>
          <w:color w:val="auto"/>
        </w:rPr>
      </w:pPr>
      <w:r>
        <w:rPr>
          <w:rFonts w:ascii="Arial" w:cs="Arial" w:eastAsia="Arial" w:hAnsi="Arial"/>
          <w:sz w:val="15"/>
          <w:szCs w:val="15"/>
          <w:b w:val="1"/>
          <w:bCs w:val="1"/>
          <w:color w:val="205BA8"/>
        </w:rPr>
        <w:t xml:space="preserve">New Indications for EYLEA. </w:t>
      </w:r>
      <w:r>
        <w:rPr>
          <w:rFonts w:ascii="Arial" w:cs="Arial" w:eastAsia="Arial" w:hAnsi="Arial"/>
          <w:sz w:val="15"/>
          <w:szCs w:val="15"/>
          <w:color w:val="000000"/>
        </w:rPr>
        <w:t>We obtained U.S. Food and Drug Administration (“FDA”) approval for three</w:t>
      </w:r>
      <w:r>
        <w:rPr>
          <w:rFonts w:ascii="Arial" w:cs="Arial" w:eastAsia="Arial" w:hAnsi="Arial"/>
          <w:sz w:val="15"/>
          <w:szCs w:val="15"/>
          <w:b w:val="1"/>
          <w:bCs w:val="1"/>
          <w:color w:val="205BA8"/>
        </w:rPr>
        <w:t xml:space="preserve"> </w:t>
      </w:r>
      <w:r>
        <w:rPr>
          <w:rFonts w:ascii="Arial" w:cs="Arial" w:eastAsia="Arial" w:hAnsi="Arial"/>
          <w:sz w:val="15"/>
          <w:szCs w:val="15"/>
          <w:color w:val="000000"/>
        </w:rPr>
        <w:t>additional EYLEA indications (diabetic macular edema (“DME”), macular edema following branch retinal vein occlusion, and diabetic retinopathy in patients with DME), and grew EYLEA net product sales in the United States by 135%, to $4.1 billion. Importantly, we achieved this growth without resorting to price increases. Our commercialization efforts also resulted in EYLEA becoming the market-leading anti-VEGF therapy approved across a broad range of retinal diseases.</w:t>
      </w:r>
    </w:p>
    <w:p>
      <w:pPr>
        <w:spacing w:after="0" w:line="53"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205BA8"/>
        </w:rPr>
        <w:t xml:space="preserve">Newly Approved Treatments. </w:t>
      </w:r>
      <w:r>
        <w:rPr>
          <w:rFonts w:ascii="Arial" w:cs="Arial" w:eastAsia="Arial" w:hAnsi="Arial"/>
          <w:sz w:val="14"/>
          <w:szCs w:val="14"/>
          <w:color w:val="000000"/>
        </w:rPr>
        <w:t>We brought four important, novel treatments to patients — Praluent</w:t>
      </w:r>
      <w:r>
        <w:rPr>
          <w:rFonts w:ascii="Arial" w:cs="Arial" w:eastAsia="Arial" w:hAnsi="Arial"/>
          <w:sz w:val="23"/>
          <w:szCs w:val="23"/>
          <w:color w:val="000000"/>
          <w:vertAlign w:val="superscript"/>
        </w:rPr>
        <w:t>®</w:t>
      </w:r>
      <w:r>
        <w:rPr>
          <w:rFonts w:ascii="Arial" w:cs="Arial" w:eastAsia="Arial" w:hAnsi="Arial"/>
          <w:sz w:val="14"/>
          <w:szCs w:val="14"/>
          <w:b w:val="1"/>
          <w:bCs w:val="1"/>
          <w:color w:val="205BA8"/>
        </w:rPr>
        <w:t xml:space="preserve"> </w:t>
      </w:r>
      <w:r>
        <w:rPr>
          <w:rFonts w:ascii="Arial" w:cs="Arial" w:eastAsia="Arial" w:hAnsi="Arial"/>
          <w:sz w:val="14"/>
          <w:szCs w:val="14"/>
          <w:color w:val="000000"/>
        </w:rPr>
        <w:t>(alirocumab)</w:t>
      </w:r>
    </w:p>
    <w:p>
      <w:pPr>
        <w:ind w:left="3020" w:right="200"/>
        <w:spacing w:after="0" w:line="202" w:lineRule="auto"/>
        <w:rPr>
          <w:sz w:val="20"/>
          <w:szCs w:val="20"/>
          <w:color w:val="auto"/>
        </w:rPr>
      </w:pPr>
      <w:r>
        <w:rPr>
          <w:rFonts w:ascii="Arial" w:cs="Arial" w:eastAsia="Arial" w:hAnsi="Arial"/>
          <w:sz w:val="14"/>
          <w:szCs w:val="14"/>
          <w:color w:val="auto"/>
        </w:rPr>
        <w:t>Injection (2015)*, Kevzara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(sarilumab) Injection (2017)*, Dupixent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(dupilumab) Injection (2017)*, and Libtayo</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(cemiplimab) Injection (2018)* — each of which was both discovered and developed by Regeneron.</w:t>
      </w:r>
    </w:p>
    <w:p>
      <w:pPr>
        <w:spacing w:after="0" w:line="122" w:lineRule="exact"/>
        <w:rPr>
          <w:sz w:val="20"/>
          <w:szCs w:val="20"/>
          <w:color w:val="auto"/>
        </w:rPr>
      </w:pPr>
    </w:p>
    <w:p>
      <w:pPr>
        <w:ind w:left="3020" w:right="140"/>
        <w:spacing w:after="0" w:line="233" w:lineRule="auto"/>
        <w:rPr>
          <w:sz w:val="20"/>
          <w:szCs w:val="20"/>
          <w:color w:val="auto"/>
        </w:rPr>
      </w:pPr>
      <w:r>
        <w:rPr>
          <w:rFonts w:ascii="Arial" w:cs="Arial" w:eastAsia="Arial" w:hAnsi="Arial"/>
          <w:sz w:val="15"/>
          <w:szCs w:val="15"/>
          <w:b w:val="1"/>
          <w:bCs w:val="1"/>
          <w:color w:val="205BA8"/>
        </w:rPr>
        <w:t xml:space="preserve">Additional Dupixent Indication. </w:t>
      </w:r>
      <w:r>
        <w:rPr>
          <w:rFonts w:ascii="Arial" w:cs="Arial" w:eastAsia="Arial" w:hAnsi="Arial"/>
          <w:sz w:val="15"/>
          <w:szCs w:val="15"/>
          <w:color w:val="000000"/>
        </w:rPr>
        <w:t>We continued to make progress fulfilling Dupixent’s “pipeline-in-a-product”</w:t>
      </w:r>
      <w:r>
        <w:rPr>
          <w:rFonts w:ascii="Arial" w:cs="Arial" w:eastAsia="Arial" w:hAnsi="Arial"/>
          <w:sz w:val="15"/>
          <w:szCs w:val="15"/>
          <w:b w:val="1"/>
          <w:bCs w:val="1"/>
          <w:color w:val="205BA8"/>
        </w:rPr>
        <w:t xml:space="preserve"> </w:t>
      </w:r>
      <w:r>
        <w:rPr>
          <w:rFonts w:ascii="Arial" w:cs="Arial" w:eastAsia="Arial" w:hAnsi="Arial"/>
          <w:sz w:val="15"/>
          <w:szCs w:val="15"/>
          <w:color w:val="000000"/>
        </w:rPr>
        <w:t>promise by obtaining FDA approval for Dupixent as an add-on maintenance therapy in patients with moderate-to-severe asthma aged 12 years and older.</w:t>
      </w:r>
    </w:p>
    <w:p>
      <w:pPr>
        <w:spacing w:after="0" w:line="121" w:lineRule="exact"/>
        <w:rPr>
          <w:sz w:val="20"/>
          <w:szCs w:val="20"/>
          <w:color w:val="auto"/>
        </w:rPr>
      </w:pPr>
    </w:p>
    <w:p>
      <w:pPr>
        <w:ind w:left="3020" w:right="40"/>
        <w:spacing w:after="0" w:line="225" w:lineRule="auto"/>
        <w:rPr>
          <w:sz w:val="20"/>
          <w:szCs w:val="20"/>
          <w:color w:val="auto"/>
        </w:rPr>
      </w:pPr>
      <w:r>
        <w:rPr>
          <w:rFonts w:ascii="Arial" w:cs="Arial" w:eastAsia="Arial" w:hAnsi="Arial"/>
          <w:sz w:val="15"/>
          <w:szCs w:val="15"/>
          <w:b w:val="1"/>
          <w:bCs w:val="1"/>
          <w:color w:val="205BA8"/>
        </w:rPr>
        <w:t xml:space="preserve">Other Advancements in Dupixent Clinical Program. </w:t>
      </w:r>
      <w:r>
        <w:rPr>
          <w:rFonts w:ascii="Arial" w:cs="Arial" w:eastAsia="Arial" w:hAnsi="Arial"/>
          <w:sz w:val="15"/>
          <w:szCs w:val="15"/>
          <w:color w:val="000000"/>
        </w:rPr>
        <w:t>We made considerable progress in further clinical</w:t>
      </w:r>
      <w:r>
        <w:rPr>
          <w:rFonts w:ascii="Arial" w:cs="Arial" w:eastAsia="Arial" w:hAnsi="Arial"/>
          <w:sz w:val="15"/>
          <w:szCs w:val="15"/>
          <w:b w:val="1"/>
          <w:bCs w:val="1"/>
          <w:color w:val="205BA8"/>
        </w:rPr>
        <w:t xml:space="preserve"> </w:t>
      </w:r>
      <w:r>
        <w:rPr>
          <w:rFonts w:ascii="Arial" w:cs="Arial" w:eastAsia="Arial" w:hAnsi="Arial"/>
          <w:sz w:val="15"/>
          <w:szCs w:val="15"/>
          <w:color w:val="000000"/>
        </w:rPr>
        <w:t>development of Dupixent. We reported positive results from a Phase 3 study in adolescent patients with moderate-to-severe atopic dermatitis and two pivotal Phase 3 studies in adults with inadequately-controlled chronic rhinosinusitis with nasal polyposis, and advanced Dupixent into additional studies in pediatric patients with asthma (Phase 3), pediatric patients with atopic dermatitis (Phase 2/3), eosinophilic esophagitis (Phase 2/3), grass allergy (Phase 2), and peanut allergy (Phase 2).</w:t>
      </w:r>
    </w:p>
    <w:p>
      <w:pPr>
        <w:spacing w:after="0" w:line="121" w:lineRule="exact"/>
        <w:rPr>
          <w:sz w:val="20"/>
          <w:szCs w:val="20"/>
          <w:color w:val="auto"/>
        </w:rPr>
      </w:pPr>
    </w:p>
    <w:p>
      <w:pPr>
        <w:ind w:left="3020" w:right="40"/>
        <w:spacing w:after="0" w:line="225" w:lineRule="auto"/>
        <w:rPr>
          <w:sz w:val="20"/>
          <w:szCs w:val="20"/>
          <w:color w:val="auto"/>
        </w:rPr>
      </w:pPr>
      <w:r>
        <w:rPr>
          <w:rFonts w:ascii="Arial" w:cs="Arial" w:eastAsia="Arial" w:hAnsi="Arial"/>
          <w:sz w:val="15"/>
          <w:szCs w:val="15"/>
          <w:b w:val="1"/>
          <w:bCs w:val="1"/>
          <w:color w:val="205BA8"/>
        </w:rPr>
        <w:t xml:space="preserve">Advancements in Immuno-oncology Programs. </w:t>
      </w:r>
      <w:r>
        <w:rPr>
          <w:rFonts w:ascii="Arial" w:cs="Arial" w:eastAsia="Arial" w:hAnsi="Arial"/>
          <w:sz w:val="15"/>
          <w:szCs w:val="15"/>
          <w:color w:val="000000"/>
        </w:rPr>
        <w:t>We made great strides toward our goal of developing a diverse</w:t>
      </w:r>
      <w:r>
        <w:rPr>
          <w:rFonts w:ascii="Arial" w:cs="Arial" w:eastAsia="Arial" w:hAnsi="Arial"/>
          <w:sz w:val="15"/>
          <w:szCs w:val="15"/>
          <w:b w:val="1"/>
          <w:bCs w:val="1"/>
          <w:color w:val="205BA8"/>
        </w:rPr>
        <w:t xml:space="preserve"> </w:t>
      </w:r>
      <w:r>
        <w:rPr>
          <w:rFonts w:ascii="Arial" w:cs="Arial" w:eastAsia="Arial" w:hAnsi="Arial"/>
          <w:sz w:val="15"/>
          <w:szCs w:val="15"/>
          <w:color w:val="000000"/>
        </w:rPr>
        <w:t>and comprehensive immuno-oncology portfolio. In addition to the launch of Libtayo as discussed above, we are developing Libtayo in several other indications, including non-small cell lung cancer, cervical cancer, and basal cell carcinoma. We are also excited about our bispecific antibody programs, including REGN1979, REGN4018, and REGN5458, which advanced into clinical development for B-cell non-Hodgkin lymphoma, ovarian cancer, and multiple myeloma, respectively.</w:t>
      </w:r>
    </w:p>
    <w:p>
      <w:pPr>
        <w:spacing w:after="0" w:line="121" w:lineRule="exact"/>
        <w:rPr>
          <w:sz w:val="20"/>
          <w:szCs w:val="20"/>
          <w:color w:val="auto"/>
        </w:rPr>
      </w:pPr>
    </w:p>
    <w:p>
      <w:pPr>
        <w:ind w:left="3020" w:right="580"/>
        <w:spacing w:after="0" w:line="233" w:lineRule="auto"/>
        <w:rPr>
          <w:sz w:val="20"/>
          <w:szCs w:val="20"/>
          <w:color w:val="auto"/>
        </w:rPr>
      </w:pPr>
      <w:r>
        <w:rPr>
          <w:rFonts w:ascii="Arial" w:cs="Arial" w:eastAsia="Arial" w:hAnsi="Arial"/>
          <w:sz w:val="15"/>
          <w:szCs w:val="15"/>
          <w:b w:val="1"/>
          <w:bCs w:val="1"/>
          <w:color w:val="205BA8"/>
        </w:rPr>
        <w:t xml:space="preserve">Pipeline Progress. </w:t>
      </w:r>
      <w:r>
        <w:rPr>
          <w:rFonts w:ascii="Arial" w:cs="Arial" w:eastAsia="Arial" w:hAnsi="Arial"/>
          <w:sz w:val="15"/>
          <w:szCs w:val="15"/>
          <w:color w:val="000000"/>
        </w:rPr>
        <w:t>We completed 61 clinical trials, including 17 pivotal studies, and advanced 15 product</w:t>
      </w:r>
      <w:r>
        <w:rPr>
          <w:rFonts w:ascii="Arial" w:cs="Arial" w:eastAsia="Arial" w:hAnsi="Arial"/>
          <w:sz w:val="15"/>
          <w:szCs w:val="15"/>
          <w:b w:val="1"/>
          <w:bCs w:val="1"/>
          <w:color w:val="205BA8"/>
        </w:rPr>
        <w:t xml:space="preserve"> </w:t>
      </w:r>
      <w:r>
        <w:rPr>
          <w:rFonts w:ascii="Arial" w:cs="Arial" w:eastAsia="Arial" w:hAnsi="Arial"/>
          <w:sz w:val="15"/>
          <w:szCs w:val="15"/>
          <w:color w:val="000000"/>
        </w:rPr>
        <w:t>candidates into clinical development. As of December 31, 2018, we had 21 product candidates in clinical development and had 57 clinical trials ongoing.</w:t>
      </w:r>
    </w:p>
    <w:p>
      <w:pPr>
        <w:spacing w:after="0" w:line="135" w:lineRule="exact"/>
        <w:rPr>
          <w:sz w:val="20"/>
          <w:szCs w:val="20"/>
          <w:color w:val="auto"/>
        </w:rPr>
      </w:pPr>
    </w:p>
    <w:p>
      <w:pPr>
        <w:ind w:left="3020" w:right="60"/>
        <w:spacing w:after="0" w:line="211" w:lineRule="auto"/>
        <w:rPr>
          <w:sz w:val="20"/>
          <w:szCs w:val="20"/>
          <w:color w:val="auto"/>
        </w:rPr>
      </w:pPr>
      <w:r>
        <w:rPr>
          <w:rFonts w:ascii="Arial" w:cs="Arial" w:eastAsia="Arial" w:hAnsi="Arial"/>
          <w:sz w:val="15"/>
          <w:szCs w:val="15"/>
          <w:b w:val="1"/>
          <w:bCs w:val="1"/>
          <w:color w:val="205BA8"/>
        </w:rPr>
        <w:t xml:space="preserve">Human Genetics Initiative. </w:t>
      </w:r>
      <w:r>
        <w:rPr>
          <w:rFonts w:ascii="Arial" w:cs="Arial" w:eastAsia="Arial" w:hAnsi="Arial"/>
          <w:sz w:val="15"/>
          <w:szCs w:val="15"/>
          <w:color w:val="000000"/>
        </w:rPr>
        <w:t>We launched Regeneron Genetics Center</w:t>
      </w:r>
      <w:r>
        <w:rPr>
          <w:rFonts w:ascii="Arial" w:cs="Arial" w:eastAsia="Arial" w:hAnsi="Arial"/>
          <w:sz w:val="24"/>
          <w:szCs w:val="24"/>
          <w:color w:val="000000"/>
          <w:vertAlign w:val="superscript"/>
        </w:rPr>
        <w:t>®</w:t>
      </w:r>
      <w:r>
        <w:rPr>
          <w:rFonts w:ascii="Arial" w:cs="Arial" w:eastAsia="Arial" w:hAnsi="Arial"/>
          <w:sz w:val="15"/>
          <w:szCs w:val="15"/>
          <w:b w:val="1"/>
          <w:bCs w:val="1"/>
          <w:color w:val="205BA8"/>
        </w:rPr>
        <w:t xml:space="preserve"> </w:t>
      </w:r>
      <w:r>
        <w:rPr>
          <w:rFonts w:ascii="Arial" w:cs="Arial" w:eastAsia="Arial" w:hAnsi="Arial"/>
          <w:sz w:val="15"/>
          <w:szCs w:val="15"/>
          <w:color w:val="000000"/>
        </w:rPr>
        <w:t>(the “RGC”), our human genetics</w:t>
      </w:r>
      <w:r>
        <w:rPr>
          <w:rFonts w:ascii="Arial" w:cs="Arial" w:eastAsia="Arial" w:hAnsi="Arial"/>
          <w:sz w:val="15"/>
          <w:szCs w:val="15"/>
          <w:b w:val="1"/>
          <w:bCs w:val="1"/>
          <w:color w:val="205BA8"/>
        </w:rPr>
        <w:t xml:space="preserve"> </w:t>
      </w:r>
      <w:r>
        <w:rPr>
          <w:rFonts w:ascii="Arial" w:cs="Arial" w:eastAsia="Arial" w:hAnsi="Arial"/>
          <w:sz w:val="15"/>
          <w:szCs w:val="15"/>
          <w:color w:val="000000"/>
        </w:rPr>
        <w:t>initiative, the objective of which is to expand the use of human genetics for discovering and validating genetic factors that cause or influence a range of diseases where there are major unmet medical needs. Since its founding, the RGC has entered into a number of important collaborations, including those with the Geisinger Health System and the UK Biobank, and had sequenced almost 500,000 exomes (the portions of a genome that code information for protein synthesis) as of December 31, 2018. The RGC already made discoveries that helped advance Regeneron’s pipeline. Notably, the RGC provided human genetics validation and guidance for indications for evinacumab, REGN3500, Dupixent, and other earlier-stage programs. The RGC also discovered new targets for which we now have new molecules and therapeutics candidates, such as our new NASH target, HSD17B13, and our corresponding preclinical RNAi therapeutic being developed in collaboration with Alnylam Pharmaceuticals, Inc.</w:t>
      </w:r>
    </w:p>
    <w:p>
      <w:pPr>
        <w:spacing w:after="0" w:line="124" w:lineRule="exact"/>
        <w:rPr>
          <w:sz w:val="20"/>
          <w:szCs w:val="20"/>
          <w:color w:val="auto"/>
        </w:rPr>
      </w:pPr>
    </w:p>
    <w:p>
      <w:pPr>
        <w:ind w:left="3020" w:right="100"/>
        <w:spacing w:after="0" w:line="233" w:lineRule="auto"/>
        <w:rPr>
          <w:sz w:val="20"/>
          <w:szCs w:val="20"/>
          <w:color w:val="auto"/>
        </w:rPr>
      </w:pPr>
      <w:r>
        <w:rPr>
          <w:rFonts w:ascii="Arial" w:cs="Arial" w:eastAsia="Arial" w:hAnsi="Arial"/>
          <w:sz w:val="15"/>
          <w:szCs w:val="15"/>
          <w:b w:val="1"/>
          <w:bCs w:val="1"/>
          <w:color w:val="205BA8"/>
        </w:rPr>
        <w:t xml:space="preserve">Human Capital Management. </w:t>
      </w:r>
      <w:r>
        <w:rPr>
          <w:rFonts w:ascii="Arial" w:cs="Arial" w:eastAsia="Arial" w:hAnsi="Arial"/>
          <w:sz w:val="15"/>
          <w:szCs w:val="15"/>
          <w:color w:val="000000"/>
        </w:rPr>
        <w:t>We more than tripled the size of our workforce, from 2,336 to 7,384 full-time</w:t>
      </w:r>
      <w:r>
        <w:rPr>
          <w:rFonts w:ascii="Arial" w:cs="Arial" w:eastAsia="Arial" w:hAnsi="Arial"/>
          <w:sz w:val="15"/>
          <w:szCs w:val="15"/>
          <w:b w:val="1"/>
          <w:bCs w:val="1"/>
          <w:color w:val="205BA8"/>
        </w:rPr>
        <w:t xml:space="preserve"> </w:t>
      </w:r>
      <w:r>
        <w:rPr>
          <w:rFonts w:ascii="Arial" w:cs="Arial" w:eastAsia="Arial" w:hAnsi="Arial"/>
          <w:sz w:val="15"/>
          <w:szCs w:val="15"/>
          <w:color w:val="000000"/>
        </w:rPr>
        <w:t>employees, while continuing to sustain an engaging culture that drives innovation and maintaining an attrition rate at less than half the industry average.</w:t>
      </w:r>
    </w:p>
    <w:p>
      <w:pPr>
        <w:spacing w:after="0" w:line="121" w:lineRule="exact"/>
        <w:rPr>
          <w:sz w:val="20"/>
          <w:szCs w:val="20"/>
          <w:color w:val="auto"/>
        </w:rPr>
      </w:pPr>
    </w:p>
    <w:p>
      <w:pPr>
        <w:jc w:val="both"/>
        <w:ind w:left="3020" w:right="180"/>
        <w:spacing w:after="0" w:line="255" w:lineRule="auto"/>
        <w:rPr>
          <w:sz w:val="20"/>
          <w:szCs w:val="20"/>
          <w:color w:val="auto"/>
        </w:rPr>
      </w:pPr>
      <w:r>
        <w:rPr>
          <w:rFonts w:ascii="Arial" w:cs="Arial" w:eastAsia="Arial" w:hAnsi="Arial"/>
          <w:sz w:val="14"/>
          <w:szCs w:val="14"/>
          <w:b w:val="1"/>
          <w:bCs w:val="1"/>
          <w:color w:val="205BA8"/>
        </w:rPr>
        <w:t xml:space="preserve">Company Recognition. </w:t>
      </w:r>
      <w:r>
        <w:rPr>
          <w:rFonts w:ascii="Arial" w:cs="Arial" w:eastAsia="Arial" w:hAnsi="Arial"/>
          <w:sz w:val="14"/>
          <w:szCs w:val="14"/>
          <w:color w:val="000000"/>
        </w:rPr>
        <w:t>We were recognized four times as the No. 1 employer in the global biopharmaceutical</w:t>
      </w:r>
      <w:r>
        <w:rPr>
          <w:rFonts w:ascii="Arial" w:cs="Arial" w:eastAsia="Arial" w:hAnsi="Arial"/>
          <w:sz w:val="14"/>
          <w:szCs w:val="14"/>
          <w:b w:val="1"/>
          <w:bCs w:val="1"/>
          <w:color w:val="205BA8"/>
        </w:rPr>
        <w:t xml:space="preserve"> </w:t>
      </w:r>
      <w:r>
        <w:rPr>
          <w:rFonts w:ascii="Arial" w:cs="Arial" w:eastAsia="Arial" w:hAnsi="Arial"/>
          <w:sz w:val="14"/>
          <w:szCs w:val="14"/>
          <w:color w:val="000000"/>
        </w:rPr>
        <w:t xml:space="preserve">industry by </w:t>
      </w:r>
      <w:r>
        <w:rPr>
          <w:rFonts w:ascii="Arial" w:cs="Arial" w:eastAsia="Arial" w:hAnsi="Arial"/>
          <w:sz w:val="14"/>
          <w:szCs w:val="14"/>
          <w:i w:val="1"/>
          <w:iCs w:val="1"/>
          <w:color w:val="000000"/>
        </w:rPr>
        <w:t>Science</w:t>
      </w:r>
      <w:r>
        <w:rPr>
          <w:rFonts w:ascii="Arial" w:cs="Arial" w:eastAsia="Arial" w:hAnsi="Arial"/>
          <w:sz w:val="14"/>
          <w:szCs w:val="14"/>
          <w:color w:val="000000"/>
        </w:rPr>
        <w:t xml:space="preserve"> magazine, named five times as one of the “100 Best Companies to Work For” by </w:t>
      </w:r>
      <w:r>
        <w:rPr>
          <w:rFonts w:ascii="Arial" w:cs="Arial" w:eastAsia="Arial" w:hAnsi="Arial"/>
          <w:sz w:val="14"/>
          <w:szCs w:val="14"/>
          <w:i w:val="1"/>
          <w:iCs w:val="1"/>
          <w:color w:val="000000"/>
        </w:rPr>
        <w:t>FORTUNE</w:t>
      </w:r>
      <w:r>
        <w:rPr>
          <w:rFonts w:ascii="Arial" w:cs="Arial" w:eastAsia="Arial" w:hAnsi="Arial"/>
          <w:sz w:val="14"/>
          <w:szCs w:val="14"/>
          <w:color w:val="000000"/>
        </w:rPr>
        <w:t xml:space="preserve"> magazine, and named four times as one of the world’s top 10 Most Innovative Companies by </w:t>
      </w:r>
      <w:r>
        <w:rPr>
          <w:rFonts w:ascii="Arial" w:cs="Arial" w:eastAsia="Arial" w:hAnsi="Arial"/>
          <w:sz w:val="14"/>
          <w:szCs w:val="14"/>
          <w:i w:val="1"/>
          <w:iCs w:val="1"/>
          <w:color w:val="000000"/>
        </w:rPr>
        <w:t>Forbes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817245</wp:posOffset>
            </wp:positionV>
            <wp:extent cx="64020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02070" cy="82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82550</wp:posOffset>
            </wp:positionV>
            <wp:extent cx="3300095" cy="535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00095" cy="53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Year of initial FDA approval.</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54  /  </w:t>
      </w:r>
      <w:r>
        <w:rPr>
          <w:sz w:val="1"/>
          <w:szCs w:val="1"/>
          <w:color w:val="auto"/>
        </w:rPr>
        <w:drawing>
          <wp:inline distT="0" distB="0" distL="0" distR="0">
            <wp:extent cx="717550" cy="825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67" w:name="page68"/>
    <w:bookmarkEnd w:id="67"/>
    <w:p>
      <w:pPr>
        <w:jc w:val="right"/>
        <w:ind w:right="50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D61C5A"/>
        </w:rPr>
        <w:t>Financial Performance Highlights</w:t>
      </w:r>
    </w:p>
    <w:p>
      <w:pPr>
        <w:spacing w:after="0" w:line="160" w:lineRule="exact"/>
        <w:rPr>
          <w:sz w:val="20"/>
          <w:szCs w:val="20"/>
          <w:color w:val="auto"/>
        </w:rPr>
      </w:pPr>
    </w:p>
    <w:p>
      <w:pPr>
        <w:ind w:left="3540" w:right="720"/>
        <w:spacing w:after="0" w:line="247" w:lineRule="auto"/>
        <w:rPr>
          <w:sz w:val="20"/>
          <w:szCs w:val="20"/>
          <w:color w:val="auto"/>
        </w:rPr>
      </w:pPr>
      <w:r>
        <w:rPr>
          <w:rFonts w:ascii="Arial" w:cs="Arial" w:eastAsia="Arial" w:hAnsi="Arial"/>
          <w:sz w:val="14"/>
          <w:szCs w:val="14"/>
          <w:b w:val="1"/>
          <w:bCs w:val="1"/>
          <w:color w:val="205BA8"/>
        </w:rPr>
        <w:t xml:space="preserve">Revenue Increase and Diversification. </w:t>
      </w:r>
      <w:r>
        <w:rPr>
          <w:rFonts w:ascii="Arial" w:cs="Arial" w:eastAsia="Arial" w:hAnsi="Arial"/>
          <w:sz w:val="14"/>
          <w:szCs w:val="14"/>
          <w:color w:val="000000"/>
        </w:rPr>
        <w:t>Our progress with expanding our portfolio of internally discovered and</w:t>
      </w:r>
      <w:r>
        <w:rPr>
          <w:rFonts w:ascii="Arial" w:cs="Arial" w:eastAsia="Arial" w:hAnsi="Arial"/>
          <w:sz w:val="14"/>
          <w:szCs w:val="14"/>
          <w:b w:val="1"/>
          <w:bCs w:val="1"/>
          <w:color w:val="205BA8"/>
        </w:rPr>
        <w:t xml:space="preserve"> </w:t>
      </w:r>
      <w:r>
        <w:rPr>
          <w:rFonts w:ascii="Arial" w:cs="Arial" w:eastAsia="Arial" w:hAnsi="Arial"/>
          <w:sz w:val="14"/>
          <w:szCs w:val="14"/>
          <w:color w:val="000000"/>
        </w:rPr>
        <w:t>developed marketed products translated into an increase in our revenues by 138%, to $6.7 billion. We also took important steps toward greater diversification of our revenues. In particular, in its first full year on the market (2018), Dupixent generated $922 million of global net product sales (as recorded by our collaborator Sanofi).</w:t>
      </w:r>
    </w:p>
    <w:p>
      <w:pPr>
        <w:spacing w:after="0" w:line="117" w:lineRule="exact"/>
        <w:rPr>
          <w:sz w:val="20"/>
          <w:szCs w:val="20"/>
          <w:color w:val="auto"/>
        </w:rPr>
      </w:pPr>
    </w:p>
    <w:p>
      <w:pPr>
        <w:jc w:val="both"/>
        <w:ind w:left="3540" w:right="640"/>
        <w:spacing w:after="0" w:line="225" w:lineRule="auto"/>
        <w:rPr>
          <w:sz w:val="20"/>
          <w:szCs w:val="20"/>
          <w:color w:val="auto"/>
        </w:rPr>
      </w:pPr>
      <w:r>
        <w:rPr>
          <w:rFonts w:ascii="Arial" w:cs="Arial" w:eastAsia="Arial" w:hAnsi="Arial"/>
          <w:sz w:val="15"/>
          <w:szCs w:val="15"/>
          <w:b w:val="1"/>
          <w:bCs w:val="1"/>
          <w:color w:val="205BA8"/>
        </w:rPr>
        <w:t xml:space="preserve">Strengthening Our Financial Condition. </w:t>
      </w:r>
      <w:r>
        <w:rPr>
          <w:rFonts w:ascii="Arial" w:cs="Arial" w:eastAsia="Arial" w:hAnsi="Arial"/>
          <w:sz w:val="15"/>
          <w:szCs w:val="15"/>
          <w:color w:val="000000"/>
        </w:rPr>
        <w:t>Our cash, cash equivalents, and marketable securities grew by 236%,</w:t>
      </w:r>
      <w:r>
        <w:rPr>
          <w:rFonts w:ascii="Arial" w:cs="Arial" w:eastAsia="Arial" w:hAnsi="Arial"/>
          <w:sz w:val="15"/>
          <w:szCs w:val="15"/>
          <w:b w:val="1"/>
          <w:bCs w:val="1"/>
          <w:color w:val="205BA8"/>
        </w:rPr>
        <w:t xml:space="preserve"> </w:t>
      </w:r>
      <w:r>
        <w:rPr>
          <w:rFonts w:ascii="Arial" w:cs="Arial" w:eastAsia="Arial" w:hAnsi="Arial"/>
          <w:sz w:val="15"/>
          <w:szCs w:val="15"/>
          <w:color w:val="000000"/>
        </w:rPr>
        <w:t>to $4.6 billion, and we solidified our financial condition by repaying all of our outstanding convertible senior notes and purchasing outstanding warrants we issued as part of a 2011 financing transaction.</w:t>
      </w:r>
    </w:p>
    <w:p>
      <w:pPr>
        <w:spacing w:after="0" w:line="1" w:lineRule="exact"/>
        <w:rPr>
          <w:sz w:val="20"/>
          <w:szCs w:val="20"/>
          <w:color w:val="auto"/>
        </w:rPr>
      </w:pPr>
    </w:p>
    <w:p>
      <w:pPr>
        <w:ind w:left="3540" w:right="680"/>
        <w:spacing w:after="0" w:line="229" w:lineRule="auto"/>
        <w:rPr>
          <w:sz w:val="20"/>
          <w:szCs w:val="20"/>
          <w:color w:val="auto"/>
        </w:rPr>
      </w:pPr>
      <w:r>
        <w:rPr>
          <w:rFonts w:ascii="Arial" w:cs="Arial" w:eastAsia="Arial" w:hAnsi="Arial"/>
          <w:sz w:val="15"/>
          <w:szCs w:val="15"/>
          <w:color w:val="auto"/>
        </w:rPr>
        <w:t>We also obtained additional financial flexibility by securing a $750 million revolving credit facility, which remained undrawn at the end of this period.</w:t>
      </w:r>
    </w:p>
    <w:p>
      <w:pPr>
        <w:spacing w:after="0" w:line="121" w:lineRule="exact"/>
        <w:rPr>
          <w:sz w:val="20"/>
          <w:szCs w:val="20"/>
          <w:color w:val="auto"/>
        </w:rPr>
      </w:pPr>
    </w:p>
    <w:p>
      <w:pPr>
        <w:ind w:left="3540" w:right="520"/>
        <w:spacing w:after="0" w:line="229" w:lineRule="auto"/>
        <w:rPr>
          <w:sz w:val="20"/>
          <w:szCs w:val="20"/>
          <w:color w:val="auto"/>
        </w:rPr>
      </w:pPr>
      <w:r>
        <w:rPr>
          <w:rFonts w:ascii="Arial" w:cs="Arial" w:eastAsia="Arial" w:hAnsi="Arial"/>
          <w:sz w:val="15"/>
          <w:szCs w:val="15"/>
          <w:b w:val="1"/>
          <w:bCs w:val="1"/>
          <w:color w:val="205BA8"/>
        </w:rPr>
        <w:t xml:space="preserve">Deployment of Capital to R&amp;D. </w:t>
      </w:r>
      <w:r>
        <w:rPr>
          <w:rFonts w:ascii="Arial" w:cs="Arial" w:eastAsia="Arial" w:hAnsi="Arial"/>
          <w:sz w:val="15"/>
          <w:szCs w:val="15"/>
          <w:color w:val="000000"/>
        </w:rPr>
        <w:t>Over the last five years, we deployed an aggregate of $9.2 billion to research and</w:t>
      </w:r>
      <w:r>
        <w:rPr>
          <w:rFonts w:ascii="Arial" w:cs="Arial" w:eastAsia="Arial" w:hAnsi="Arial"/>
          <w:sz w:val="15"/>
          <w:szCs w:val="15"/>
          <w:b w:val="1"/>
          <w:bCs w:val="1"/>
          <w:color w:val="205BA8"/>
        </w:rPr>
        <w:t xml:space="preserve"> </w:t>
      </w:r>
      <w:r>
        <w:rPr>
          <w:rFonts w:ascii="Arial" w:cs="Arial" w:eastAsia="Arial" w:hAnsi="Arial"/>
          <w:sz w:val="15"/>
          <w:szCs w:val="15"/>
          <w:color w:val="000000"/>
        </w:rPr>
        <w:t>development, excluding the additional $3.5 billion deployed to our R&amp;D projects directly by our collaborators over this period. Importantly, our R&amp;D spend was focused on organic growth driven by our internal pipeline, rather than growth through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114300</wp:posOffset>
            </wp:positionV>
            <wp:extent cx="46863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45"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205BA8"/>
        </w:rPr>
        <w:t>Key Performance Metrics</w:t>
      </w:r>
    </w:p>
    <w:p>
      <w:pPr>
        <w:sectPr>
          <w:pgSz w:w="11900" w:h="16838" w:orient="portrait"/>
          <w:cols w:equalWidth="0" w:num="1">
            <w:col w:w="11420"/>
          </w:cols>
          <w:pgMar w:left="240" w:top="396" w:right="239" w:bottom="1440" w:gutter="0" w:footer="0" w:header="0"/>
        </w:sectPr>
      </w:pP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D61C5A"/>
        </w:rPr>
        <w:t>Revenues</w:t>
      </w:r>
    </w:p>
    <w:p>
      <w:pPr>
        <w:spacing w:after="0" w:line="6"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D61C5A"/>
        </w:rPr>
        <w:t>($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163830</wp:posOffset>
            </wp:positionV>
            <wp:extent cx="1155065" cy="1196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55065" cy="1196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D61C5A"/>
        </w:rPr>
        <w:t>Global Net Product Sales of EYLEA*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D61C5A"/>
        </w:rPr>
        <w:t>($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163830</wp:posOffset>
            </wp:positionV>
            <wp:extent cx="1155065" cy="11880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55065" cy="1188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D61C5A"/>
        </w:rPr>
        <w:t>Global Net Product Sales of Other</w:t>
      </w:r>
    </w:p>
    <w:p>
      <w:pPr>
        <w:spacing w:after="0" w:line="236" w:lineRule="auto"/>
        <w:rPr>
          <w:sz w:val="20"/>
          <w:szCs w:val="20"/>
          <w:color w:val="auto"/>
        </w:rPr>
      </w:pPr>
      <w:r>
        <w:rPr>
          <w:rFonts w:ascii="Arial" w:cs="Arial" w:eastAsia="Arial" w:hAnsi="Arial"/>
          <w:sz w:val="12"/>
          <w:szCs w:val="12"/>
          <w:b w:val="1"/>
          <w:bCs w:val="1"/>
          <w:color w:val="D61C5A"/>
        </w:rPr>
        <w:t>Products**</w:t>
      </w:r>
    </w:p>
    <w:p>
      <w:pPr>
        <w:spacing w:after="0"/>
        <w:rPr>
          <w:sz w:val="20"/>
          <w:szCs w:val="20"/>
          <w:color w:val="auto"/>
        </w:rPr>
      </w:pPr>
      <w:r>
        <w:rPr>
          <w:rFonts w:ascii="Arial" w:cs="Arial" w:eastAsia="Arial" w:hAnsi="Arial"/>
          <w:sz w:val="12"/>
          <w:szCs w:val="12"/>
          <w:b w:val="1"/>
          <w:bCs w:val="1"/>
          <w:color w:val="D61C5A"/>
        </w:rPr>
        <w:t>($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1155065" cy="12458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55065" cy="1245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340" w:space="720"/>
            <w:col w:w="2080" w:space="480"/>
            <w:col w:w="2800"/>
          </w:cols>
          <w:pgMar w:left="240" w:top="3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D61C5A"/>
        </w:rPr>
        <w:t>Cash, Cash Equivalents, and</w:t>
      </w:r>
    </w:p>
    <w:p>
      <w:pPr>
        <w:spacing w:after="0" w:line="6"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D61C5A"/>
        </w:rPr>
        <w:t>Marketable Securities (as of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97790</wp:posOffset>
            </wp:positionV>
            <wp:extent cx="2887345" cy="4787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87345" cy="478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D61C5A"/>
        </w:rPr>
        <w:t>Number of Marketed Products (as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D61C5A"/>
        </w:rPr>
        <w:t>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675005</wp:posOffset>
            </wp:positionV>
            <wp:extent cx="46863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40"/>
            <w:col w:w="5360"/>
          </w:cols>
          <w:pgMar w:left="240" w:top="3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*Bayer records net product sales of EYLEA outside the United States.</w:t>
      </w:r>
    </w:p>
    <w:p>
      <w:pPr>
        <w:spacing w:after="0" w:line="86"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**Sanofi records global net product sales of Dupixent, Praluent, Kevzara, and ZALTRAP.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55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6600190"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05" w:lineRule="exact"/>
        <w:rPr>
          <w:sz w:val="20"/>
          <w:szCs w:val="20"/>
          <w:color w:val="auto"/>
        </w:rPr>
      </w:pPr>
    </w:p>
    <w:p>
      <w:pPr>
        <w:ind w:left="3020" w:right="60"/>
        <w:spacing w:after="0" w:line="236" w:lineRule="auto"/>
        <w:rPr>
          <w:sz w:val="20"/>
          <w:szCs w:val="20"/>
          <w:color w:val="auto"/>
        </w:rPr>
      </w:pPr>
      <w:r>
        <w:rPr>
          <w:rFonts w:ascii="Arial" w:cs="Arial" w:eastAsia="Arial" w:hAnsi="Arial"/>
          <w:sz w:val="14"/>
          <w:szCs w:val="14"/>
          <w:color w:val="auto"/>
        </w:rPr>
        <w:t>In this period, our stock’s performance approximated that of the S&amp;P 500 Index, but, despite progress in many key areas of our business as described above, our stock underperformed the S&amp;P Biotechnology Select Industry Index. Over the 10-year period ended December 31, 2018, we delivered stock price appreciation of 1,934% and outperformed both the S&amp;P 500 Index (2008–2018 total shareholder return of 243%) and the S&amp;P Biotechnology Select Industry Index (2008–2018 total shareholder return of 315%). While we cannot predict the performance of our stock price in any particular time period, we believe that if we continue to deliver operational, pipeline, and financial results, the creation of shareholder value and stock price appreciation will follow.</w:t>
      </w:r>
    </w:p>
    <w:p>
      <w:pPr>
        <w:spacing w:after="0" w:line="121" w:lineRule="exact"/>
        <w:rPr>
          <w:sz w:val="20"/>
          <w:szCs w:val="20"/>
          <w:color w:val="auto"/>
        </w:rPr>
      </w:pPr>
    </w:p>
    <w:p>
      <w:pPr>
        <w:ind w:left="3020"/>
        <w:spacing w:after="0"/>
        <w:rPr>
          <w:sz w:val="20"/>
          <w:szCs w:val="20"/>
          <w:color w:val="auto"/>
        </w:rPr>
      </w:pPr>
      <w:r>
        <w:rPr>
          <w:rFonts w:ascii="Arial" w:cs="Arial" w:eastAsia="Arial" w:hAnsi="Arial"/>
          <w:sz w:val="12"/>
          <w:szCs w:val="12"/>
          <w:b w:val="1"/>
          <w:bCs w:val="1"/>
          <w:color w:val="D61C5A"/>
        </w:rPr>
        <w:t>Regeneron 5-Year TSR vs. S&amp;P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106680</wp:posOffset>
            </wp:positionV>
            <wp:extent cx="4124960" cy="16827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124960"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*TSR data reflect total returns (stock price appreciation and, if applicable,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117475</wp:posOffset>
            </wp:positionV>
            <wp:extent cx="46863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50"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Delivering Growth and Managing Dilution</w:t>
      </w:r>
    </w:p>
    <w:p>
      <w:pPr>
        <w:spacing w:after="0" w:line="176" w:lineRule="exact"/>
        <w:rPr>
          <w:sz w:val="20"/>
          <w:szCs w:val="20"/>
          <w:color w:val="auto"/>
        </w:rPr>
      </w:pPr>
    </w:p>
    <w:p>
      <w:pPr>
        <w:ind w:left="3020" w:right="20"/>
        <w:spacing w:after="0" w:line="219" w:lineRule="auto"/>
        <w:rPr>
          <w:sz w:val="20"/>
          <w:szCs w:val="20"/>
          <w:color w:val="auto"/>
        </w:rPr>
      </w:pPr>
      <w:r>
        <w:rPr>
          <w:rFonts w:ascii="Arial" w:cs="Arial" w:eastAsia="Arial" w:hAnsi="Arial"/>
          <w:sz w:val="15"/>
          <w:szCs w:val="15"/>
          <w:color w:val="auto"/>
        </w:rPr>
        <w:t>In the last ten years, the number of our employees increased by over 700% and we created nearly 6,500 new full-time jobs. This degree of growth cannot be realized without an impact on our all-employee equity program. In recognition of the impact of our growth on the use of equity, commencing in 2013, we started to reduce the number of options granted per employee, including to our CEO, by approximately 54% between 2012 and 2018. This allowed us to maintain our annual burn rate at levels we consider reasonable for a high-growth company without sacrificing our core business principle that equity participation by all employees supports innovation that drives growth. Consistent with our all-employee equity award strategy, approximately 90% of the employee equity grants in 2018 (both based on grant date fair value and number of underlying shares) were made to our employees who were not NEOs.</w:t>
      </w:r>
    </w:p>
    <w:p>
      <w:pPr>
        <w:spacing w:after="0" w:line="129" w:lineRule="exact"/>
        <w:rPr>
          <w:sz w:val="20"/>
          <w:szCs w:val="20"/>
          <w:color w:val="auto"/>
        </w:rPr>
      </w:pPr>
    </w:p>
    <w:p>
      <w:pPr>
        <w:ind w:left="3020" w:right="80"/>
        <w:spacing w:after="0" w:line="227" w:lineRule="auto"/>
        <w:rPr>
          <w:sz w:val="20"/>
          <w:szCs w:val="20"/>
          <w:color w:val="auto"/>
        </w:rPr>
      </w:pPr>
      <w:r>
        <w:rPr>
          <w:rFonts w:ascii="Arial" w:cs="Arial" w:eastAsia="Arial" w:hAnsi="Arial"/>
          <w:sz w:val="15"/>
          <w:szCs w:val="15"/>
          <w:color w:val="auto"/>
        </w:rPr>
        <w:t>The relative stability of our recent burn rate (</w:t>
      </w:r>
      <w:r>
        <w:rPr>
          <w:rFonts w:ascii="Arial" w:cs="Arial" w:eastAsia="Arial" w:hAnsi="Arial"/>
          <w:sz w:val="15"/>
          <w:szCs w:val="15"/>
          <w:i w:val="1"/>
          <w:iCs w:val="1"/>
          <w:color w:val="auto"/>
        </w:rPr>
        <w:t>i.e.</w:t>
      </w:r>
      <w:r>
        <w:rPr>
          <w:rFonts w:ascii="Arial" w:cs="Arial" w:eastAsia="Arial" w:hAnsi="Arial"/>
          <w:sz w:val="15"/>
          <w:szCs w:val="15"/>
          <w:color w:val="auto"/>
        </w:rPr>
        <w:t>, the burn rate resulting from all equity awards made in a particular year) despite increasing headcount and maintaining a program with full employee participation is shown below for the period between 2012 and 2018, in which we implemented year-over-year reductions in the option grants per employee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56  /  </w:t>
      </w:r>
      <w:r>
        <w:rPr>
          <w:sz w:val="1"/>
          <w:szCs w:val="1"/>
          <w:color w:val="auto"/>
        </w:rPr>
        <w:drawing>
          <wp:inline distT="0" distB="0" distL="0" distR="0">
            <wp:extent cx="717550" cy="8255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401" w:right="739" w:bottom="1440" w:gutter="0" w:footer="0" w:header="0"/>
        </w:sectPr>
      </w:pPr>
    </w:p>
    <w:bookmarkStart w:id="69" w:name="page70"/>
    <w:bookmarkEnd w:id="69"/>
    <w:p>
      <w:pPr>
        <w:jc w:val="right"/>
        <w:ind w:right="50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3810</wp:posOffset>
            </wp:positionV>
            <wp:extent cx="6600190"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7"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D61C5A"/>
        </w:rPr>
        <w:t>Regeneron Stock Utilization vs.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106680</wp:posOffset>
            </wp:positionV>
            <wp:extent cx="4686300" cy="16414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686300" cy="164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0" w:right="640" w:hanging="69"/>
        <w:spacing w:after="0" w:line="234" w:lineRule="auto"/>
        <w:tabs>
          <w:tab w:leader="none" w:pos="3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Burn rate calculated by dividing the number of shares subject to equity awards (stock options, restricted stock, and restricted stock units) granted during the year by the basic weighted-average number of shares of common stock and Class A stock outstanding during the year. Commencing in 2018, a multiplier of 2.5 is applied to awards of restricted stock and restricted stock units. For comparison purposes, the previously reported 2012–2017 burn rates have been adjusted in this chart using the same multiplier. Headcount numbers based on the number of employees as of December 31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116840</wp:posOffset>
            </wp:positionV>
            <wp:extent cx="46863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49"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205BA8"/>
        </w:rPr>
        <w:t>CEO Pay-for-Performance Alignment</w:t>
      </w:r>
    </w:p>
    <w:p>
      <w:pPr>
        <w:spacing w:after="0" w:line="172" w:lineRule="exact"/>
        <w:rPr>
          <w:sz w:val="20"/>
          <w:szCs w:val="20"/>
          <w:color w:val="auto"/>
        </w:rPr>
      </w:pPr>
    </w:p>
    <w:p>
      <w:pPr>
        <w:ind w:left="3540" w:right="580"/>
        <w:spacing w:after="0" w:line="202" w:lineRule="auto"/>
        <w:rPr>
          <w:sz w:val="20"/>
          <w:szCs w:val="20"/>
          <w:color w:val="auto"/>
        </w:rPr>
      </w:pPr>
      <w:r>
        <w:rPr>
          <w:rFonts w:ascii="Arial" w:cs="Arial" w:eastAsia="Arial" w:hAnsi="Arial"/>
          <w:sz w:val="14"/>
          <w:szCs w:val="14"/>
          <w:color w:val="auto"/>
        </w:rPr>
        <w:t>Only a small fraction (5%) of our CEO’s direct pay</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is not directly correlated to performance, with 95% of his direct pay consisting of performance-based (“at-risk”) compensation. The high proportion of at-risk pay has been a consistent and defining feature of our CEO compensation structure. In contrast, the percentage of CEO at-risk</w:t>
      </w:r>
    </w:p>
    <w:p>
      <w:pPr>
        <w:ind w:left="3540"/>
        <w:spacing w:after="0"/>
        <w:rPr>
          <w:sz w:val="20"/>
          <w:szCs w:val="20"/>
          <w:color w:val="auto"/>
        </w:rPr>
      </w:pPr>
      <w:r>
        <w:rPr>
          <w:rFonts w:ascii="Arial" w:cs="Arial" w:eastAsia="Arial" w:hAnsi="Arial"/>
          <w:sz w:val="15"/>
          <w:szCs w:val="15"/>
          <w:color w:val="auto"/>
        </w:rPr>
        <w:t>compensation in our Peer Group is significantly lower, at 81%.</w:t>
      </w:r>
      <w:r>
        <w:rPr>
          <w:rFonts w:ascii="Arial" w:cs="Arial" w:eastAsia="Arial" w:hAnsi="Arial"/>
          <w:sz w:val="24"/>
          <w:szCs w:val="24"/>
          <w:color w:val="auto"/>
          <w:vertAlign w:val="superscript"/>
        </w:rPr>
        <w:t>5</w:t>
      </w:r>
    </w:p>
    <w:p>
      <w:pPr>
        <w:spacing w:after="0" w:line="66" w:lineRule="exact"/>
        <w:rPr>
          <w:sz w:val="20"/>
          <w:szCs w:val="20"/>
          <w:color w:val="auto"/>
        </w:rPr>
      </w:pPr>
    </w:p>
    <w:p>
      <w:pPr>
        <w:ind w:left="3540" w:right="540"/>
        <w:spacing w:after="0" w:line="235" w:lineRule="auto"/>
        <w:rPr>
          <w:sz w:val="20"/>
          <w:szCs w:val="20"/>
          <w:color w:val="auto"/>
        </w:rPr>
      </w:pPr>
      <w:r>
        <w:rPr>
          <w:rFonts w:ascii="Arial" w:cs="Arial" w:eastAsia="Arial" w:hAnsi="Arial"/>
          <w:sz w:val="14"/>
          <w:szCs w:val="14"/>
          <w:color w:val="auto"/>
        </w:rPr>
        <w:t>CEO equity compensation declined in 2018, with equity grant date fair value that was 3% lower and 7.5% fewer options than in 2017. Looking at our CEO pay and performance from a longer-term perspective, over the last six years (the period in which we reduced, on a year-over-year basis, the number of stock options granted to our CEO as well as per employee) our total shareholder return was 118% but our CEO’s total direct compensation declined by 14%. Importantly, in line with our dilution-based approach to setting equity compensation, we did not attempt to make up any decline of our stock price in any of these years by granting our CEO a greater number of options to reach a target “value.” To the contrary, we have been steadily reducing the number of his options in the last six years (by 15% versus the prior year in each of 2013, 2014, 2015, and 2016; by 5% in 2017; and by 7.5% in 2018), just like the grants to our other employees, in order to manage our overall burn rate.</w:t>
      </w:r>
    </w:p>
    <w:p>
      <w:pPr>
        <w:spacing w:after="0" w:line="122"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D61C5A"/>
        </w:rPr>
        <w:t>6-Year Change in CEO Total Direct Compensation vs. 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106680</wp:posOffset>
            </wp:positionV>
            <wp:extent cx="4949825" cy="1559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949825"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80" w:right="1800" w:hanging="149"/>
        <w:spacing w:after="0" w:line="237" w:lineRule="auto"/>
        <w:tabs>
          <w:tab w:leader="none" w:pos="36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“CEO total direct compensation” means total compensation as reported in the Summary Compensation Table in the applicable proxy statement (other than amounts reported as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90170</wp:posOffset>
            </wp:positionV>
            <wp:extent cx="66001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18" w:lineRule="exact"/>
        <w:rPr>
          <w:sz w:val="20"/>
          <w:szCs w:val="20"/>
          <w:color w:val="auto"/>
        </w:rPr>
      </w:pPr>
    </w:p>
    <w:p>
      <w:pPr>
        <w:ind w:left="720" w:right="620" w:hanging="203"/>
        <w:spacing w:after="0" w:line="239" w:lineRule="auto"/>
        <w:tabs>
          <w:tab w:leader="none" w:pos="720" w:val="left"/>
        </w:tabs>
        <w:numPr>
          <w:ilvl w:val="0"/>
          <w:numId w:val="62"/>
        </w:numPr>
        <w:rPr>
          <w:rFonts w:ascii="Arial" w:cs="Arial" w:eastAsia="Arial" w:hAnsi="Arial"/>
          <w:sz w:val="14"/>
          <w:szCs w:val="14"/>
          <w:b w:val="1"/>
          <w:bCs w:val="1"/>
          <w:color w:val="205BA8"/>
        </w:rPr>
      </w:pPr>
      <w:r>
        <w:rPr>
          <w:rFonts w:ascii="Arial" w:cs="Arial" w:eastAsia="Arial" w:hAnsi="Arial"/>
          <w:sz w:val="14"/>
          <w:szCs w:val="14"/>
          <w:color w:val="auto"/>
        </w:rPr>
        <w:t>We define “direct pay” or “direct compensation” as total compensation as reported in the Summary Compensation Table in the applicable proxy statement, other than the amounts reported as “All other compensation.”</w:t>
      </w:r>
    </w:p>
    <w:p>
      <w:pPr>
        <w:spacing w:after="0" w:line="134" w:lineRule="exact"/>
        <w:rPr>
          <w:sz w:val="20"/>
          <w:szCs w:val="20"/>
          <w:color w:val="auto"/>
        </w:rPr>
      </w:pPr>
    </w:p>
    <w:p>
      <w:pPr>
        <w:ind w:left="720" w:right="600" w:hanging="203"/>
        <w:spacing w:after="0" w:line="239" w:lineRule="auto"/>
        <w:tabs>
          <w:tab w:leader="none" w:pos="720" w:val="left"/>
        </w:tabs>
        <w:numPr>
          <w:ilvl w:val="0"/>
          <w:numId w:val="63"/>
        </w:numPr>
        <w:rPr>
          <w:rFonts w:ascii="Arial" w:cs="Arial" w:eastAsia="Arial" w:hAnsi="Arial"/>
          <w:sz w:val="14"/>
          <w:szCs w:val="14"/>
          <w:b w:val="1"/>
          <w:bCs w:val="1"/>
          <w:color w:val="205BA8"/>
        </w:rPr>
      </w:pPr>
      <w:r>
        <w:rPr>
          <w:rFonts w:ascii="Arial" w:cs="Arial" w:eastAsia="Arial" w:hAnsi="Arial"/>
          <w:sz w:val="14"/>
          <w:szCs w:val="14"/>
          <w:color w:val="auto"/>
        </w:rPr>
        <w:t>Based on the Peer Group median for each compensation component (using data reported for 2017). See the subsection “Our Compensation Processes—Peer Data” below for a list of the companies included in our Peer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57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0" w:name="page71"/>
    <w:bookmarkEnd w:id="70"/>
    <w:p>
      <w:pPr>
        <w:ind w:left="5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3810</wp:posOffset>
            </wp:positionV>
            <wp:extent cx="6600190"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144145</wp:posOffset>
            </wp:positionV>
            <wp:extent cx="66001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Shareholder Engagement and Feedback</w:t>
      </w:r>
    </w:p>
    <w:p>
      <w:pPr>
        <w:spacing w:after="0" w:line="176" w:lineRule="exact"/>
        <w:rPr>
          <w:sz w:val="20"/>
          <w:szCs w:val="20"/>
          <w:color w:val="auto"/>
        </w:rPr>
      </w:pPr>
    </w:p>
    <w:p>
      <w:pPr>
        <w:ind w:left="520" w:right="520"/>
        <w:spacing w:after="0" w:line="219" w:lineRule="auto"/>
        <w:rPr>
          <w:sz w:val="20"/>
          <w:szCs w:val="20"/>
          <w:color w:val="auto"/>
        </w:rPr>
      </w:pPr>
      <w:r>
        <w:rPr>
          <w:rFonts w:ascii="Arial" w:cs="Arial" w:eastAsia="Arial" w:hAnsi="Arial"/>
          <w:sz w:val="15"/>
          <w:szCs w:val="15"/>
          <w:color w:val="auto"/>
        </w:rPr>
        <w:t>While we believe our compensation model is the right one for our Company at this time and is supported by our long-term performance, we actively seek your input on compensation and governance matters and are always open to new ideas. Our shareholder outreach program is extensive, as shown by the fact that last year we engaged in direct one-on-one discussions with shareholders collectively representing nearly 50% of the shares of common stock outstanding as of December 31, 2018 (excluding shares held by our directors and executive officers and Sanofi). We solicit our shareholders’ input both in connection with our annual shareholder meetings and in the “off-season,” where we discuss compensation, governance, and other issues of importance and interest to our shareholders. During the 2018 off-season outreach, we focused the discussions on, among other matters, human capital management. We encourage director participation as part of our shareholder engagement, and the Compensation Committee Chair has been involved in our outreach. We take shareholder feedback into account for our compensation and governance decisions. See the subsection “Our Compensation Processes — Shareholder Input and Outreach”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116205</wp:posOffset>
            </wp:positionV>
            <wp:extent cx="66001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34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Executive Compensation Best Practices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is a summary of some of our executive compensation best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89535</wp:posOffset>
            </wp:positionV>
            <wp:extent cx="6600190" cy="2476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00190" cy="247650"/>
                    </a:xfrm>
                    <a:prstGeom prst="rect">
                      <a:avLst/>
                    </a:prstGeom>
                    <a:noFill/>
                  </pic:spPr>
                </pic:pic>
              </a:graphicData>
            </a:graphic>
          </wp:anchor>
        </w:drawing>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205BA8"/>
        </w:rPr>
        <w:t>WHAT WE DO</w:t>
      </w:r>
    </w:p>
    <w:p>
      <w:pPr>
        <w:sectPr>
          <w:pgSz w:w="11900" w:h="16838" w:orient="portrait"/>
          <w:cols w:equalWidth="0" w:num="1">
            <w:col w:w="11420"/>
          </w:cols>
          <w:pgMar w:left="240" w:top="401" w:right="239" w:bottom="1440" w:gutter="0" w:footer="0" w:header="0"/>
        </w:sectPr>
      </w:pPr>
    </w:p>
    <w:p>
      <w:pPr>
        <w:spacing w:after="0" w:line="251" w:lineRule="exact"/>
        <w:rPr>
          <w:sz w:val="20"/>
          <w:szCs w:val="20"/>
          <w:color w:val="auto"/>
        </w:rPr>
      </w:pPr>
    </w:p>
    <w:p>
      <w:pPr>
        <w:ind w:left="600"/>
        <w:spacing w:after="0"/>
        <w:rPr>
          <w:sz w:val="20"/>
          <w:szCs w:val="20"/>
          <w:color w:val="auto"/>
        </w:rPr>
      </w:pPr>
      <w:r>
        <w:rPr>
          <w:sz w:val="1"/>
          <w:szCs w:val="1"/>
          <w:color w:val="auto"/>
        </w:rPr>
        <w:drawing>
          <wp:inline distT="0" distB="0" distL="0" distR="0">
            <wp:extent cx="165100" cy="17335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5100" cy="173355"/>
                    </a:xfrm>
                    <a:prstGeom prst="rect">
                      <a:avLst/>
                    </a:prstGeom>
                    <a:noFill/>
                    <a:ln>
                      <a:noFill/>
                    </a:ln>
                  </pic:spPr>
                </pic:pic>
              </a:graphicData>
            </a:graphic>
          </wp:inline>
        </w:drawing>
      </w:r>
      <w:r>
        <w:rPr>
          <w:rFonts w:ascii="Arial" w:cs="Arial" w:eastAsia="Arial" w:hAnsi="Arial"/>
          <w:sz w:val="16"/>
          <w:szCs w:val="16"/>
          <w:b w:val="1"/>
          <w:bCs w:val="1"/>
          <w:color w:val="D61C5A"/>
        </w:rPr>
        <w:t xml:space="preserve"> Align pay with performance</w:t>
      </w:r>
    </w:p>
    <w:p>
      <w:pPr>
        <w:spacing w:after="0" w:line="213" w:lineRule="exact"/>
        <w:rPr>
          <w:sz w:val="20"/>
          <w:szCs w:val="20"/>
          <w:color w:val="auto"/>
        </w:rPr>
      </w:pPr>
    </w:p>
    <w:p>
      <w:pPr>
        <w:ind w:left="600"/>
        <w:spacing w:after="0"/>
        <w:rPr>
          <w:sz w:val="20"/>
          <w:szCs w:val="20"/>
          <w:color w:val="auto"/>
        </w:rPr>
      </w:pPr>
      <w:r>
        <w:rPr>
          <w:sz w:val="1"/>
          <w:szCs w:val="1"/>
          <w:color w:val="auto"/>
        </w:rPr>
        <w:drawing>
          <wp:inline distT="0" distB="0" distL="0" distR="0">
            <wp:extent cx="165100" cy="17335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65100" cy="173355"/>
                    </a:xfrm>
                    <a:prstGeom prst="rect">
                      <a:avLst/>
                    </a:prstGeom>
                    <a:noFill/>
                    <a:ln>
                      <a:noFill/>
                    </a:ln>
                  </pic:spPr>
                </pic:pic>
              </a:graphicData>
            </a:graphic>
          </wp:inline>
        </w:drawing>
      </w:r>
      <w:r>
        <w:rPr>
          <w:rFonts w:ascii="Arial" w:cs="Arial" w:eastAsia="Arial" w:hAnsi="Arial"/>
          <w:sz w:val="16"/>
          <w:szCs w:val="16"/>
          <w:b w:val="1"/>
          <w:bCs w:val="1"/>
          <w:color w:val="D61C5A"/>
        </w:rPr>
        <w:t xml:space="preserve"> Align compensation with shareholder interests</w:t>
      </w:r>
    </w:p>
    <w:p>
      <w:pPr>
        <w:spacing w:after="0" w:line="161" w:lineRule="exact"/>
        <w:rPr>
          <w:sz w:val="20"/>
          <w:szCs w:val="20"/>
          <w:color w:val="auto"/>
        </w:rPr>
      </w:pPr>
    </w:p>
    <w:p>
      <w:pPr>
        <w:ind w:left="600"/>
        <w:spacing w:after="0"/>
        <w:rPr>
          <w:sz w:val="20"/>
          <w:szCs w:val="20"/>
          <w:color w:val="auto"/>
        </w:rPr>
      </w:pPr>
      <w:r>
        <w:rPr>
          <w:sz w:val="1"/>
          <w:szCs w:val="1"/>
          <w:color w:val="auto"/>
        </w:rPr>
        <w:drawing>
          <wp:inline distT="0" distB="0" distL="0" distR="0">
            <wp:extent cx="165100" cy="17335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5100" cy="173355"/>
                    </a:xfrm>
                    <a:prstGeom prst="rect">
                      <a:avLst/>
                    </a:prstGeom>
                    <a:noFill/>
                    <a:ln>
                      <a:noFill/>
                    </a:ln>
                  </pic:spPr>
                </pic:pic>
              </a:graphicData>
            </a:graphic>
          </wp:inline>
        </w:drawing>
      </w:r>
      <w:r>
        <w:rPr>
          <w:rFonts w:ascii="Arial" w:cs="Arial" w:eastAsia="Arial" w:hAnsi="Arial"/>
          <w:sz w:val="16"/>
          <w:szCs w:val="16"/>
          <w:b w:val="1"/>
          <w:bCs w:val="1"/>
          <w:color w:val="D61C5A"/>
        </w:rPr>
        <w:t xml:space="preserve"> Apply robust stock ownership guidelines</w:t>
      </w:r>
    </w:p>
    <w:p>
      <w:pPr>
        <w:spacing w:after="0" w:line="169" w:lineRule="exact"/>
        <w:rPr>
          <w:sz w:val="20"/>
          <w:szCs w:val="20"/>
          <w:color w:val="auto"/>
        </w:rPr>
      </w:pPr>
    </w:p>
    <w:p>
      <w:pPr>
        <w:ind w:left="940" w:right="520"/>
        <w:spacing w:after="0" w:line="280" w:lineRule="auto"/>
        <w:rPr>
          <w:sz w:val="20"/>
          <w:szCs w:val="20"/>
          <w:color w:val="auto"/>
        </w:rPr>
      </w:pPr>
      <w:r>
        <w:rPr>
          <w:rFonts w:ascii="Arial" w:cs="Arial" w:eastAsia="Arial" w:hAnsi="Arial"/>
          <w:sz w:val="16"/>
          <w:szCs w:val="16"/>
          <w:b w:val="1"/>
          <w:bCs w:val="1"/>
          <w:color w:val="D61C5A"/>
        </w:rPr>
        <w:t>Apply “double trigger” change-in-control vesting provisions to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-255270</wp:posOffset>
            </wp:positionV>
            <wp:extent cx="165100" cy="1733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5100"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sz w:val="1"/>
          <w:szCs w:val="1"/>
          <w:color w:val="auto"/>
        </w:rPr>
        <w:drawing>
          <wp:inline distT="0" distB="0" distL="0" distR="0">
            <wp:extent cx="165100" cy="17335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5100" cy="173355"/>
                    </a:xfrm>
                    <a:prstGeom prst="rect">
                      <a:avLst/>
                    </a:prstGeom>
                    <a:noFill/>
                    <a:ln>
                      <a:noFill/>
                    </a:ln>
                  </pic:spPr>
                </pic:pic>
              </a:graphicData>
            </a:graphic>
          </wp:inline>
        </w:drawing>
      </w:r>
      <w:r>
        <w:rPr>
          <w:rFonts w:ascii="Arial" w:cs="Arial" w:eastAsia="Arial" w:hAnsi="Arial"/>
          <w:sz w:val="16"/>
          <w:szCs w:val="16"/>
          <w:b w:val="1"/>
          <w:bCs w:val="1"/>
          <w:color w:val="D61C5A"/>
        </w:rPr>
        <w:t xml:space="preserve"> Maintain a strong recoupment (clawback) policy</w:t>
      </w:r>
    </w:p>
    <w:p>
      <w:pPr>
        <w:spacing w:after="0" w:line="213" w:lineRule="exact"/>
        <w:rPr>
          <w:sz w:val="20"/>
          <w:szCs w:val="20"/>
          <w:color w:val="auto"/>
        </w:rPr>
      </w:pPr>
    </w:p>
    <w:p>
      <w:pPr>
        <w:spacing w:after="0"/>
        <w:rPr>
          <w:sz w:val="20"/>
          <w:szCs w:val="20"/>
          <w:color w:val="auto"/>
        </w:rPr>
      </w:pPr>
      <w:r>
        <w:rPr>
          <w:sz w:val="1"/>
          <w:szCs w:val="1"/>
          <w:color w:val="auto"/>
        </w:rPr>
        <w:drawing>
          <wp:inline distT="0" distB="0" distL="0" distR="0">
            <wp:extent cx="165100" cy="17335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65100" cy="173355"/>
                    </a:xfrm>
                    <a:prstGeom prst="rect">
                      <a:avLst/>
                    </a:prstGeom>
                    <a:noFill/>
                    <a:ln>
                      <a:noFill/>
                    </a:ln>
                  </pic:spPr>
                </pic:pic>
              </a:graphicData>
            </a:graphic>
          </wp:inline>
        </w:drawing>
      </w:r>
      <w:r>
        <w:rPr>
          <w:rFonts w:ascii="Arial" w:cs="Arial" w:eastAsia="Arial" w:hAnsi="Arial"/>
          <w:sz w:val="16"/>
          <w:szCs w:val="16"/>
          <w:b w:val="1"/>
          <w:bCs w:val="1"/>
          <w:color w:val="D61C5A"/>
        </w:rPr>
        <w:t xml:space="preserve"> Review peer group pay as reference point</w:t>
      </w:r>
    </w:p>
    <w:p>
      <w:pPr>
        <w:spacing w:after="0" w:line="161" w:lineRule="exact"/>
        <w:rPr>
          <w:sz w:val="20"/>
          <w:szCs w:val="20"/>
          <w:color w:val="auto"/>
        </w:rPr>
      </w:pPr>
    </w:p>
    <w:p>
      <w:pPr>
        <w:jc w:val="center"/>
        <w:ind w:right="1280"/>
        <w:spacing w:after="0"/>
        <w:rPr>
          <w:sz w:val="20"/>
          <w:szCs w:val="20"/>
          <w:color w:val="auto"/>
        </w:rPr>
      </w:pPr>
      <w:r>
        <w:rPr>
          <w:sz w:val="1"/>
          <w:szCs w:val="1"/>
          <w:color w:val="auto"/>
        </w:rPr>
        <w:drawing>
          <wp:inline distT="0" distB="0" distL="0" distR="0">
            <wp:extent cx="165100" cy="17335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65100" cy="173355"/>
                    </a:xfrm>
                    <a:prstGeom prst="rect">
                      <a:avLst/>
                    </a:prstGeom>
                    <a:noFill/>
                    <a:ln>
                      <a:noFill/>
                    </a:ln>
                  </pic:spPr>
                </pic:pic>
              </a:graphicData>
            </a:graphic>
          </wp:inline>
        </w:drawing>
      </w:r>
      <w:r>
        <w:rPr>
          <w:rFonts w:ascii="Arial" w:cs="Arial" w:eastAsia="Arial" w:hAnsi="Arial"/>
          <w:sz w:val="16"/>
          <w:szCs w:val="16"/>
          <w:b w:val="1"/>
          <w:bCs w:val="1"/>
          <w:color w:val="D61C5A"/>
        </w:rPr>
        <w:t xml:space="preserve"> Retain an independent compensation consultant</w:t>
      </w:r>
    </w:p>
    <w:p>
      <w:pPr>
        <w:spacing w:after="0" w:line="169" w:lineRule="exact"/>
        <w:rPr>
          <w:sz w:val="20"/>
          <w:szCs w:val="20"/>
          <w:color w:val="auto"/>
        </w:rPr>
      </w:pPr>
    </w:p>
    <w:p>
      <w:pPr>
        <w:ind w:left="340" w:right="840"/>
        <w:spacing w:after="0" w:line="280" w:lineRule="auto"/>
        <w:rPr>
          <w:sz w:val="20"/>
          <w:szCs w:val="20"/>
          <w:color w:val="auto"/>
        </w:rPr>
      </w:pPr>
      <w:r>
        <w:rPr>
          <w:rFonts w:ascii="Arial" w:cs="Arial" w:eastAsia="Arial" w:hAnsi="Arial"/>
          <w:sz w:val="16"/>
          <w:szCs w:val="16"/>
          <w:b w:val="1"/>
          <w:bCs w:val="1"/>
          <w:color w:val="D61C5A"/>
        </w:rPr>
        <w:t>Engage with shareholders on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222250</wp:posOffset>
            </wp:positionV>
            <wp:extent cx="6600190" cy="2476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600190" cy="2476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-255270</wp:posOffset>
            </wp:positionV>
            <wp:extent cx="165100" cy="1733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65100" cy="173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420"/>
          </w:cols>
          <w:pgMar w:left="240" w:top="401" w:right="239" w:bottom="1440" w:gutter="0" w:footer="0" w:header="0"/>
          <w:type w:val="continuous"/>
        </w:sectPr>
      </w:pPr>
    </w:p>
    <w:p>
      <w:pPr>
        <w:spacing w:after="0" w:line="174"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205BA8"/>
        </w:rPr>
        <w:t>WHAT WE DON’T DO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ind w:left="940"/>
              <w:spacing w:after="0"/>
              <w:rPr>
                <w:sz w:val="20"/>
                <w:szCs w:val="20"/>
                <w:color w:val="auto"/>
              </w:rPr>
            </w:pPr>
            <w:r>
              <w:rPr>
                <w:rFonts w:ascii="Arial" w:cs="Arial" w:eastAsia="Arial" w:hAnsi="Arial"/>
                <w:sz w:val="16"/>
                <w:szCs w:val="16"/>
                <w:b w:val="1"/>
                <w:bCs w:val="1"/>
                <w:color w:val="D61C5A"/>
              </w:rPr>
              <w:t>Tie compensation to short-term metrics</w:t>
            </w:r>
          </w:p>
        </w:tc>
        <w:tc>
          <w:tcPr>
            <w:tcW w:w="6240" w:type="dxa"/>
            <w:vAlign w:val="bottom"/>
          </w:tcPr>
          <w:p>
            <w:pPr>
              <w:ind w:left="1160"/>
              <w:spacing w:after="0"/>
              <w:rPr>
                <w:sz w:val="20"/>
                <w:szCs w:val="20"/>
                <w:color w:val="auto"/>
              </w:rPr>
            </w:pPr>
            <w:r>
              <w:rPr>
                <w:rFonts w:ascii="Arial" w:cs="Arial" w:eastAsia="Arial" w:hAnsi="Arial"/>
                <w:sz w:val="16"/>
                <w:szCs w:val="16"/>
                <w:b w:val="1"/>
                <w:bCs w:val="1"/>
                <w:color w:val="D61C5A"/>
              </w:rPr>
              <w:t>Provide excise tax gross-ups in any new compensation</w:t>
            </w:r>
          </w:p>
        </w:tc>
      </w:tr>
      <w:tr>
        <w:trPr>
          <w:trHeight w:val="217"/>
        </w:trPr>
        <w:tc>
          <w:tcPr>
            <w:tcW w:w="5180" w:type="dxa"/>
            <w:vAlign w:val="bottom"/>
          </w:tcPr>
          <w:p>
            <w:pPr>
              <w:spacing w:after="0"/>
              <w:rPr>
                <w:sz w:val="18"/>
                <w:szCs w:val="18"/>
                <w:color w:val="auto"/>
              </w:rPr>
            </w:pPr>
          </w:p>
        </w:tc>
        <w:tc>
          <w:tcPr>
            <w:tcW w:w="6240" w:type="dxa"/>
            <w:vAlign w:val="bottom"/>
          </w:tcPr>
          <w:p>
            <w:pPr>
              <w:ind w:left="1160"/>
              <w:spacing w:after="0"/>
              <w:rPr>
                <w:sz w:val="20"/>
                <w:szCs w:val="20"/>
                <w:color w:val="auto"/>
              </w:rPr>
            </w:pPr>
            <w:r>
              <w:rPr>
                <w:rFonts w:ascii="Arial" w:cs="Arial" w:eastAsia="Arial" w:hAnsi="Arial"/>
                <w:sz w:val="16"/>
                <w:szCs w:val="16"/>
                <w:b w:val="1"/>
                <w:bCs w:val="1"/>
                <w:color w:val="D61C5A"/>
              </w:rPr>
              <w:t>plans or arrangements</w:t>
            </w:r>
          </w:p>
        </w:tc>
      </w:tr>
      <w:tr>
        <w:trPr>
          <w:trHeight w:val="377"/>
        </w:trPr>
        <w:tc>
          <w:tcPr>
            <w:tcW w:w="5180" w:type="dxa"/>
            <w:vAlign w:val="bottom"/>
          </w:tcPr>
          <w:p>
            <w:pPr>
              <w:ind w:left="940"/>
              <w:spacing w:after="0"/>
              <w:rPr>
                <w:sz w:val="20"/>
                <w:szCs w:val="20"/>
                <w:color w:val="auto"/>
              </w:rPr>
            </w:pPr>
            <w:r>
              <w:rPr>
                <w:rFonts w:ascii="Arial" w:cs="Arial" w:eastAsia="Arial" w:hAnsi="Arial"/>
                <w:sz w:val="16"/>
                <w:szCs w:val="16"/>
                <w:b w:val="1"/>
                <w:bCs w:val="1"/>
                <w:color w:val="D61C5A"/>
              </w:rPr>
              <w:t>Reprice or exchange stock options</w:t>
            </w:r>
          </w:p>
        </w:tc>
        <w:tc>
          <w:tcPr>
            <w:tcW w:w="6240" w:type="dxa"/>
            <w:vAlign w:val="bottom"/>
          </w:tcPr>
          <w:p>
            <w:pPr>
              <w:spacing w:after="0"/>
              <w:rPr>
                <w:sz w:val="24"/>
                <w:szCs w:val="24"/>
                <w:color w:val="auto"/>
              </w:rPr>
            </w:pPr>
          </w:p>
        </w:tc>
      </w:tr>
      <w:tr>
        <w:trPr>
          <w:trHeight w:val="260"/>
        </w:trPr>
        <w:tc>
          <w:tcPr>
            <w:tcW w:w="5180" w:type="dxa"/>
            <w:vAlign w:val="bottom"/>
          </w:tcPr>
          <w:p>
            <w:pPr>
              <w:spacing w:after="0"/>
              <w:rPr>
                <w:sz w:val="22"/>
                <w:szCs w:val="22"/>
                <w:color w:val="auto"/>
              </w:rPr>
            </w:pPr>
          </w:p>
        </w:tc>
        <w:tc>
          <w:tcPr>
            <w:tcW w:w="6240" w:type="dxa"/>
            <w:vAlign w:val="bottom"/>
          </w:tcPr>
          <w:p>
            <w:pPr>
              <w:ind w:left="1160"/>
              <w:spacing w:after="0"/>
              <w:rPr>
                <w:sz w:val="20"/>
                <w:szCs w:val="20"/>
                <w:color w:val="auto"/>
              </w:rPr>
            </w:pPr>
            <w:r>
              <w:rPr>
                <w:rFonts w:ascii="Arial" w:cs="Arial" w:eastAsia="Arial" w:hAnsi="Arial"/>
                <w:sz w:val="16"/>
                <w:szCs w:val="16"/>
                <w:b w:val="1"/>
                <w:bCs w:val="1"/>
                <w:color w:val="D61C5A"/>
              </w:rPr>
              <w:t>Allow hedging or pledging of securities</w:t>
            </w:r>
          </w:p>
        </w:tc>
      </w:tr>
      <w:tr>
        <w:trPr>
          <w:trHeight w:val="260"/>
        </w:trPr>
        <w:tc>
          <w:tcPr>
            <w:tcW w:w="5180" w:type="dxa"/>
            <w:vAlign w:val="bottom"/>
          </w:tcPr>
          <w:p>
            <w:pPr>
              <w:ind w:left="940"/>
              <w:spacing w:after="0"/>
              <w:rPr>
                <w:sz w:val="20"/>
                <w:szCs w:val="20"/>
                <w:color w:val="auto"/>
              </w:rPr>
            </w:pPr>
            <w:r>
              <w:rPr>
                <w:rFonts w:ascii="Arial" w:cs="Arial" w:eastAsia="Arial" w:hAnsi="Arial"/>
                <w:sz w:val="16"/>
                <w:szCs w:val="16"/>
                <w:b w:val="1"/>
                <w:bCs w:val="1"/>
                <w:color w:val="D61C5A"/>
              </w:rPr>
              <w:t>Provide excessive perquisites</w:t>
            </w:r>
          </w:p>
        </w:tc>
        <w:tc>
          <w:tcPr>
            <w:tcW w:w="6240" w:type="dxa"/>
            <w:vAlign w:val="bottom"/>
          </w:tcPr>
          <w:p>
            <w:pPr>
              <w:spacing w:after="0"/>
              <w:rPr>
                <w:sz w:val="22"/>
                <w:szCs w:val="22"/>
                <w:color w:val="auto"/>
              </w:rPr>
            </w:pPr>
          </w:p>
        </w:tc>
      </w:tr>
      <w:tr>
        <w:trPr>
          <w:trHeight w:val="551"/>
        </w:trPr>
        <w:tc>
          <w:tcPr>
            <w:tcW w:w="5180" w:type="dxa"/>
            <w:vAlign w:val="bottom"/>
          </w:tcPr>
          <w:p>
            <w:pPr>
              <w:jc w:val="right"/>
              <w:ind w:right="4281"/>
              <w:spacing w:after="0"/>
              <w:rPr>
                <w:sz w:val="20"/>
                <w:szCs w:val="20"/>
                <w:color w:val="auto"/>
              </w:rPr>
            </w:pPr>
            <w:r>
              <w:rPr>
                <w:rFonts w:ascii="Arial" w:cs="Arial" w:eastAsia="Arial" w:hAnsi="Arial"/>
                <w:sz w:val="14"/>
                <w:szCs w:val="14"/>
                <w:b w:val="1"/>
                <w:bCs w:val="1"/>
                <w:color w:val="205BA8"/>
              </w:rPr>
              <w:t>58  /</w:t>
            </w:r>
          </w:p>
        </w:tc>
        <w:tc>
          <w:tcPr>
            <w:tcW w:w="6240" w:type="dxa"/>
            <w:vAlign w:val="bottom"/>
          </w:tcPr>
          <w:p>
            <w:pPr>
              <w:ind w:left="116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r>
      <w:tr>
        <w:trPr>
          <w:trHeight w:val="252"/>
        </w:trPr>
        <w:tc>
          <w:tcPr>
            <w:tcW w:w="5180" w:type="dxa"/>
            <w:vAlign w:val="bottom"/>
            <w:tcBorders>
              <w:bottom w:val="single" w:sz="8" w:color="C0C0C0"/>
            </w:tcBorders>
          </w:tcPr>
          <w:p>
            <w:pPr>
              <w:spacing w:after="0"/>
              <w:rPr>
                <w:sz w:val="21"/>
                <w:szCs w:val="21"/>
                <w:color w:val="auto"/>
              </w:rPr>
            </w:pPr>
          </w:p>
        </w:tc>
        <w:tc>
          <w:tcPr>
            <w:tcW w:w="624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-1327785</wp:posOffset>
            </wp:positionV>
            <wp:extent cx="165100" cy="165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65100" cy="16510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-1327785</wp:posOffset>
            </wp:positionV>
            <wp:extent cx="165100" cy="165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65100" cy="16510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-972820</wp:posOffset>
            </wp:positionV>
            <wp:extent cx="165100" cy="165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5100" cy="16510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-807720</wp:posOffset>
            </wp:positionV>
            <wp:extent cx="165100" cy="165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65100" cy="16510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-642620</wp:posOffset>
            </wp:positionV>
            <wp:extent cx="165100" cy="165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65100" cy="16510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-280035</wp:posOffset>
            </wp:positionV>
            <wp:extent cx="717550" cy="825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type w:val="continuous"/>
        </w:sectPr>
      </w:pPr>
    </w:p>
    <w:bookmarkStart w:id="71" w:name="page72"/>
    <w:bookmarkEnd w:id="71"/>
    <w:p>
      <w:pPr>
        <w:ind w:left="1300"/>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799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79930"/>
                    </a:xfrm>
                    <a:prstGeom prst="rect">
                      <a:avLst/>
                    </a:prstGeom>
                    <a:noFill/>
                  </pic:spPr>
                </pic:pic>
              </a:graphicData>
            </a:graphic>
          </wp:anchor>
        </w:drawing>
        <w:t>COMPENSATION DISCUSSION</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38"/>
          <w:szCs w:val="38"/>
          <w:b w:val="1"/>
          <w:bCs w:val="1"/>
          <w:color w:val="FFFFFF"/>
        </w:rPr>
        <w:t>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 w:right="2280"/>
        <w:spacing w:after="0" w:line="278" w:lineRule="auto"/>
        <w:rPr>
          <w:sz w:val="20"/>
          <w:szCs w:val="20"/>
          <w:color w:val="auto"/>
        </w:rPr>
      </w:pPr>
      <w:r>
        <w:rPr>
          <w:rFonts w:ascii="Arial" w:cs="Arial" w:eastAsia="Arial" w:hAnsi="Arial"/>
          <w:sz w:val="47"/>
          <w:szCs w:val="47"/>
          <w:b w:val="1"/>
          <w:bCs w:val="1"/>
          <w:color w:val="auto"/>
        </w:rPr>
        <w:t>OUR COMPENSATION PHILOSOPHY &amp;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-67945</wp:posOffset>
            </wp:positionV>
            <wp:extent cx="66001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We consider the following seven objectives when determining compensation of our NEOs and other executives:</w:t>
      </w:r>
    </w:p>
    <w:p>
      <w:pPr>
        <w:sectPr>
          <w:pgSz w:w="11900" w:h="16838" w:orient="portrait"/>
          <w:cols w:equalWidth="0" w:num="1">
            <w:col w:w="11420"/>
          </w:cols>
          <w:pgMar w:left="240" w:top="1436" w:right="239" w:bottom="1440" w:gutter="0" w:footer="0" w:header="0"/>
        </w:sectPr>
      </w:pPr>
    </w:p>
    <w:p>
      <w:pPr>
        <w:spacing w:after="0" w:line="156" w:lineRule="exact"/>
        <w:rPr>
          <w:sz w:val="20"/>
          <w:szCs w:val="20"/>
          <w:color w:val="auto"/>
        </w:rPr>
      </w:pPr>
    </w:p>
    <w:p>
      <w:pPr>
        <w:ind w:left="720" w:right="22" w:hanging="203"/>
        <w:spacing w:after="0" w:line="231" w:lineRule="auto"/>
        <w:tabs>
          <w:tab w:leader="none" w:pos="720" w:val="left"/>
        </w:tabs>
        <w:numPr>
          <w:ilvl w:val="0"/>
          <w:numId w:val="64"/>
        </w:numPr>
        <w:rPr>
          <w:rFonts w:ascii="Arial" w:cs="Arial" w:eastAsia="Arial" w:hAnsi="Arial"/>
          <w:sz w:val="15"/>
          <w:szCs w:val="15"/>
          <w:color w:val="205BA8"/>
        </w:rPr>
      </w:pPr>
      <w:r>
        <w:rPr>
          <w:rFonts w:ascii="Arial" w:cs="Arial" w:eastAsia="Arial" w:hAnsi="Arial"/>
          <w:sz w:val="15"/>
          <w:szCs w:val="15"/>
          <w:color w:val="auto"/>
        </w:rPr>
        <w:t>Driving innovation through our ownership culture while balancing the dilutive impact of equity grants</w:t>
      </w:r>
    </w:p>
    <w:p>
      <w:pPr>
        <w:spacing w:after="0" w:line="136" w:lineRule="exact"/>
        <w:rPr>
          <w:sz w:val="20"/>
          <w:szCs w:val="20"/>
          <w:color w:val="auto"/>
        </w:rPr>
      </w:pPr>
    </w:p>
    <w:p>
      <w:pPr>
        <w:ind w:left="720" w:right="102" w:hanging="203"/>
        <w:spacing w:after="0" w:line="231" w:lineRule="auto"/>
        <w:tabs>
          <w:tab w:leader="none" w:pos="720" w:val="left"/>
        </w:tabs>
        <w:numPr>
          <w:ilvl w:val="0"/>
          <w:numId w:val="65"/>
        </w:numPr>
        <w:rPr>
          <w:rFonts w:ascii="Arial" w:cs="Arial" w:eastAsia="Arial" w:hAnsi="Arial"/>
          <w:sz w:val="15"/>
          <w:szCs w:val="15"/>
          <w:color w:val="205BA8"/>
        </w:rPr>
      </w:pPr>
      <w:r>
        <w:rPr>
          <w:rFonts w:ascii="Arial" w:cs="Arial" w:eastAsia="Arial" w:hAnsi="Arial"/>
          <w:sz w:val="15"/>
          <w:szCs w:val="15"/>
          <w:color w:val="auto"/>
        </w:rPr>
        <w:t>Prioritizing design simplicity, long-term orientation, and avoiding too much emphasis on short-term metrics</w:t>
      </w:r>
    </w:p>
    <w:p>
      <w:pPr>
        <w:spacing w:after="0" w:line="136" w:lineRule="exact"/>
        <w:rPr>
          <w:sz w:val="20"/>
          <w:szCs w:val="20"/>
          <w:color w:val="auto"/>
        </w:rPr>
      </w:pPr>
    </w:p>
    <w:p>
      <w:pPr>
        <w:ind w:left="720" w:right="2" w:hanging="203"/>
        <w:spacing w:after="0" w:line="231" w:lineRule="auto"/>
        <w:tabs>
          <w:tab w:leader="none" w:pos="720" w:val="left"/>
        </w:tabs>
        <w:numPr>
          <w:ilvl w:val="0"/>
          <w:numId w:val="66"/>
        </w:numPr>
        <w:rPr>
          <w:rFonts w:ascii="Arial" w:cs="Arial" w:eastAsia="Arial" w:hAnsi="Arial"/>
          <w:sz w:val="15"/>
          <w:szCs w:val="15"/>
          <w:color w:val="205BA8"/>
        </w:rPr>
      </w:pPr>
      <w:r>
        <w:rPr>
          <w:rFonts w:ascii="Arial" w:cs="Arial" w:eastAsia="Arial" w:hAnsi="Arial"/>
          <w:sz w:val="15"/>
          <w:szCs w:val="15"/>
          <w:color w:val="auto"/>
        </w:rPr>
        <w:t>Providing at-risk, performance-based pay at all levels, with increased performance accountability as responsibility increases</w:t>
      </w:r>
    </w:p>
    <w:p>
      <w:pPr>
        <w:spacing w:after="0" w:line="136" w:lineRule="exact"/>
        <w:rPr>
          <w:sz w:val="20"/>
          <w:szCs w:val="20"/>
          <w:color w:val="auto"/>
        </w:rPr>
      </w:pPr>
    </w:p>
    <w:p>
      <w:pPr>
        <w:ind w:left="720" w:right="462" w:hanging="203"/>
        <w:spacing w:after="0" w:line="231" w:lineRule="auto"/>
        <w:tabs>
          <w:tab w:leader="none" w:pos="720" w:val="left"/>
        </w:tabs>
        <w:numPr>
          <w:ilvl w:val="0"/>
          <w:numId w:val="67"/>
        </w:numPr>
        <w:rPr>
          <w:rFonts w:ascii="Arial" w:cs="Arial" w:eastAsia="Arial" w:hAnsi="Arial"/>
          <w:sz w:val="15"/>
          <w:szCs w:val="15"/>
          <w:color w:val="205BA8"/>
        </w:rPr>
      </w:pPr>
      <w:r>
        <w:rPr>
          <w:rFonts w:ascii="Arial" w:cs="Arial" w:eastAsia="Arial" w:hAnsi="Arial"/>
          <w:sz w:val="15"/>
          <w:szCs w:val="15"/>
          <w:color w:val="auto"/>
        </w:rPr>
        <w:t>Balancing year-over-year consistency and flexibility in making compensation decisions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98" w:right="520" w:hanging="198"/>
        <w:spacing w:after="0" w:line="256" w:lineRule="auto"/>
        <w:tabs>
          <w:tab w:leader="none" w:pos="198" w:val="left"/>
        </w:tabs>
        <w:numPr>
          <w:ilvl w:val="0"/>
          <w:numId w:val="68"/>
        </w:numPr>
        <w:rPr>
          <w:rFonts w:ascii="Arial" w:cs="Arial" w:eastAsia="Arial" w:hAnsi="Arial"/>
          <w:sz w:val="14"/>
          <w:szCs w:val="14"/>
          <w:color w:val="205BA8"/>
        </w:rPr>
      </w:pPr>
      <w:r>
        <w:rPr>
          <w:rFonts w:ascii="Arial" w:cs="Arial" w:eastAsia="Arial" w:hAnsi="Arial"/>
          <w:sz w:val="14"/>
          <w:szCs w:val="14"/>
          <w:color w:val="auto"/>
        </w:rPr>
        <w:t>Aligning our executive compensation with shareholder interests by linking compensation to the core elements of our long-term performance</w:t>
      </w:r>
    </w:p>
    <w:p>
      <w:pPr>
        <w:spacing w:after="0" w:line="124" w:lineRule="exact"/>
        <w:rPr>
          <w:sz w:val="20"/>
          <w:szCs w:val="20"/>
          <w:color w:val="auto"/>
        </w:rPr>
      </w:pPr>
    </w:p>
    <w:p>
      <w:pPr>
        <w:ind w:left="198" w:right="640" w:hanging="198"/>
        <w:spacing w:after="0" w:line="231" w:lineRule="auto"/>
        <w:tabs>
          <w:tab w:leader="none" w:pos="198" w:val="left"/>
        </w:tabs>
        <w:numPr>
          <w:ilvl w:val="0"/>
          <w:numId w:val="69"/>
        </w:numPr>
        <w:rPr>
          <w:rFonts w:ascii="Arial" w:cs="Arial" w:eastAsia="Arial" w:hAnsi="Arial"/>
          <w:sz w:val="15"/>
          <w:szCs w:val="15"/>
          <w:color w:val="205BA8"/>
        </w:rPr>
      </w:pPr>
      <w:r>
        <w:rPr>
          <w:rFonts w:ascii="Arial" w:cs="Arial" w:eastAsia="Arial" w:hAnsi="Arial"/>
          <w:sz w:val="15"/>
          <w:szCs w:val="15"/>
          <w:color w:val="auto"/>
        </w:rPr>
        <w:t>Using independent sources of expertise and comparative data to inform our decision-making</w:t>
      </w:r>
    </w:p>
    <w:p>
      <w:pPr>
        <w:spacing w:after="0" w:line="136" w:lineRule="exact"/>
        <w:rPr>
          <w:sz w:val="20"/>
          <w:szCs w:val="20"/>
          <w:color w:val="auto"/>
        </w:rPr>
      </w:pPr>
    </w:p>
    <w:p>
      <w:pPr>
        <w:ind w:left="198" w:hanging="198"/>
        <w:spacing w:after="0"/>
        <w:tabs>
          <w:tab w:leader="none" w:pos="198" w:val="left"/>
        </w:tabs>
        <w:numPr>
          <w:ilvl w:val="0"/>
          <w:numId w:val="70"/>
        </w:numPr>
        <w:rPr>
          <w:rFonts w:ascii="Arial" w:cs="Arial" w:eastAsia="Arial" w:hAnsi="Arial"/>
          <w:sz w:val="15"/>
          <w:szCs w:val="15"/>
          <w:color w:val="205BA8"/>
        </w:rPr>
      </w:pPr>
      <w:r>
        <w:rPr>
          <w:rFonts w:ascii="Arial" w:cs="Arial" w:eastAsia="Arial" w:hAnsi="Arial"/>
          <w:sz w:val="15"/>
          <w:szCs w:val="15"/>
          <w:color w:val="auto"/>
        </w:rPr>
        <w:t>Assessing our compensation objectives in light of measurable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519430</wp:posOffset>
            </wp:positionV>
            <wp:extent cx="66001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827" w:lineRule="exact"/>
        <w:rPr>
          <w:sz w:val="20"/>
          <w:szCs w:val="20"/>
          <w:color w:val="auto"/>
        </w:rPr>
      </w:pPr>
    </w:p>
    <w:p>
      <w:pPr>
        <w:sectPr>
          <w:pgSz w:w="11900" w:h="16838" w:orient="portrait"/>
          <w:cols w:equalWidth="0" w:num="2">
            <w:col w:w="5202" w:space="720"/>
            <w:col w:w="5498"/>
          </w:cols>
          <w:pgMar w:left="240" w:top="1436" w:right="239" w:bottom="1440" w:gutter="0" w:footer="0" w:header="0"/>
          <w:type w:val="continuous"/>
        </w:sectPr>
      </w:pPr>
    </w:p>
    <w:p>
      <w:pPr>
        <w:spacing w:after="0" w:line="5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1. Driving innovation through our ownership culture while balancing the dilutive impact of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63500</wp:posOffset>
            </wp:positionV>
            <wp:extent cx="66001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47" w:lineRule="exact"/>
        <w:rPr>
          <w:sz w:val="20"/>
          <w:szCs w:val="20"/>
          <w:color w:val="auto"/>
        </w:rPr>
      </w:pPr>
    </w:p>
    <w:p>
      <w:pPr>
        <w:ind w:left="520" w:right="520"/>
        <w:spacing w:after="0" w:line="223" w:lineRule="auto"/>
        <w:rPr>
          <w:sz w:val="20"/>
          <w:szCs w:val="20"/>
          <w:color w:val="auto"/>
        </w:rPr>
      </w:pPr>
      <w:r>
        <w:rPr>
          <w:rFonts w:ascii="Arial" w:cs="Arial" w:eastAsia="Arial" w:hAnsi="Arial"/>
          <w:sz w:val="15"/>
          <w:szCs w:val="15"/>
          <w:color w:val="auto"/>
        </w:rPr>
        <w:t>We focus on the number of shares underlying equity awards as a percentage of basic shares of capital stock outstanding when making decisions on equity-based pay for our NEOs. We believe this dilution-based approach allows us to evaluate stock option and other equity grants on a consistent basis year-over-year, without regard to fluctuations in the share price, and is aligned more closely with shareholder interests. We also believe this approach allows for a more meaningful comparison to industry peers.</w:t>
      </w:r>
    </w:p>
    <w:p>
      <w:pPr>
        <w:spacing w:after="0" w:line="138" w:lineRule="exact"/>
        <w:rPr>
          <w:sz w:val="20"/>
          <w:szCs w:val="20"/>
          <w:color w:val="auto"/>
        </w:rPr>
      </w:pPr>
    </w:p>
    <w:p>
      <w:pPr>
        <w:ind w:left="520" w:right="660"/>
        <w:spacing w:after="0" w:line="225" w:lineRule="auto"/>
        <w:rPr>
          <w:sz w:val="20"/>
          <w:szCs w:val="20"/>
          <w:color w:val="auto"/>
        </w:rPr>
      </w:pPr>
      <w:r>
        <w:rPr>
          <w:rFonts w:ascii="Arial" w:cs="Arial" w:eastAsia="Arial" w:hAnsi="Arial"/>
          <w:sz w:val="15"/>
          <w:szCs w:val="15"/>
          <w:color w:val="auto"/>
        </w:rPr>
        <w:t>The 2018 CEO option grant as a percent of basic shares outstanding was below the 75th percentile of the market composite data prepared by Radford from the 2018 Radford Global Life Sciences Survey (comprising U.S. public biotechnology and pharmaceutical companies that have between 1,500 and 20,000 employees) and our Peer Group data (we refer to the composite data below as the “Market Composite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121920</wp:posOffset>
            </wp:positionV>
            <wp:extent cx="6600190" cy="18561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600190" cy="185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right="4380" w:hanging="103"/>
        <w:spacing w:after="0" w:line="239" w:lineRule="auto"/>
        <w:tabs>
          <w:tab w:leader="none" w:pos="6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2018 stock option award information reported in the Summary Compensation Table included in this proxy statement for Regeneron and on the Market Composite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59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1436" w:right="239" w:bottom="1440" w:gutter="0" w:footer="0" w:header="0"/>
          <w:type w:val="continuous"/>
        </w:sectPr>
      </w:pPr>
    </w:p>
    <w:bookmarkStart w:id="72" w:name="page73"/>
    <w:bookmarkEnd w:id="72"/>
    <w:p>
      <w:pPr>
        <w:ind w:left="3"/>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600190"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3" w:lineRule="exact"/>
        <w:rPr>
          <w:sz w:val="20"/>
          <w:szCs w:val="20"/>
          <w:color w:val="auto"/>
        </w:rPr>
      </w:pPr>
    </w:p>
    <w:p>
      <w:pPr>
        <w:ind w:left="3" w:right="100"/>
        <w:spacing w:after="0" w:line="221" w:lineRule="auto"/>
        <w:rPr>
          <w:sz w:val="20"/>
          <w:szCs w:val="20"/>
          <w:color w:val="auto"/>
        </w:rPr>
      </w:pPr>
      <w:r>
        <w:rPr>
          <w:rFonts w:ascii="Arial" w:cs="Arial" w:eastAsia="Arial" w:hAnsi="Arial"/>
          <w:sz w:val="15"/>
          <w:szCs w:val="15"/>
          <w:color w:val="auto"/>
        </w:rPr>
        <w:t>Focusing on the number of shares, rather than targeting a specific grant date fair value, avoids rewarding executives with larger grant sizes following a decline in stock price. As an example, when our stock price declined on a year-over-year basis in 2016, we did not make up this decline by granting a greater number of options to our CEO or other NEOs, and our CEO’s 2016 total direct pay was over 40% lower than in 2015. In each of 2017 and 2018, when our stock price remained relatively flat compared to the prior year, we continued to reduce the number of stock options awarded to our CEO. In 2018, the number of shares underlying our CEO’s award was reduced by 7.5%, contributing to a 3% reduction in 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90805</wp:posOffset>
            </wp:positionV>
            <wp:extent cx="6583680" cy="25577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583680"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3" w:right="4040" w:hanging="103"/>
        <w:spacing w:after="0" w:line="235" w:lineRule="auto"/>
        <w:tabs>
          <w:tab w:leader="none" w:pos="103" w:val="left"/>
        </w:tabs>
        <w:numPr>
          <w:ilvl w:val="0"/>
          <w:numId w:val="72"/>
        </w:numPr>
        <w:rPr>
          <w:rFonts w:ascii="Arial" w:cs="Arial" w:eastAsia="Arial" w:hAnsi="Arial"/>
          <w:sz w:val="14"/>
          <w:szCs w:val="14"/>
          <w:color w:val="auto"/>
        </w:rPr>
      </w:pPr>
      <w:r>
        <w:rPr>
          <w:rFonts w:ascii="Arial" w:cs="Arial" w:eastAsia="Arial" w:hAnsi="Arial"/>
          <w:sz w:val="14"/>
          <w:szCs w:val="14"/>
          <w:color w:val="auto"/>
        </w:rPr>
        <w:t>Share percentages are based on 96.6 million, 99.4 million, 101.7 million, 104.1 million, 105.5 million, 107.4 million, and 108.2 million shares (in each case consisting of common stock and Class A stock) outstanding as of October 12, 2012, October 28, 2013, October 16, 2014, October 16, 2015, October 20, 2016, October 20, 2017, and October 19, 2018, respectively, as reported in Regeneron’s Quarterly Report on Form 10-Q for the third quarter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66001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91"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205BA8"/>
        </w:rPr>
        <w:t>2. Prioritizing design simplicity, long-term orientation, and avoiding too much emphasis on short-term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6001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47" w:lineRule="exact"/>
        <w:rPr>
          <w:sz w:val="20"/>
          <w:szCs w:val="20"/>
          <w:color w:val="auto"/>
        </w:rPr>
      </w:pPr>
    </w:p>
    <w:p>
      <w:pPr>
        <w:ind w:left="3" w:right="60"/>
        <w:spacing w:after="0" w:line="225" w:lineRule="auto"/>
        <w:rPr>
          <w:sz w:val="20"/>
          <w:szCs w:val="20"/>
          <w:color w:val="auto"/>
        </w:rPr>
      </w:pPr>
      <w:r>
        <w:rPr>
          <w:rFonts w:ascii="Arial" w:cs="Arial" w:eastAsia="Arial" w:hAnsi="Arial"/>
          <w:sz w:val="15"/>
          <w:szCs w:val="15"/>
          <w:color w:val="auto"/>
        </w:rPr>
        <w:t>We primarily rely on stock option grants for our NEOs’ equity-based pay because they are simple, do not deliver realizable compensation if shareholders fail to benefit from a stock price increase, are in sync with the time required for discovery, development, and commercialization of novel therapies, and would be difficult to “game,” unlike some pre-set short-term performance goals.</w:t>
      </w:r>
    </w:p>
    <w:p>
      <w:pPr>
        <w:spacing w:after="0" w:line="139" w:lineRule="exact"/>
        <w:rPr>
          <w:sz w:val="20"/>
          <w:szCs w:val="20"/>
          <w:color w:val="auto"/>
        </w:rPr>
      </w:pPr>
    </w:p>
    <w:p>
      <w:pPr>
        <w:ind w:left="3" w:right="140"/>
        <w:spacing w:after="0" w:line="241" w:lineRule="auto"/>
        <w:rPr>
          <w:sz w:val="20"/>
          <w:szCs w:val="20"/>
          <w:color w:val="auto"/>
        </w:rPr>
      </w:pPr>
      <w:r>
        <w:rPr>
          <w:rFonts w:ascii="Arial" w:cs="Arial" w:eastAsia="Arial" w:hAnsi="Arial"/>
          <w:sz w:val="14"/>
          <w:szCs w:val="14"/>
          <w:color w:val="auto"/>
        </w:rPr>
        <w:t>We believe that our long-term performance and our robust pipeline are evidence of providing our NEOs and other employees with the right incentives. Tying compensation to long-term, Company-wide success has enabled us to encourage decision-making that we believe is consistent with the long-term sustainability of our Company and our reputation. Options support our strategy of driving value creation through innovation, our pipeline, and demand for our products.</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60  /  </w:t>
      </w:r>
      <w:r>
        <w:rPr>
          <w:sz w:val="1"/>
          <w:szCs w:val="1"/>
          <w:color w:val="auto"/>
        </w:rPr>
        <w:drawing>
          <wp:inline distT="0" distB="0" distL="0" distR="0">
            <wp:extent cx="717550" cy="8255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bookmarkStart w:id="73" w:name="page74"/>
    <w:bookmarkEnd w:id="73"/>
    <w:p>
      <w:pPr>
        <w:jc w:val="right"/>
        <w:ind w:right="50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149225</wp:posOffset>
            </wp:positionV>
            <wp:extent cx="66001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83" w:lineRule="exact"/>
        <w:rPr>
          <w:sz w:val="20"/>
          <w:szCs w:val="20"/>
          <w:color w:val="auto"/>
        </w:rPr>
      </w:pPr>
    </w:p>
    <w:p>
      <w:pPr>
        <w:ind w:left="720" w:right="1280" w:hanging="203"/>
        <w:spacing w:after="0" w:line="282" w:lineRule="auto"/>
        <w:tabs>
          <w:tab w:leader="none" w:pos="720" w:val="left"/>
        </w:tabs>
        <w:numPr>
          <w:ilvl w:val="0"/>
          <w:numId w:val="73"/>
        </w:numPr>
        <w:rPr>
          <w:rFonts w:ascii="Arial" w:cs="Arial" w:eastAsia="Arial" w:hAnsi="Arial"/>
          <w:sz w:val="17"/>
          <w:szCs w:val="17"/>
          <w:b w:val="1"/>
          <w:bCs w:val="1"/>
          <w:color w:val="205BA8"/>
        </w:rPr>
      </w:pPr>
      <w:r>
        <w:rPr>
          <w:rFonts w:ascii="Arial" w:cs="Arial" w:eastAsia="Arial" w:hAnsi="Arial"/>
          <w:sz w:val="17"/>
          <w:szCs w:val="17"/>
          <w:b w:val="1"/>
          <w:bCs w:val="1"/>
          <w:color w:val="205BA8"/>
        </w:rPr>
        <w:t>Providing at-risk, performance-based pay at all levels, with increased performance accountability as responsibility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19685</wp:posOffset>
            </wp:positionV>
            <wp:extent cx="66001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78" w:lineRule="exact"/>
        <w:rPr>
          <w:sz w:val="20"/>
          <w:szCs w:val="20"/>
          <w:color w:val="auto"/>
        </w:rPr>
      </w:pPr>
    </w:p>
    <w:p>
      <w:pPr>
        <w:ind w:left="520" w:right="740"/>
        <w:spacing w:after="0" w:line="225" w:lineRule="auto"/>
        <w:rPr>
          <w:sz w:val="20"/>
          <w:szCs w:val="20"/>
          <w:color w:val="auto"/>
        </w:rPr>
      </w:pPr>
      <w:r>
        <w:rPr>
          <w:rFonts w:ascii="Arial" w:cs="Arial" w:eastAsia="Arial" w:hAnsi="Arial"/>
          <w:sz w:val="15"/>
          <w:szCs w:val="15"/>
          <w:color w:val="auto"/>
        </w:rPr>
        <w:t>All of our CEO’s direct pay, except for base salary, is “at-risk.” At-risk pay comprised 95% of our CEO’s direct pay in 2018 (the breakdown was similar in recent prior years). This is significantly higher than the percentage of at-risk compensation for CEOs in our Peer Group (based on the Peer Group median for each compensation component),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88900</wp:posOffset>
            </wp:positionV>
            <wp:extent cx="6600190" cy="19799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60019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20" w:right="660" w:hanging="103"/>
        <w:spacing w:after="0" w:line="235" w:lineRule="auto"/>
        <w:tabs>
          <w:tab w:leader="none" w:pos="6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“At-risk Equity” consists of stock options and any equity awards with performance-based vesting conditions. “Other Equity” consists of all other equity awards, such as time-based restricted shares and restricted stock units.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91440</wp:posOffset>
            </wp:positionV>
            <wp:extent cx="66001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4. Balancing year-over-year consistency and flexibility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63500</wp:posOffset>
            </wp:positionV>
            <wp:extent cx="66001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47" w:lineRule="exact"/>
        <w:rPr>
          <w:sz w:val="20"/>
          <w:szCs w:val="20"/>
          <w:color w:val="auto"/>
        </w:rPr>
      </w:pPr>
    </w:p>
    <w:p>
      <w:pPr>
        <w:ind w:left="520" w:right="580"/>
        <w:spacing w:after="0" w:line="220" w:lineRule="auto"/>
        <w:rPr>
          <w:sz w:val="20"/>
          <w:szCs w:val="20"/>
          <w:color w:val="auto"/>
        </w:rPr>
      </w:pPr>
      <w:r>
        <w:rPr>
          <w:rFonts w:ascii="Arial" w:cs="Arial" w:eastAsia="Arial" w:hAnsi="Arial"/>
          <w:sz w:val="15"/>
          <w:szCs w:val="15"/>
          <w:color w:val="auto"/>
        </w:rPr>
        <w:t>The design and application of our compensation plans (including our reliance on stock options as a long-term employee incentive) for our NEOs have been consistent since the Company’s inception. Our decision-making process for setting NEO compensation, including their annual salaries, year-end cash incentives, and stock option awards, has been similarly consistent in recent years. However, when warranted by the circumstances, we adapt and make adjustments. For example, we supplemented our annual equity awards in 2018 with highly targeted grants of restricted stock to certain key employees (including two of the NEOs) to promote employee retention and reward performance. This decision was based in part on an assessment conducted by management’s compensation consultant, Radford, as well as shareholder and employee feedback. See the subsection “Our Compensation Processes” below for further information regarding our compensation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90170</wp:posOffset>
            </wp:positionV>
            <wp:extent cx="66001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90" w:lineRule="exact"/>
        <w:rPr>
          <w:sz w:val="20"/>
          <w:szCs w:val="20"/>
          <w:color w:val="auto"/>
        </w:rPr>
      </w:pPr>
    </w:p>
    <w:p>
      <w:pPr>
        <w:ind w:left="720" w:right="600" w:hanging="203"/>
        <w:spacing w:after="0" w:line="282" w:lineRule="auto"/>
        <w:tabs>
          <w:tab w:leader="none" w:pos="720" w:val="left"/>
        </w:tabs>
        <w:numPr>
          <w:ilvl w:val="0"/>
          <w:numId w:val="75"/>
        </w:numPr>
        <w:rPr>
          <w:rFonts w:ascii="Arial" w:cs="Arial" w:eastAsia="Arial" w:hAnsi="Arial"/>
          <w:sz w:val="17"/>
          <w:szCs w:val="17"/>
          <w:b w:val="1"/>
          <w:bCs w:val="1"/>
          <w:color w:val="205BA8"/>
        </w:rPr>
      </w:pPr>
      <w:r>
        <w:rPr>
          <w:rFonts w:ascii="Arial" w:cs="Arial" w:eastAsia="Arial" w:hAnsi="Arial"/>
          <w:sz w:val="17"/>
          <w:szCs w:val="17"/>
          <w:b w:val="1"/>
          <w:bCs w:val="1"/>
          <w:color w:val="205BA8"/>
        </w:rPr>
        <w:t>Aligning our executive compensation with shareholder interests by linking compensation to the core elements of our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19685</wp:posOffset>
            </wp:positionV>
            <wp:extent cx="66001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78" w:lineRule="exact"/>
        <w:rPr>
          <w:sz w:val="20"/>
          <w:szCs w:val="20"/>
          <w:color w:val="auto"/>
        </w:rPr>
      </w:pPr>
    </w:p>
    <w:p>
      <w:pPr>
        <w:ind w:left="520" w:right="600"/>
        <w:spacing w:after="0" w:line="219" w:lineRule="auto"/>
        <w:rPr>
          <w:sz w:val="20"/>
          <w:szCs w:val="20"/>
          <w:color w:val="auto"/>
        </w:rPr>
      </w:pPr>
      <w:r>
        <w:rPr>
          <w:rFonts w:ascii="Arial" w:cs="Arial" w:eastAsia="Arial" w:hAnsi="Arial"/>
          <w:sz w:val="15"/>
          <w:szCs w:val="15"/>
          <w:color w:val="auto"/>
        </w:rPr>
        <w:t>Our NEOs’ direct pay, except for base salary, depends on performance. We do this to align these senior executives’ at-risk pay with their levels of authority and with shareholders’ interests. In addition, our NEOs receive no value from their stock option awards if shareholders do not benefit, which results in a complete alignment of such compensation with shareholder interests. No amount of time will make a stock option deliver any value unless the company’s stock price increases. This is why we have favored options over full-value equity awards (such as performance stock units or restricted shares), as full-value awards provide value to employees even when shareholders get nominal or negative returns. In addition, stock options reward our NEOs for increasing shareholder value over the entire 10-year option term, which we believe is consistent with the drug-discovery/ development cycle. We also believe that the performance-based nature of stock options is enhanced for companies like Regeneron whose stock price is directly impacted by pipeline developments. We further link our NEOs’ and other executives’ pay to their decisions that affect our performance by incorporating an assessment of the caliber of our drug-development pipeline into our compensation decisions.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61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149225</wp:posOffset>
            </wp:positionV>
            <wp:extent cx="66001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6. Using independent sources of expertise and comparative data to inform our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66001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47" w:lineRule="exact"/>
        <w:rPr>
          <w:sz w:val="20"/>
          <w:szCs w:val="20"/>
          <w:color w:val="auto"/>
        </w:rPr>
      </w:pPr>
    </w:p>
    <w:p>
      <w:pPr>
        <w:ind w:right="160"/>
        <w:spacing w:after="0" w:line="221" w:lineRule="auto"/>
        <w:rPr>
          <w:sz w:val="20"/>
          <w:szCs w:val="20"/>
          <w:color w:val="auto"/>
        </w:rPr>
      </w:pPr>
      <w:r>
        <w:rPr>
          <w:rFonts w:ascii="Arial" w:cs="Arial" w:eastAsia="Arial" w:hAnsi="Arial"/>
          <w:sz w:val="15"/>
          <w:szCs w:val="15"/>
          <w:color w:val="auto"/>
        </w:rPr>
        <w:t>The Compensation Committee retains its independent compensation consultant, Frederic W. Cook &amp; Co., to perform projects at its direction and to provide professional expertise. We also use data compiled by management’s consultant, Radford. Comparative compensation data are used to review each component of our NEOs’ compensation against the Peer Group as well as their total annual compensation in relation to the Peer Group, while taking into account various factors such as the executive’s performance, past compensation history, experience, and the role in the Company’s success. We also look at survey data for companies in our area, in our industry, and in our size range to inform our compensation deliberations.</w:t>
      </w:r>
    </w:p>
    <w:p>
      <w:pPr>
        <w:spacing w:after="0" w:line="141" w:lineRule="exact"/>
        <w:rPr>
          <w:sz w:val="20"/>
          <w:szCs w:val="20"/>
          <w:color w:val="auto"/>
        </w:rPr>
      </w:pPr>
    </w:p>
    <w:p>
      <w:pPr>
        <w:ind w:right="80"/>
        <w:spacing w:after="0" w:line="223" w:lineRule="auto"/>
        <w:rPr>
          <w:sz w:val="20"/>
          <w:szCs w:val="20"/>
          <w:color w:val="auto"/>
        </w:rPr>
      </w:pPr>
      <w:r>
        <w:rPr>
          <w:rFonts w:ascii="Arial" w:cs="Arial" w:eastAsia="Arial" w:hAnsi="Arial"/>
          <w:sz w:val="15"/>
          <w:szCs w:val="15"/>
          <w:color w:val="auto"/>
        </w:rPr>
        <w:t>We use Peer Group data as a point of reference, but Peer Group data do not represent the only factor considered and we do not peg compensation to a specific percentile of our Peer Group. We also consider the practices of our “Biotech R&amp;D Peers” — the 10-company sub-group of peers viewed as having businesses and drug discovery and development cultures that are most similar to Regeneron’s, with similarly-sized employee bases. See the subsection “Our Compensation Processes — Peer Data” below for additional information.</w:t>
      </w:r>
    </w:p>
    <w:p>
      <w:pPr>
        <w:spacing w:after="0" w:line="138" w:lineRule="exact"/>
        <w:rPr>
          <w:sz w:val="20"/>
          <w:szCs w:val="20"/>
          <w:color w:val="auto"/>
        </w:rPr>
      </w:pPr>
    </w:p>
    <w:p>
      <w:pPr>
        <w:ind w:right="200"/>
        <w:spacing w:after="0" w:line="225" w:lineRule="auto"/>
        <w:rPr>
          <w:sz w:val="20"/>
          <w:szCs w:val="20"/>
          <w:color w:val="auto"/>
        </w:rPr>
      </w:pPr>
      <w:r>
        <w:rPr>
          <w:rFonts w:ascii="Arial" w:cs="Arial" w:eastAsia="Arial" w:hAnsi="Arial"/>
          <w:sz w:val="15"/>
          <w:szCs w:val="15"/>
          <w:color w:val="auto"/>
        </w:rPr>
        <w:t>The Compensation Committee’s consultant does not perform any other services for the Company (other than those provided to the Corporate Governance and Compliance Committee with respect to non-employee director compensation matters, as discussed under “Board of Directors — Compensation of Directors” above) and has been determined by the Committee to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66001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7. Assessing our compensation objectives in light of measurable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66001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47" w:lineRule="exact"/>
        <w:rPr>
          <w:sz w:val="20"/>
          <w:szCs w:val="20"/>
          <w:color w:val="auto"/>
        </w:rPr>
      </w:pPr>
    </w:p>
    <w:p>
      <w:pPr>
        <w:ind w:right="40"/>
        <w:spacing w:after="0" w:line="221" w:lineRule="auto"/>
        <w:rPr>
          <w:sz w:val="20"/>
          <w:szCs w:val="20"/>
          <w:color w:val="auto"/>
        </w:rPr>
      </w:pPr>
      <w:r>
        <w:rPr>
          <w:rFonts w:ascii="Arial" w:cs="Arial" w:eastAsia="Arial" w:hAnsi="Arial"/>
          <w:sz w:val="15"/>
          <w:szCs w:val="15"/>
          <w:color w:val="auto"/>
        </w:rPr>
        <w:t>As a science-focused company, we believe in assessing our compensation philosophy and objectives, as they relate to our NEOs and other employees, in light of measurable results. Those include our pipeline productivity and sustaining an engaging employee culture that drives innovation, which we assess based on relevant metrics. For example, we review our attrition rate (which in each of the last five years was at less than half the industry average) and the number of regulatory approvals for our products (six product approvals and four additional key indications in the last 10 years). We periodically review our compensation program and have an open discussion about our approach to compensation and approaches utilized by other companies in our industry.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62  /  </w:t>
      </w:r>
      <w:r>
        <w:rPr>
          <w:sz w:val="1"/>
          <w:szCs w:val="1"/>
          <w:color w:val="auto"/>
        </w:rPr>
        <w:drawing>
          <wp:inline distT="0" distB="0" distL="0" distR="0">
            <wp:extent cx="717550" cy="8255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75" w:name="page76"/>
    <w:bookmarkEnd w:id="75"/>
    <w:p>
      <w:pPr>
        <w:ind w:left="432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47"/>
          <w:szCs w:val="47"/>
          <w:b w:val="1"/>
          <w:bCs w:val="1"/>
          <w:color w:val="auto"/>
        </w:rPr>
        <w:t>COMPONENTS OF EXECUTIVE PAY: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47"/>
          <w:szCs w:val="47"/>
          <w:b w:val="1"/>
          <w:bCs w:val="1"/>
          <w:color w:val="auto"/>
        </w:rPr>
        <w:t>WHAT WE PAY AND WHY WE PAY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0</wp:posOffset>
            </wp:positionV>
            <wp:extent cx="6600190" cy="165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55" w:lineRule="exact"/>
        <w:rPr>
          <w:sz w:val="20"/>
          <w:szCs w:val="20"/>
          <w:color w:val="auto"/>
        </w:rPr>
      </w:pPr>
    </w:p>
    <w:p>
      <w:pPr>
        <w:ind w:left="520" w:right="2760"/>
        <w:spacing w:after="0" w:line="275" w:lineRule="auto"/>
        <w:rPr>
          <w:sz w:val="20"/>
          <w:szCs w:val="20"/>
          <w:color w:val="auto"/>
        </w:rPr>
      </w:pPr>
      <w:r>
        <w:rPr>
          <w:rFonts w:ascii="Arial" w:cs="Arial" w:eastAsia="Arial" w:hAnsi="Arial"/>
          <w:sz w:val="35"/>
          <w:szCs w:val="35"/>
          <w:b w:val="1"/>
          <w:bCs w:val="1"/>
          <w:color w:val="D61C5A"/>
        </w:rPr>
        <w:t>OUR NEO COMPENSATION HAS FIVE PRINCIPAL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78740</wp:posOffset>
            </wp:positionV>
            <wp:extent cx="6558915" cy="8248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58915" cy="82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We use these five pay components to achieve the following six objectives: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1320" w:type="dxa"/>
            <w:vAlign w:val="bottom"/>
            <w:tcBorders>
              <w:bottom w:val="single" w:sz="8" w:color="205BA8"/>
            </w:tcBorders>
          </w:tcPr>
          <w:p>
            <w:pPr>
              <w:spacing w:after="0"/>
              <w:rPr>
                <w:sz w:val="14"/>
                <w:szCs w:val="14"/>
                <w:color w:val="auto"/>
              </w:rPr>
            </w:pPr>
          </w:p>
        </w:tc>
        <w:tc>
          <w:tcPr>
            <w:tcW w:w="1180" w:type="dxa"/>
            <w:vAlign w:val="bottom"/>
            <w:tcBorders>
              <w:bottom w:val="single" w:sz="8" w:color="205BA8"/>
            </w:tcBorders>
          </w:tcPr>
          <w:p>
            <w:pPr>
              <w:spacing w:after="0"/>
              <w:rPr>
                <w:sz w:val="14"/>
                <w:szCs w:val="14"/>
                <w:color w:val="auto"/>
              </w:rPr>
            </w:pPr>
          </w:p>
        </w:tc>
        <w:tc>
          <w:tcPr>
            <w:tcW w:w="3160" w:type="dxa"/>
            <w:vAlign w:val="bottom"/>
            <w:tcBorders>
              <w:bottom w:val="single" w:sz="8" w:color="205BA8"/>
            </w:tcBorders>
            <w:gridSpan w:val="2"/>
          </w:tcPr>
          <w:p>
            <w:pPr>
              <w:jc w:val="center"/>
              <w:ind w:right="1037"/>
              <w:spacing w:after="0"/>
              <w:rPr>
                <w:sz w:val="20"/>
                <w:szCs w:val="20"/>
                <w:color w:val="auto"/>
              </w:rPr>
            </w:pPr>
            <w:r>
              <w:rPr>
                <w:rFonts w:ascii="Arial" w:cs="Arial" w:eastAsia="Arial" w:hAnsi="Arial"/>
                <w:sz w:val="13"/>
                <w:szCs w:val="13"/>
                <w:b w:val="1"/>
                <w:bCs w:val="1"/>
                <w:color w:val="205BA8"/>
                <w:w w:val="95"/>
              </w:rPr>
              <w:t>COMPENSATION COMPONENTS</w:t>
            </w:r>
          </w:p>
        </w:tc>
        <w:tc>
          <w:tcPr>
            <w:tcW w:w="1420" w:type="dxa"/>
            <w:vAlign w:val="bottom"/>
            <w:tcBorders>
              <w:bottom w:val="single" w:sz="8" w:color="205BA8"/>
            </w:tcBorders>
          </w:tcPr>
          <w:p>
            <w:pPr>
              <w:spacing w:after="0"/>
              <w:rPr>
                <w:sz w:val="14"/>
                <w:szCs w:val="14"/>
                <w:color w:val="auto"/>
              </w:rPr>
            </w:pPr>
          </w:p>
        </w:tc>
      </w:tr>
      <w:tr>
        <w:trPr>
          <w:trHeight w:val="151"/>
        </w:trPr>
        <w:tc>
          <w:tcPr>
            <w:tcW w:w="3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jc w:val="center"/>
              <w:ind w:left="257"/>
              <w:spacing w:after="0"/>
              <w:rPr>
                <w:sz w:val="20"/>
                <w:szCs w:val="20"/>
                <w:color w:val="auto"/>
              </w:rPr>
            </w:pPr>
            <w:r>
              <w:rPr>
                <w:rFonts w:ascii="Arial" w:cs="Arial" w:eastAsia="Arial" w:hAnsi="Arial"/>
                <w:sz w:val="13"/>
                <w:szCs w:val="13"/>
                <w:b w:val="1"/>
                <w:bCs w:val="1"/>
                <w:color w:val="205BA8"/>
                <w:w w:val="98"/>
              </w:rPr>
              <w:t>Annual Cash</w:t>
            </w:r>
          </w:p>
        </w:tc>
        <w:tc>
          <w:tcPr>
            <w:tcW w:w="1700" w:type="dxa"/>
            <w:vAlign w:val="bottom"/>
          </w:tcPr>
          <w:p>
            <w:pPr>
              <w:jc w:val="center"/>
              <w:ind w:left="277"/>
              <w:spacing w:after="0"/>
              <w:rPr>
                <w:sz w:val="20"/>
                <w:szCs w:val="20"/>
                <w:color w:val="auto"/>
              </w:rPr>
            </w:pPr>
            <w:r>
              <w:rPr>
                <w:rFonts w:ascii="Arial" w:cs="Arial" w:eastAsia="Arial" w:hAnsi="Arial"/>
                <w:sz w:val="13"/>
                <w:szCs w:val="13"/>
                <w:b w:val="1"/>
                <w:bCs w:val="1"/>
                <w:color w:val="205BA8"/>
                <w:w w:val="96"/>
              </w:rPr>
              <w:t>Annual Equity</w:t>
            </w:r>
          </w:p>
        </w:tc>
        <w:tc>
          <w:tcPr>
            <w:tcW w:w="1460" w:type="dxa"/>
            <w:vAlign w:val="bottom"/>
          </w:tcPr>
          <w:p>
            <w:pPr>
              <w:jc w:val="center"/>
              <w:ind w:left="37"/>
              <w:spacing w:after="0"/>
              <w:rPr>
                <w:sz w:val="20"/>
                <w:szCs w:val="20"/>
                <w:color w:val="auto"/>
              </w:rPr>
            </w:pPr>
            <w:r>
              <w:rPr>
                <w:rFonts w:ascii="Arial" w:cs="Arial" w:eastAsia="Arial" w:hAnsi="Arial"/>
                <w:sz w:val="13"/>
                <w:szCs w:val="13"/>
                <w:b w:val="1"/>
                <w:bCs w:val="1"/>
                <w:color w:val="205BA8"/>
                <w:w w:val="94"/>
              </w:rPr>
              <w:t>Perquisites and</w:t>
            </w:r>
          </w:p>
        </w:tc>
        <w:tc>
          <w:tcPr>
            <w:tcW w:w="1420" w:type="dxa"/>
            <w:vAlign w:val="bottom"/>
          </w:tcPr>
          <w:p>
            <w:pPr>
              <w:jc w:val="center"/>
              <w:ind w:left="77"/>
              <w:spacing w:after="0"/>
              <w:rPr>
                <w:sz w:val="20"/>
                <w:szCs w:val="20"/>
                <w:color w:val="auto"/>
              </w:rPr>
            </w:pPr>
            <w:r>
              <w:rPr>
                <w:rFonts w:ascii="Arial" w:cs="Arial" w:eastAsia="Arial" w:hAnsi="Arial"/>
                <w:sz w:val="13"/>
                <w:szCs w:val="13"/>
                <w:b w:val="1"/>
                <w:bCs w:val="1"/>
                <w:color w:val="205BA8"/>
                <w:w w:val="94"/>
              </w:rPr>
              <w:t>Potential</w:t>
            </w:r>
          </w:p>
        </w:tc>
      </w:tr>
      <w:tr>
        <w:trPr>
          <w:trHeight w:val="162"/>
        </w:trPr>
        <w:tc>
          <w:tcPr>
            <w:tcW w:w="3320" w:type="dxa"/>
            <w:vAlign w:val="bottom"/>
            <w:tcBorders>
              <w:bottom w:val="single" w:sz="8" w:color="205BA8"/>
            </w:tcBorders>
          </w:tcPr>
          <w:p>
            <w:pPr>
              <w:spacing w:after="0"/>
              <w:rPr>
                <w:sz w:val="20"/>
                <w:szCs w:val="20"/>
                <w:color w:val="auto"/>
              </w:rPr>
            </w:pPr>
            <w:r>
              <w:rPr>
                <w:rFonts w:ascii="Arial" w:cs="Arial" w:eastAsia="Arial" w:hAnsi="Arial"/>
                <w:sz w:val="13"/>
                <w:szCs w:val="13"/>
                <w:b w:val="1"/>
                <w:bCs w:val="1"/>
                <w:color w:val="205BA8"/>
              </w:rPr>
              <w:t>Objective</w:t>
            </w:r>
          </w:p>
        </w:tc>
        <w:tc>
          <w:tcPr>
            <w:tcW w:w="1320" w:type="dxa"/>
            <w:vAlign w:val="bottom"/>
            <w:tcBorders>
              <w:bottom w:val="single" w:sz="8" w:color="205BA8"/>
            </w:tcBorders>
          </w:tcPr>
          <w:p>
            <w:pPr>
              <w:ind w:left="260"/>
              <w:spacing w:after="0"/>
              <w:rPr>
                <w:sz w:val="20"/>
                <w:szCs w:val="20"/>
                <w:color w:val="auto"/>
              </w:rPr>
            </w:pPr>
            <w:r>
              <w:rPr>
                <w:rFonts w:ascii="Arial" w:cs="Arial" w:eastAsia="Arial" w:hAnsi="Arial"/>
                <w:sz w:val="13"/>
                <w:szCs w:val="13"/>
                <w:b w:val="1"/>
                <w:bCs w:val="1"/>
                <w:color w:val="205BA8"/>
              </w:rPr>
              <w:t>Base Salary</w:t>
            </w:r>
          </w:p>
        </w:tc>
        <w:tc>
          <w:tcPr>
            <w:tcW w:w="1180" w:type="dxa"/>
            <w:vAlign w:val="bottom"/>
            <w:tcBorders>
              <w:bottom w:val="single" w:sz="8" w:color="205BA8"/>
            </w:tcBorders>
          </w:tcPr>
          <w:p>
            <w:pPr>
              <w:jc w:val="center"/>
              <w:ind w:left="257"/>
              <w:spacing w:after="0"/>
              <w:rPr>
                <w:sz w:val="20"/>
                <w:szCs w:val="20"/>
                <w:color w:val="auto"/>
              </w:rPr>
            </w:pPr>
            <w:r>
              <w:rPr>
                <w:rFonts w:ascii="Arial" w:cs="Arial" w:eastAsia="Arial" w:hAnsi="Arial"/>
                <w:sz w:val="13"/>
                <w:szCs w:val="13"/>
                <w:b w:val="1"/>
                <w:bCs w:val="1"/>
                <w:color w:val="205BA8"/>
                <w:w w:val="97"/>
              </w:rPr>
              <w:t>Incentives</w:t>
            </w:r>
          </w:p>
        </w:tc>
        <w:tc>
          <w:tcPr>
            <w:tcW w:w="1700" w:type="dxa"/>
            <w:vAlign w:val="bottom"/>
            <w:tcBorders>
              <w:bottom w:val="single" w:sz="8" w:color="205BA8"/>
            </w:tcBorders>
          </w:tcPr>
          <w:p>
            <w:pPr>
              <w:jc w:val="center"/>
              <w:ind w:left="277"/>
              <w:spacing w:after="0"/>
              <w:rPr>
                <w:sz w:val="20"/>
                <w:szCs w:val="20"/>
                <w:color w:val="auto"/>
              </w:rPr>
            </w:pPr>
            <w:r>
              <w:rPr>
                <w:rFonts w:ascii="Arial" w:cs="Arial" w:eastAsia="Arial" w:hAnsi="Arial"/>
                <w:sz w:val="13"/>
                <w:szCs w:val="13"/>
                <w:b w:val="1"/>
                <w:bCs w:val="1"/>
                <w:color w:val="205BA8"/>
                <w:w w:val="93"/>
              </w:rPr>
              <w:t>Awards</w:t>
            </w:r>
          </w:p>
        </w:tc>
        <w:tc>
          <w:tcPr>
            <w:tcW w:w="1460" w:type="dxa"/>
            <w:vAlign w:val="bottom"/>
            <w:tcBorders>
              <w:bottom w:val="single" w:sz="8" w:color="205BA8"/>
            </w:tcBorders>
          </w:tcPr>
          <w:p>
            <w:pPr>
              <w:jc w:val="center"/>
              <w:ind w:left="17"/>
              <w:spacing w:after="0"/>
              <w:rPr>
                <w:sz w:val="20"/>
                <w:szCs w:val="20"/>
                <w:color w:val="auto"/>
              </w:rPr>
            </w:pPr>
            <w:r>
              <w:rPr>
                <w:rFonts w:ascii="Arial" w:cs="Arial" w:eastAsia="Arial" w:hAnsi="Arial"/>
                <w:sz w:val="13"/>
                <w:szCs w:val="13"/>
                <w:b w:val="1"/>
                <w:bCs w:val="1"/>
                <w:color w:val="205BA8"/>
                <w:w w:val="96"/>
              </w:rPr>
              <w:t>Personal Benefits</w:t>
            </w:r>
          </w:p>
        </w:tc>
        <w:tc>
          <w:tcPr>
            <w:tcW w:w="1420" w:type="dxa"/>
            <w:vAlign w:val="bottom"/>
            <w:tcBorders>
              <w:bottom w:val="single" w:sz="8" w:color="205BA8"/>
            </w:tcBorders>
          </w:tcPr>
          <w:p>
            <w:pPr>
              <w:jc w:val="center"/>
              <w:ind w:left="77"/>
              <w:spacing w:after="0"/>
              <w:rPr>
                <w:sz w:val="20"/>
                <w:szCs w:val="20"/>
                <w:color w:val="auto"/>
              </w:rPr>
            </w:pPr>
            <w:r>
              <w:rPr>
                <w:rFonts w:ascii="Arial" w:cs="Arial" w:eastAsia="Arial" w:hAnsi="Arial"/>
                <w:sz w:val="13"/>
                <w:szCs w:val="13"/>
                <w:b w:val="1"/>
                <w:bCs w:val="1"/>
                <w:color w:val="205BA8"/>
                <w:w w:val="95"/>
              </w:rPr>
              <w:t>Severance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-7620</wp:posOffset>
            </wp:positionV>
            <wp:extent cx="6600190" cy="272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600190" cy="272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520" w:type="dxa"/>
            <w:vAlign w:val="bottom"/>
          </w:tcPr>
          <w:p>
            <w:pPr>
              <w:spacing w:after="0"/>
              <w:rPr>
                <w:sz w:val="22"/>
                <w:szCs w:val="22"/>
                <w:color w:val="auto"/>
              </w:rPr>
            </w:pPr>
          </w:p>
        </w:tc>
        <w:tc>
          <w:tcPr>
            <w:tcW w:w="3340" w:type="dxa"/>
            <w:vAlign w:val="bottom"/>
            <w:vMerge w:val="restart"/>
          </w:tcPr>
          <w:p>
            <w:pPr>
              <w:spacing w:after="0"/>
              <w:rPr>
                <w:sz w:val="20"/>
                <w:szCs w:val="20"/>
                <w:color w:val="auto"/>
              </w:rPr>
            </w:pPr>
            <w:r>
              <w:rPr>
                <w:rFonts w:ascii="Arial" w:cs="Arial" w:eastAsia="Arial" w:hAnsi="Arial"/>
                <w:sz w:val="15"/>
                <w:szCs w:val="15"/>
                <w:color w:val="auto"/>
              </w:rPr>
              <w:t>Attract and retain top talent</w:t>
            </w:r>
          </w:p>
        </w:tc>
        <w:tc>
          <w:tcPr>
            <w:tcW w:w="1620" w:type="dxa"/>
            <w:vAlign w:val="bottom"/>
          </w:tcPr>
          <w:p>
            <w:pPr>
              <w:ind w:left="540"/>
              <w:spacing w:after="0" w:line="259" w:lineRule="exact"/>
              <w:rPr>
                <w:sz w:val="20"/>
                <w:szCs w:val="20"/>
                <w:color w:val="auto"/>
              </w:rPr>
            </w:pPr>
            <w:r>
              <w:rPr>
                <w:rFonts w:ascii="Arial" w:cs="Arial" w:eastAsia="Arial" w:hAnsi="Arial"/>
                <w:sz w:val="30"/>
                <w:szCs w:val="30"/>
                <w:color w:val="205BA8"/>
              </w:rPr>
              <w:t>•</w:t>
            </w:r>
          </w:p>
        </w:tc>
        <w:tc>
          <w:tcPr>
            <w:tcW w:w="1160" w:type="dxa"/>
            <w:vAlign w:val="bottom"/>
          </w:tcPr>
          <w:p>
            <w:pPr>
              <w:ind w:left="380"/>
              <w:spacing w:after="0" w:line="259" w:lineRule="exact"/>
              <w:rPr>
                <w:sz w:val="20"/>
                <w:szCs w:val="20"/>
                <w:color w:val="auto"/>
              </w:rPr>
            </w:pPr>
            <w:r>
              <w:rPr>
                <w:rFonts w:ascii="Arial" w:cs="Arial" w:eastAsia="Arial" w:hAnsi="Arial"/>
                <w:sz w:val="30"/>
                <w:szCs w:val="30"/>
                <w:color w:val="205BA8"/>
              </w:rPr>
              <w:t>•</w:t>
            </w:r>
          </w:p>
        </w:tc>
        <w:tc>
          <w:tcPr>
            <w:tcW w:w="1460" w:type="dxa"/>
            <w:vAlign w:val="bottom"/>
          </w:tcPr>
          <w:p>
            <w:pPr>
              <w:ind w:left="660"/>
              <w:spacing w:after="0" w:line="259" w:lineRule="exact"/>
              <w:rPr>
                <w:sz w:val="20"/>
                <w:szCs w:val="20"/>
                <w:color w:val="auto"/>
              </w:rPr>
            </w:pPr>
            <w:r>
              <w:rPr>
                <w:rFonts w:ascii="Arial" w:cs="Arial" w:eastAsia="Arial" w:hAnsi="Arial"/>
                <w:sz w:val="30"/>
                <w:szCs w:val="30"/>
                <w:color w:val="205BA8"/>
              </w:rPr>
              <w:t>•</w:t>
            </w:r>
          </w:p>
        </w:tc>
        <w:tc>
          <w:tcPr>
            <w:tcW w:w="1440" w:type="dxa"/>
            <w:vAlign w:val="bottom"/>
          </w:tcPr>
          <w:p>
            <w:pPr>
              <w:ind w:left="660"/>
              <w:spacing w:after="0" w:line="259" w:lineRule="exact"/>
              <w:rPr>
                <w:sz w:val="20"/>
                <w:szCs w:val="20"/>
                <w:color w:val="auto"/>
              </w:rPr>
            </w:pPr>
            <w:r>
              <w:rPr>
                <w:rFonts w:ascii="Arial" w:cs="Arial" w:eastAsia="Arial" w:hAnsi="Arial"/>
                <w:sz w:val="30"/>
                <w:szCs w:val="30"/>
                <w:color w:val="205BA8"/>
              </w:rPr>
              <w:t>•</w:t>
            </w:r>
          </w:p>
        </w:tc>
        <w:tc>
          <w:tcPr>
            <w:tcW w:w="1380" w:type="dxa"/>
            <w:vAlign w:val="bottom"/>
          </w:tcPr>
          <w:p>
            <w:pPr>
              <w:ind w:left="680"/>
              <w:spacing w:after="0" w:line="259" w:lineRule="exact"/>
              <w:rPr>
                <w:sz w:val="20"/>
                <w:szCs w:val="20"/>
                <w:color w:val="auto"/>
              </w:rPr>
            </w:pPr>
            <w:r>
              <w:rPr>
                <w:rFonts w:ascii="Arial" w:cs="Arial" w:eastAsia="Arial" w:hAnsi="Arial"/>
                <w:sz w:val="30"/>
                <w:szCs w:val="30"/>
                <w:color w:val="205BA8"/>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334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5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520" w:type="dxa"/>
            <w:vAlign w:val="bottom"/>
          </w:tcPr>
          <w:p>
            <w:pPr>
              <w:spacing w:after="0"/>
              <w:rPr>
                <w:sz w:val="21"/>
                <w:szCs w:val="21"/>
                <w:color w:val="auto"/>
              </w:rPr>
            </w:pPr>
          </w:p>
        </w:tc>
        <w:tc>
          <w:tcPr>
            <w:tcW w:w="3340" w:type="dxa"/>
            <w:vAlign w:val="bottom"/>
            <w:vMerge w:val="restart"/>
          </w:tcPr>
          <w:p>
            <w:pPr>
              <w:spacing w:after="0"/>
              <w:rPr>
                <w:sz w:val="20"/>
                <w:szCs w:val="20"/>
                <w:color w:val="auto"/>
              </w:rPr>
            </w:pPr>
            <w:r>
              <w:rPr>
                <w:rFonts w:ascii="Arial" w:cs="Arial" w:eastAsia="Arial" w:hAnsi="Arial"/>
                <w:sz w:val="15"/>
                <w:szCs w:val="15"/>
                <w:color w:val="auto"/>
              </w:rPr>
              <w:t>Provide stability and manage risk</w:t>
            </w:r>
          </w:p>
        </w:tc>
        <w:tc>
          <w:tcPr>
            <w:tcW w:w="1620" w:type="dxa"/>
            <w:vAlign w:val="bottom"/>
          </w:tcPr>
          <w:p>
            <w:pPr>
              <w:ind w:left="540"/>
              <w:spacing w:after="0" w:line="252" w:lineRule="exact"/>
              <w:rPr>
                <w:sz w:val="20"/>
                <w:szCs w:val="20"/>
                <w:color w:val="auto"/>
              </w:rPr>
            </w:pPr>
            <w:r>
              <w:rPr>
                <w:rFonts w:ascii="Arial" w:cs="Arial" w:eastAsia="Arial" w:hAnsi="Arial"/>
                <w:sz w:val="29"/>
                <w:szCs w:val="29"/>
                <w:color w:val="205BA8"/>
              </w:rPr>
              <w:t>•</w:t>
            </w: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ind w:left="680"/>
              <w:spacing w:after="0" w:line="252" w:lineRule="exact"/>
              <w:rPr>
                <w:sz w:val="20"/>
                <w:szCs w:val="20"/>
                <w:color w:val="auto"/>
              </w:rPr>
            </w:pPr>
            <w:r>
              <w:rPr>
                <w:rFonts w:ascii="Arial" w:cs="Arial" w:eastAsia="Arial" w:hAnsi="Arial"/>
                <w:sz w:val="29"/>
                <w:szCs w:val="29"/>
                <w:color w:val="205BA8"/>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334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5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520" w:type="dxa"/>
            <w:vAlign w:val="bottom"/>
          </w:tcPr>
          <w:p>
            <w:pPr>
              <w:spacing w:after="0"/>
              <w:rPr>
                <w:sz w:val="21"/>
                <w:szCs w:val="21"/>
                <w:color w:val="auto"/>
              </w:rPr>
            </w:pPr>
          </w:p>
        </w:tc>
        <w:tc>
          <w:tcPr>
            <w:tcW w:w="3340" w:type="dxa"/>
            <w:vAlign w:val="bottom"/>
            <w:vMerge w:val="restart"/>
            <w:shd w:val="clear" w:color="auto" w:fill="ECEDED"/>
          </w:tcPr>
          <w:p>
            <w:pPr>
              <w:spacing w:after="0"/>
              <w:rPr>
                <w:sz w:val="20"/>
                <w:szCs w:val="20"/>
                <w:color w:val="auto"/>
              </w:rPr>
            </w:pPr>
            <w:r>
              <w:rPr>
                <w:rFonts w:ascii="Arial" w:cs="Arial" w:eastAsia="Arial" w:hAnsi="Arial"/>
                <w:sz w:val="15"/>
                <w:szCs w:val="15"/>
                <w:color w:val="auto"/>
              </w:rPr>
              <w:t>Reward annual performance</w:t>
            </w:r>
          </w:p>
        </w:tc>
        <w:tc>
          <w:tcPr>
            <w:tcW w:w="1620" w:type="dxa"/>
            <w:vAlign w:val="bottom"/>
            <w:shd w:val="clear" w:color="auto" w:fill="ECEDED"/>
          </w:tcPr>
          <w:p>
            <w:pPr>
              <w:spacing w:after="0"/>
              <w:rPr>
                <w:sz w:val="21"/>
                <w:szCs w:val="21"/>
                <w:color w:val="auto"/>
              </w:rPr>
            </w:pPr>
          </w:p>
        </w:tc>
        <w:tc>
          <w:tcPr>
            <w:tcW w:w="1160" w:type="dxa"/>
            <w:vAlign w:val="bottom"/>
            <w:shd w:val="clear" w:color="auto" w:fill="ECEDED"/>
          </w:tcPr>
          <w:p>
            <w:pPr>
              <w:ind w:left="380"/>
              <w:spacing w:after="0" w:line="252" w:lineRule="exact"/>
              <w:rPr>
                <w:sz w:val="20"/>
                <w:szCs w:val="20"/>
                <w:color w:val="auto"/>
              </w:rPr>
            </w:pPr>
            <w:r>
              <w:rPr>
                <w:rFonts w:ascii="Arial" w:cs="Arial" w:eastAsia="Arial" w:hAnsi="Arial"/>
                <w:sz w:val="29"/>
                <w:szCs w:val="29"/>
                <w:color w:val="205BA8"/>
              </w:rPr>
              <w:t>•</w:t>
            </w:r>
          </w:p>
        </w:tc>
        <w:tc>
          <w:tcPr>
            <w:tcW w:w="1460" w:type="dxa"/>
            <w:vAlign w:val="bottom"/>
            <w:shd w:val="clear" w:color="auto" w:fill="ECEDED"/>
          </w:tcPr>
          <w:p>
            <w:pPr>
              <w:spacing w:after="0"/>
              <w:rPr>
                <w:sz w:val="21"/>
                <w:szCs w:val="21"/>
                <w:color w:val="auto"/>
              </w:rPr>
            </w:pPr>
          </w:p>
        </w:tc>
        <w:tc>
          <w:tcPr>
            <w:tcW w:w="1440" w:type="dxa"/>
            <w:vAlign w:val="bottom"/>
            <w:shd w:val="clear" w:color="auto" w:fill="ECEDED"/>
          </w:tcPr>
          <w:p>
            <w:pPr>
              <w:spacing w:after="0"/>
              <w:rPr>
                <w:sz w:val="21"/>
                <w:szCs w:val="21"/>
                <w:color w:val="auto"/>
              </w:rPr>
            </w:pPr>
          </w:p>
        </w:tc>
        <w:tc>
          <w:tcPr>
            <w:tcW w:w="1380" w:type="dxa"/>
            <w:vAlign w:val="bottom"/>
            <w:shd w:val="clear" w:color="auto" w:fill="ECEDED"/>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3340" w:type="dxa"/>
            <w:vAlign w:val="bottom"/>
            <w:vMerge w:val="continue"/>
            <w:shd w:val="clear" w:color="auto" w:fill="ECEDED"/>
          </w:tcPr>
          <w:p>
            <w:pPr>
              <w:spacing w:after="0"/>
              <w:rPr>
                <w:sz w:val="3"/>
                <w:szCs w:val="3"/>
                <w:color w:val="auto"/>
              </w:rPr>
            </w:pPr>
          </w:p>
        </w:tc>
        <w:tc>
          <w:tcPr>
            <w:tcW w:w="1620" w:type="dxa"/>
            <w:vAlign w:val="bottom"/>
            <w:shd w:val="clear" w:color="auto" w:fill="ECEDED"/>
          </w:tcPr>
          <w:p>
            <w:pPr>
              <w:spacing w:after="0"/>
              <w:rPr>
                <w:sz w:val="3"/>
                <w:szCs w:val="3"/>
                <w:color w:val="auto"/>
              </w:rPr>
            </w:pPr>
          </w:p>
        </w:tc>
        <w:tc>
          <w:tcPr>
            <w:tcW w:w="1160" w:type="dxa"/>
            <w:vAlign w:val="bottom"/>
            <w:shd w:val="clear" w:color="auto" w:fill="ECEDED"/>
          </w:tcPr>
          <w:p>
            <w:pPr>
              <w:spacing w:after="0"/>
              <w:rPr>
                <w:sz w:val="3"/>
                <w:szCs w:val="3"/>
                <w:color w:val="auto"/>
              </w:rPr>
            </w:pPr>
          </w:p>
        </w:tc>
        <w:tc>
          <w:tcPr>
            <w:tcW w:w="1460" w:type="dxa"/>
            <w:vAlign w:val="bottom"/>
            <w:shd w:val="clear" w:color="auto" w:fill="ECEDED"/>
          </w:tcPr>
          <w:p>
            <w:pPr>
              <w:spacing w:after="0"/>
              <w:rPr>
                <w:sz w:val="3"/>
                <w:szCs w:val="3"/>
                <w:color w:val="auto"/>
              </w:rPr>
            </w:pPr>
          </w:p>
        </w:tc>
        <w:tc>
          <w:tcPr>
            <w:tcW w:w="1440" w:type="dxa"/>
            <w:vAlign w:val="bottom"/>
            <w:shd w:val="clear" w:color="auto" w:fill="ECEDED"/>
          </w:tcPr>
          <w:p>
            <w:pPr>
              <w:spacing w:after="0"/>
              <w:rPr>
                <w:sz w:val="3"/>
                <w:szCs w:val="3"/>
                <w:color w:val="auto"/>
              </w:rPr>
            </w:pPr>
          </w:p>
        </w:tc>
        <w:tc>
          <w:tcPr>
            <w:tcW w:w="1380" w:type="dxa"/>
            <w:vAlign w:val="bottom"/>
            <w:shd w:val="clear" w:color="auto" w:fill="ECEDED"/>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520" w:type="dxa"/>
            <w:vAlign w:val="bottom"/>
          </w:tcPr>
          <w:p>
            <w:pPr>
              <w:spacing w:after="0"/>
              <w:rPr>
                <w:sz w:val="9"/>
                <w:szCs w:val="9"/>
                <w:color w:val="auto"/>
              </w:rPr>
            </w:pPr>
          </w:p>
        </w:tc>
        <w:tc>
          <w:tcPr>
            <w:tcW w:w="3340" w:type="dxa"/>
            <w:vAlign w:val="bottom"/>
            <w:tcBorders>
              <w:bottom w:val="single" w:sz="8" w:color="auto"/>
            </w:tcBorders>
            <w:shd w:val="clear" w:color="auto" w:fill="ECEDED"/>
          </w:tcPr>
          <w:p>
            <w:pPr>
              <w:spacing w:after="0"/>
              <w:rPr>
                <w:sz w:val="9"/>
                <w:szCs w:val="9"/>
                <w:color w:val="auto"/>
              </w:rPr>
            </w:pPr>
          </w:p>
        </w:tc>
        <w:tc>
          <w:tcPr>
            <w:tcW w:w="1620" w:type="dxa"/>
            <w:vAlign w:val="bottom"/>
            <w:tcBorders>
              <w:bottom w:val="single" w:sz="8" w:color="auto"/>
            </w:tcBorders>
            <w:shd w:val="clear" w:color="auto" w:fill="ECEDED"/>
          </w:tcPr>
          <w:p>
            <w:pPr>
              <w:spacing w:after="0"/>
              <w:rPr>
                <w:sz w:val="9"/>
                <w:szCs w:val="9"/>
                <w:color w:val="auto"/>
              </w:rPr>
            </w:pPr>
          </w:p>
        </w:tc>
        <w:tc>
          <w:tcPr>
            <w:tcW w:w="1160" w:type="dxa"/>
            <w:vAlign w:val="bottom"/>
            <w:tcBorders>
              <w:bottom w:val="single" w:sz="8" w:color="auto"/>
            </w:tcBorders>
            <w:shd w:val="clear" w:color="auto" w:fill="ECEDED"/>
          </w:tcPr>
          <w:p>
            <w:pPr>
              <w:spacing w:after="0"/>
              <w:rPr>
                <w:sz w:val="9"/>
                <w:szCs w:val="9"/>
                <w:color w:val="auto"/>
              </w:rPr>
            </w:pPr>
          </w:p>
        </w:tc>
        <w:tc>
          <w:tcPr>
            <w:tcW w:w="1460" w:type="dxa"/>
            <w:vAlign w:val="bottom"/>
            <w:tcBorders>
              <w:bottom w:val="single" w:sz="8" w:color="auto"/>
            </w:tcBorders>
            <w:shd w:val="clear" w:color="auto" w:fill="ECEDED"/>
          </w:tcPr>
          <w:p>
            <w:pPr>
              <w:spacing w:after="0"/>
              <w:rPr>
                <w:sz w:val="9"/>
                <w:szCs w:val="9"/>
                <w:color w:val="auto"/>
              </w:rPr>
            </w:pPr>
          </w:p>
        </w:tc>
        <w:tc>
          <w:tcPr>
            <w:tcW w:w="1440" w:type="dxa"/>
            <w:vAlign w:val="bottom"/>
            <w:tcBorders>
              <w:bottom w:val="single" w:sz="8" w:color="auto"/>
            </w:tcBorders>
            <w:shd w:val="clear" w:color="auto" w:fill="ECEDED"/>
          </w:tcPr>
          <w:p>
            <w:pPr>
              <w:spacing w:after="0"/>
              <w:rPr>
                <w:sz w:val="9"/>
                <w:szCs w:val="9"/>
                <w:color w:val="auto"/>
              </w:rPr>
            </w:pPr>
          </w:p>
        </w:tc>
        <w:tc>
          <w:tcPr>
            <w:tcW w:w="1380" w:type="dxa"/>
            <w:vAlign w:val="bottom"/>
            <w:tcBorders>
              <w:bottom w:val="single" w:sz="8" w:color="auto"/>
            </w:tcBorders>
            <w:shd w:val="clear" w:color="auto" w:fill="ECEDED"/>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5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Balance immediate focus with pursuit of</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vMerge w:val="restart"/>
          </w:tcPr>
          <w:p>
            <w:pPr>
              <w:ind w:left="660"/>
              <w:spacing w:after="0"/>
              <w:rPr>
                <w:sz w:val="20"/>
                <w:szCs w:val="20"/>
                <w:color w:val="auto"/>
              </w:rPr>
            </w:pPr>
            <w:r>
              <w:rPr>
                <w:rFonts w:ascii="Arial" w:cs="Arial" w:eastAsia="Arial" w:hAnsi="Arial"/>
                <w:sz w:val="31"/>
                <w:szCs w:val="31"/>
                <w:color w:val="205BA8"/>
              </w:rPr>
              <w:t>•</w:t>
            </w:r>
          </w:p>
        </w:tc>
        <w:tc>
          <w:tcPr>
            <w:tcW w:w="1440" w:type="dxa"/>
            <w:vAlign w:val="bottom"/>
          </w:tcPr>
          <w:p>
            <w:pPr>
              <w:spacing w:after="0"/>
              <w:rPr>
                <w:sz w:val="17"/>
                <w:szCs w:val="17"/>
                <w:color w:val="auto"/>
              </w:rPr>
            </w:pPr>
          </w:p>
        </w:tc>
        <w:tc>
          <w:tcPr>
            <w:tcW w:w="1380" w:type="dxa"/>
            <w:vAlign w:val="bottom"/>
            <w:vMerge w:val="restart"/>
          </w:tcPr>
          <w:p>
            <w:pPr>
              <w:ind w:left="680"/>
              <w:spacing w:after="0"/>
              <w:rPr>
                <w:sz w:val="20"/>
                <w:szCs w:val="20"/>
                <w:color w:val="auto"/>
              </w:rPr>
            </w:pPr>
            <w:r>
              <w:rPr>
                <w:rFonts w:ascii="Arial" w:cs="Arial" w:eastAsia="Arial" w:hAnsi="Arial"/>
                <w:sz w:val="31"/>
                <w:szCs w:val="31"/>
                <w:color w:val="205BA8"/>
              </w:rPr>
              <w: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sustainable long-term performance</w:t>
            </w:r>
          </w:p>
        </w:tc>
        <w:tc>
          <w:tcPr>
            <w:tcW w:w="1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3340" w:type="dxa"/>
            <w:vAlign w:val="bottom"/>
            <w:shd w:val="clear" w:color="auto" w:fill="ECEDED"/>
          </w:tcPr>
          <w:p>
            <w:pPr>
              <w:spacing w:after="0"/>
              <w:rPr>
                <w:sz w:val="20"/>
                <w:szCs w:val="20"/>
                <w:color w:val="auto"/>
              </w:rPr>
            </w:pPr>
            <w:r>
              <w:rPr>
                <w:rFonts w:ascii="Arial" w:cs="Arial" w:eastAsia="Arial" w:hAnsi="Arial"/>
                <w:sz w:val="15"/>
                <w:szCs w:val="15"/>
                <w:color w:val="auto"/>
              </w:rPr>
              <w:t>Align our employees’ interests with those of</w:t>
            </w:r>
          </w:p>
        </w:tc>
        <w:tc>
          <w:tcPr>
            <w:tcW w:w="1620" w:type="dxa"/>
            <w:vAlign w:val="bottom"/>
            <w:shd w:val="clear" w:color="auto" w:fill="ECEDED"/>
          </w:tcPr>
          <w:p>
            <w:pPr>
              <w:spacing w:after="0"/>
              <w:rPr>
                <w:sz w:val="15"/>
                <w:szCs w:val="15"/>
                <w:color w:val="auto"/>
              </w:rPr>
            </w:pPr>
          </w:p>
        </w:tc>
        <w:tc>
          <w:tcPr>
            <w:tcW w:w="1160" w:type="dxa"/>
            <w:vAlign w:val="bottom"/>
            <w:vMerge w:val="restart"/>
            <w:shd w:val="clear" w:color="auto" w:fill="ECEDED"/>
          </w:tcPr>
          <w:p>
            <w:pPr>
              <w:ind w:left="380"/>
              <w:spacing w:after="0"/>
              <w:rPr>
                <w:sz w:val="20"/>
                <w:szCs w:val="20"/>
                <w:color w:val="auto"/>
              </w:rPr>
            </w:pPr>
            <w:r>
              <w:rPr>
                <w:rFonts w:ascii="Arial" w:cs="Arial" w:eastAsia="Arial" w:hAnsi="Arial"/>
                <w:sz w:val="31"/>
                <w:szCs w:val="31"/>
                <w:color w:val="205BA8"/>
              </w:rPr>
              <w:t>•</w:t>
            </w:r>
          </w:p>
        </w:tc>
        <w:tc>
          <w:tcPr>
            <w:tcW w:w="1460" w:type="dxa"/>
            <w:vAlign w:val="bottom"/>
            <w:vMerge w:val="restart"/>
            <w:shd w:val="clear" w:color="auto" w:fill="ECEDED"/>
          </w:tcPr>
          <w:p>
            <w:pPr>
              <w:ind w:left="660"/>
              <w:spacing w:after="0"/>
              <w:rPr>
                <w:sz w:val="20"/>
                <w:szCs w:val="20"/>
                <w:color w:val="auto"/>
              </w:rPr>
            </w:pPr>
            <w:r>
              <w:rPr>
                <w:rFonts w:ascii="Arial" w:cs="Arial" w:eastAsia="Arial" w:hAnsi="Arial"/>
                <w:sz w:val="31"/>
                <w:szCs w:val="31"/>
                <w:color w:val="205BA8"/>
              </w:rPr>
              <w:t>•</w:t>
            </w:r>
          </w:p>
        </w:tc>
        <w:tc>
          <w:tcPr>
            <w:tcW w:w="1440" w:type="dxa"/>
            <w:vAlign w:val="bottom"/>
            <w:shd w:val="clear" w:color="auto" w:fill="ECEDED"/>
          </w:tcPr>
          <w:p>
            <w:pPr>
              <w:spacing w:after="0"/>
              <w:rPr>
                <w:sz w:val="15"/>
                <w:szCs w:val="15"/>
                <w:color w:val="auto"/>
              </w:rPr>
            </w:pPr>
          </w:p>
        </w:tc>
        <w:tc>
          <w:tcPr>
            <w:tcW w:w="1380" w:type="dxa"/>
            <w:vAlign w:val="bottom"/>
            <w:shd w:val="clear" w:color="auto" w:fill="ECEDED"/>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340" w:type="dxa"/>
            <w:vAlign w:val="bottom"/>
            <w:shd w:val="clear" w:color="auto" w:fill="ECEDED"/>
          </w:tcPr>
          <w:p>
            <w:pPr>
              <w:spacing w:after="0" w:line="156" w:lineRule="exact"/>
              <w:rPr>
                <w:sz w:val="20"/>
                <w:szCs w:val="20"/>
                <w:color w:val="auto"/>
              </w:rPr>
            </w:pPr>
            <w:r>
              <w:rPr>
                <w:rFonts w:ascii="Arial" w:cs="Arial" w:eastAsia="Arial" w:hAnsi="Arial"/>
                <w:sz w:val="15"/>
                <w:szCs w:val="15"/>
                <w:color w:val="auto"/>
              </w:rPr>
              <w:t>shareholders and reward exceptional</w:t>
            </w:r>
          </w:p>
        </w:tc>
        <w:tc>
          <w:tcPr>
            <w:tcW w:w="1620" w:type="dxa"/>
            <w:vAlign w:val="bottom"/>
            <w:shd w:val="clear" w:color="auto" w:fill="ECEDED"/>
          </w:tcPr>
          <w:p>
            <w:pPr>
              <w:spacing w:after="0"/>
              <w:rPr>
                <w:sz w:val="13"/>
                <w:szCs w:val="13"/>
                <w:color w:val="auto"/>
              </w:rPr>
            </w:pPr>
          </w:p>
        </w:tc>
        <w:tc>
          <w:tcPr>
            <w:tcW w:w="1160" w:type="dxa"/>
            <w:vAlign w:val="bottom"/>
            <w:vMerge w:val="continue"/>
            <w:shd w:val="clear" w:color="auto" w:fill="ECEDED"/>
          </w:tcPr>
          <w:p>
            <w:pPr>
              <w:spacing w:after="0"/>
              <w:rPr>
                <w:sz w:val="13"/>
                <w:szCs w:val="13"/>
                <w:color w:val="auto"/>
              </w:rPr>
            </w:pPr>
          </w:p>
        </w:tc>
        <w:tc>
          <w:tcPr>
            <w:tcW w:w="1460" w:type="dxa"/>
            <w:vAlign w:val="bottom"/>
            <w:vMerge w:val="continue"/>
            <w:shd w:val="clear" w:color="auto" w:fill="ECEDED"/>
          </w:tcPr>
          <w:p>
            <w:pPr>
              <w:spacing w:after="0"/>
              <w:rPr>
                <w:sz w:val="13"/>
                <w:szCs w:val="13"/>
                <w:color w:val="auto"/>
              </w:rPr>
            </w:pPr>
          </w:p>
        </w:tc>
        <w:tc>
          <w:tcPr>
            <w:tcW w:w="1440" w:type="dxa"/>
            <w:vAlign w:val="bottom"/>
            <w:shd w:val="clear" w:color="auto" w:fill="ECEDED"/>
          </w:tcPr>
          <w:p>
            <w:pPr>
              <w:spacing w:after="0"/>
              <w:rPr>
                <w:sz w:val="13"/>
                <w:szCs w:val="13"/>
                <w:color w:val="auto"/>
              </w:rPr>
            </w:pPr>
          </w:p>
        </w:tc>
        <w:tc>
          <w:tcPr>
            <w:tcW w:w="1380" w:type="dxa"/>
            <w:vAlign w:val="bottom"/>
            <w:shd w:val="clear" w:color="auto" w:fill="ECEDED"/>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3340" w:type="dxa"/>
            <w:vAlign w:val="bottom"/>
            <w:tcBorders>
              <w:bottom w:val="single" w:sz="8" w:color="auto"/>
            </w:tcBorders>
            <w:shd w:val="clear" w:color="auto" w:fill="ECEDED"/>
          </w:tcPr>
          <w:p>
            <w:pPr>
              <w:spacing w:after="0"/>
              <w:rPr>
                <w:sz w:val="20"/>
                <w:szCs w:val="20"/>
                <w:color w:val="auto"/>
              </w:rPr>
            </w:pPr>
            <w:r>
              <w:rPr>
                <w:rFonts w:ascii="Arial" w:cs="Arial" w:eastAsia="Arial" w:hAnsi="Arial"/>
                <w:sz w:val="15"/>
                <w:szCs w:val="15"/>
                <w:color w:val="auto"/>
              </w:rPr>
              <w:t>performance</w:t>
            </w:r>
          </w:p>
        </w:tc>
        <w:tc>
          <w:tcPr>
            <w:tcW w:w="1620" w:type="dxa"/>
            <w:vAlign w:val="bottom"/>
            <w:tcBorders>
              <w:bottom w:val="single" w:sz="8" w:color="auto"/>
            </w:tcBorders>
            <w:shd w:val="clear" w:color="auto" w:fill="ECEDED"/>
          </w:tcPr>
          <w:p>
            <w:pPr>
              <w:spacing w:after="0"/>
              <w:rPr>
                <w:sz w:val="15"/>
                <w:szCs w:val="15"/>
                <w:color w:val="auto"/>
              </w:rPr>
            </w:pPr>
          </w:p>
        </w:tc>
        <w:tc>
          <w:tcPr>
            <w:tcW w:w="1160" w:type="dxa"/>
            <w:vAlign w:val="bottom"/>
            <w:tcBorders>
              <w:bottom w:val="single" w:sz="8" w:color="auto"/>
            </w:tcBorders>
            <w:vMerge w:val="continue"/>
            <w:shd w:val="clear" w:color="auto" w:fill="ECEDED"/>
          </w:tcPr>
          <w:p>
            <w:pPr>
              <w:spacing w:after="0"/>
              <w:rPr>
                <w:sz w:val="15"/>
                <w:szCs w:val="15"/>
                <w:color w:val="auto"/>
              </w:rPr>
            </w:pPr>
          </w:p>
        </w:tc>
        <w:tc>
          <w:tcPr>
            <w:tcW w:w="1460" w:type="dxa"/>
            <w:vAlign w:val="bottom"/>
            <w:tcBorders>
              <w:bottom w:val="single" w:sz="8" w:color="auto"/>
            </w:tcBorders>
            <w:vMerge w:val="continue"/>
            <w:shd w:val="clear" w:color="auto" w:fill="ECEDED"/>
          </w:tcPr>
          <w:p>
            <w:pPr>
              <w:spacing w:after="0"/>
              <w:rPr>
                <w:sz w:val="15"/>
                <w:szCs w:val="15"/>
                <w:color w:val="auto"/>
              </w:rPr>
            </w:pPr>
          </w:p>
        </w:tc>
        <w:tc>
          <w:tcPr>
            <w:tcW w:w="1440" w:type="dxa"/>
            <w:vAlign w:val="bottom"/>
            <w:tcBorders>
              <w:bottom w:val="single" w:sz="8" w:color="auto"/>
            </w:tcBorders>
            <w:shd w:val="clear" w:color="auto" w:fill="ECEDED"/>
          </w:tcPr>
          <w:p>
            <w:pPr>
              <w:spacing w:after="0"/>
              <w:rPr>
                <w:sz w:val="15"/>
                <w:szCs w:val="15"/>
                <w:color w:val="auto"/>
              </w:rPr>
            </w:pPr>
          </w:p>
        </w:tc>
        <w:tc>
          <w:tcPr>
            <w:tcW w:w="1380" w:type="dxa"/>
            <w:vAlign w:val="bottom"/>
            <w:tcBorders>
              <w:bottom w:val="single" w:sz="8" w:color="auto"/>
            </w:tcBorders>
            <w:shd w:val="clear" w:color="auto" w:fill="ECEDED"/>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Promote a culture of scientific innovation,</w:t>
            </w:r>
          </w:p>
        </w:tc>
        <w:tc>
          <w:tcPr>
            <w:tcW w:w="1620" w:type="dxa"/>
            <w:vAlign w:val="bottom"/>
            <w:vMerge w:val="restart"/>
          </w:tcPr>
          <w:p>
            <w:pPr>
              <w:ind w:left="540"/>
              <w:spacing w:after="0"/>
              <w:rPr>
                <w:sz w:val="20"/>
                <w:szCs w:val="20"/>
                <w:color w:val="auto"/>
              </w:rPr>
            </w:pPr>
            <w:r>
              <w:rPr>
                <w:rFonts w:ascii="Arial" w:cs="Arial" w:eastAsia="Arial" w:hAnsi="Arial"/>
                <w:sz w:val="31"/>
                <w:szCs w:val="31"/>
                <w:color w:val="205BA8"/>
              </w:rPr>
              <w:t>•</w:t>
            </w:r>
          </w:p>
        </w:tc>
        <w:tc>
          <w:tcPr>
            <w:tcW w:w="1160" w:type="dxa"/>
            <w:vAlign w:val="bottom"/>
            <w:vMerge w:val="restart"/>
          </w:tcPr>
          <w:p>
            <w:pPr>
              <w:ind w:left="380"/>
              <w:spacing w:after="0"/>
              <w:rPr>
                <w:sz w:val="20"/>
                <w:szCs w:val="20"/>
                <w:color w:val="auto"/>
              </w:rPr>
            </w:pPr>
            <w:r>
              <w:rPr>
                <w:rFonts w:ascii="Arial" w:cs="Arial" w:eastAsia="Arial" w:hAnsi="Arial"/>
                <w:sz w:val="31"/>
                <w:szCs w:val="31"/>
                <w:color w:val="205BA8"/>
              </w:rPr>
              <w:t>•</w:t>
            </w:r>
          </w:p>
        </w:tc>
        <w:tc>
          <w:tcPr>
            <w:tcW w:w="1460" w:type="dxa"/>
            <w:vAlign w:val="bottom"/>
            <w:vMerge w:val="restart"/>
          </w:tcPr>
          <w:p>
            <w:pPr>
              <w:ind w:left="660"/>
              <w:spacing w:after="0"/>
              <w:rPr>
                <w:sz w:val="20"/>
                <w:szCs w:val="20"/>
                <w:color w:val="auto"/>
              </w:rPr>
            </w:pPr>
            <w:r>
              <w:rPr>
                <w:rFonts w:ascii="Arial" w:cs="Arial" w:eastAsia="Arial" w:hAnsi="Arial"/>
                <w:sz w:val="31"/>
                <w:szCs w:val="31"/>
                <w:color w:val="205BA8"/>
              </w:rPr>
              <w:t>•</w:t>
            </w:r>
          </w:p>
        </w:tc>
        <w:tc>
          <w:tcPr>
            <w:tcW w:w="1440" w:type="dxa"/>
            <w:vAlign w:val="bottom"/>
            <w:vMerge w:val="restart"/>
          </w:tcPr>
          <w:p>
            <w:pPr>
              <w:ind w:left="660"/>
              <w:spacing w:after="0"/>
              <w:rPr>
                <w:sz w:val="20"/>
                <w:szCs w:val="20"/>
                <w:color w:val="auto"/>
              </w:rPr>
            </w:pPr>
            <w:r>
              <w:rPr>
                <w:rFonts w:ascii="Arial" w:cs="Arial" w:eastAsia="Arial" w:hAnsi="Arial"/>
                <w:sz w:val="31"/>
                <w:szCs w:val="31"/>
                <w:color w:val="205BA8"/>
              </w:rPr>
              <w:t>•</w:t>
            </w:r>
          </w:p>
        </w:tc>
        <w:tc>
          <w:tcPr>
            <w:tcW w:w="1380" w:type="dxa"/>
            <w:vAlign w:val="bottom"/>
            <w:vMerge w:val="restart"/>
          </w:tcPr>
          <w:p>
            <w:pPr>
              <w:ind w:left="680"/>
              <w:spacing w:after="0"/>
              <w:rPr>
                <w:sz w:val="20"/>
                <w:szCs w:val="20"/>
                <w:color w:val="auto"/>
              </w:rPr>
            </w:pPr>
            <w:r>
              <w:rPr>
                <w:rFonts w:ascii="Arial" w:cs="Arial" w:eastAsia="Arial" w:hAnsi="Arial"/>
                <w:sz w:val="31"/>
                <w:szCs w:val="31"/>
                <w:color w:val="205BA8"/>
              </w:rPr>
              <w: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3340" w:type="dxa"/>
            <w:vAlign w:val="bottom"/>
            <w:tcBorders>
              <w:bottom w:val="single" w:sz="8" w:color="205BA8"/>
            </w:tcBorders>
          </w:tcPr>
          <w:p>
            <w:pPr>
              <w:spacing w:after="0"/>
              <w:rPr>
                <w:sz w:val="20"/>
                <w:szCs w:val="20"/>
                <w:color w:val="auto"/>
              </w:rPr>
            </w:pPr>
            <w:r>
              <w:rPr>
                <w:rFonts w:ascii="Arial" w:cs="Arial" w:eastAsia="Arial" w:hAnsi="Arial"/>
                <w:sz w:val="15"/>
                <w:szCs w:val="15"/>
                <w:color w:val="auto"/>
              </w:rPr>
              <w:t>teamwork, and ethical behavior</w:t>
            </w:r>
          </w:p>
        </w:tc>
        <w:tc>
          <w:tcPr>
            <w:tcW w:w="1620" w:type="dxa"/>
            <w:vAlign w:val="bottom"/>
            <w:tcBorders>
              <w:bottom w:val="single" w:sz="8" w:color="205BA8"/>
            </w:tcBorders>
            <w:vMerge w:val="continue"/>
          </w:tcPr>
          <w:p>
            <w:pPr>
              <w:spacing w:after="0"/>
              <w:rPr>
                <w:sz w:val="17"/>
                <w:szCs w:val="17"/>
                <w:color w:val="auto"/>
              </w:rPr>
            </w:pPr>
          </w:p>
        </w:tc>
        <w:tc>
          <w:tcPr>
            <w:tcW w:w="1160" w:type="dxa"/>
            <w:vAlign w:val="bottom"/>
            <w:tcBorders>
              <w:bottom w:val="single" w:sz="8" w:color="205BA8"/>
            </w:tcBorders>
            <w:vMerge w:val="continue"/>
          </w:tcPr>
          <w:p>
            <w:pPr>
              <w:spacing w:after="0"/>
              <w:rPr>
                <w:sz w:val="17"/>
                <w:szCs w:val="17"/>
                <w:color w:val="auto"/>
              </w:rPr>
            </w:pPr>
          </w:p>
        </w:tc>
        <w:tc>
          <w:tcPr>
            <w:tcW w:w="1460" w:type="dxa"/>
            <w:vAlign w:val="bottom"/>
            <w:tcBorders>
              <w:bottom w:val="single" w:sz="8" w:color="205BA8"/>
            </w:tcBorders>
            <w:vMerge w:val="continue"/>
          </w:tcPr>
          <w:p>
            <w:pPr>
              <w:spacing w:after="0"/>
              <w:rPr>
                <w:sz w:val="17"/>
                <w:szCs w:val="17"/>
                <w:color w:val="auto"/>
              </w:rPr>
            </w:pPr>
          </w:p>
        </w:tc>
        <w:tc>
          <w:tcPr>
            <w:tcW w:w="1440" w:type="dxa"/>
            <w:vAlign w:val="bottom"/>
            <w:tcBorders>
              <w:bottom w:val="single" w:sz="8" w:color="205BA8"/>
            </w:tcBorders>
            <w:vMerge w:val="continue"/>
          </w:tcPr>
          <w:p>
            <w:pPr>
              <w:spacing w:after="0"/>
              <w:rPr>
                <w:sz w:val="17"/>
                <w:szCs w:val="17"/>
                <w:color w:val="auto"/>
              </w:rPr>
            </w:pPr>
          </w:p>
        </w:tc>
        <w:tc>
          <w:tcPr>
            <w:tcW w:w="1380" w:type="dxa"/>
            <w:vAlign w:val="bottom"/>
            <w:tcBorders>
              <w:bottom w:val="single" w:sz="8" w:color="205BA8"/>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5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ind w:left="1060"/>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63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 w:type="dxa"/>
            <w:vAlign w:val="bottom"/>
            <w:tcBorders>
              <w:bottom w:val="single" w:sz="8" w:color="C0C0C0"/>
            </w:tcBorders>
          </w:tcPr>
          <w:p>
            <w:pPr>
              <w:spacing w:after="0"/>
              <w:rPr>
                <w:sz w:val="21"/>
                <w:szCs w:val="21"/>
                <w:color w:val="auto"/>
              </w:rPr>
            </w:pPr>
          </w:p>
        </w:tc>
        <w:tc>
          <w:tcPr>
            <w:tcW w:w="334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116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144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6001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5"/>
          <w:szCs w:val="35"/>
          <w:b w:val="1"/>
          <w:bCs w:val="1"/>
          <w:color w:val="D61C5A"/>
        </w:rPr>
        <w:t>BASE</w:t>
      </w:r>
    </w:p>
    <w:p>
      <w:pPr>
        <w:spacing w:after="0" w:line="44" w:lineRule="exact"/>
        <w:rPr>
          <w:sz w:val="20"/>
          <w:szCs w:val="20"/>
          <w:color w:val="auto"/>
        </w:rPr>
      </w:pPr>
    </w:p>
    <w:p>
      <w:pPr>
        <w:spacing w:after="0"/>
        <w:rPr>
          <w:sz w:val="20"/>
          <w:szCs w:val="20"/>
          <w:color w:val="auto"/>
        </w:rPr>
      </w:pPr>
      <w:r>
        <w:rPr>
          <w:rFonts w:ascii="Arial" w:cs="Arial" w:eastAsia="Arial" w:hAnsi="Arial"/>
          <w:sz w:val="35"/>
          <w:szCs w:val="35"/>
          <w:b w:val="1"/>
          <w:bCs w:val="1"/>
          <w:color w:val="D61C5A"/>
        </w:rPr>
        <w:t>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2559050</wp:posOffset>
            </wp:positionV>
            <wp:extent cx="164973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51"/>
        <w:spacing w:after="0" w:line="268" w:lineRule="auto"/>
        <w:rPr>
          <w:sz w:val="20"/>
          <w:szCs w:val="20"/>
          <w:color w:val="auto"/>
        </w:rPr>
      </w:pPr>
      <w:r>
        <w:rPr>
          <w:rFonts w:ascii="Arial" w:cs="Arial" w:eastAsia="Arial" w:hAnsi="Arial"/>
          <w:sz w:val="34"/>
          <w:szCs w:val="34"/>
          <w:b w:val="1"/>
          <w:bCs w:val="1"/>
          <w:color w:val="D61C5A"/>
        </w:rPr>
        <w:t>ANNUAL CASH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9" w:right="900"/>
        <w:spacing w:after="0" w:line="229" w:lineRule="auto"/>
        <w:rPr>
          <w:sz w:val="20"/>
          <w:szCs w:val="20"/>
          <w:color w:val="auto"/>
        </w:rPr>
      </w:pPr>
      <w:r>
        <w:rPr>
          <w:rFonts w:ascii="Arial" w:cs="Arial" w:eastAsia="Arial" w:hAnsi="Arial"/>
          <w:sz w:val="15"/>
          <w:szCs w:val="15"/>
          <w:color w:val="auto"/>
        </w:rPr>
        <w:t>The base salary component of NEO pay generally comprises a steadily smaller percentage of overall compensation as executives’ level of responsibility rises.</w:t>
      </w:r>
    </w:p>
    <w:p>
      <w:pPr>
        <w:spacing w:after="0" w:line="139" w:lineRule="exact"/>
        <w:rPr>
          <w:sz w:val="20"/>
          <w:szCs w:val="20"/>
          <w:color w:val="auto"/>
        </w:rPr>
      </w:pPr>
    </w:p>
    <w:p>
      <w:pPr>
        <w:ind w:left="9" w:right="60"/>
        <w:spacing w:after="0" w:line="221" w:lineRule="auto"/>
        <w:rPr>
          <w:sz w:val="20"/>
          <w:szCs w:val="20"/>
          <w:color w:val="auto"/>
        </w:rPr>
      </w:pPr>
      <w:r>
        <w:rPr>
          <w:rFonts w:ascii="Arial" w:cs="Arial" w:eastAsia="Arial" w:hAnsi="Arial"/>
          <w:sz w:val="15"/>
          <w:szCs w:val="15"/>
          <w:color w:val="auto"/>
        </w:rPr>
        <w:t>We consider factors including the executive’s scope of responsibilities, experience, and annual performance when setting base salaries. We also consider base salaries of comparable positions in the region, among our peers, and in the broader biopharmaceutical industry. Finally, while there is no target benchmark level for salaries, we obtain data and compensation expertise from compensation consultants and other independent sources. See the subsections “Our Compensation Processes — Independent Compensation Consultant” and “Our Compensation Processes — Peer Data” for further information.</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5"/>
          <w:szCs w:val="15"/>
          <w:color w:val="auto"/>
        </w:rPr>
        <w:t>A chart of our NEOs’ base salaries follows.</w:t>
      </w:r>
    </w:p>
    <w:p>
      <w:pPr>
        <w:spacing w:after="0" w:line="193" w:lineRule="exact"/>
        <w:rPr>
          <w:sz w:val="20"/>
          <w:szCs w:val="20"/>
          <w:color w:val="auto"/>
        </w:rPr>
      </w:pPr>
    </w:p>
    <w:tbl>
      <w:tblPr>
        <w:tblLayout w:type="fixed"/>
        <w:tblInd w:w="9" w:type="dxa"/>
        <w:tblCellMar>
          <w:top w:w="0" w:type="dxa"/>
          <w:left w:w="0" w:type="dxa"/>
          <w:bottom w:w="0" w:type="dxa"/>
          <w:right w:w="0" w:type="dxa"/>
        </w:tblCellMar>
      </w:tblPr>
      <w:tr>
        <w:trPr>
          <w:trHeight w:val="150"/>
        </w:trPr>
        <w:tc>
          <w:tcPr>
            <w:tcW w:w="3260" w:type="dxa"/>
            <w:vAlign w:val="bottom"/>
          </w:tcPr>
          <w:p>
            <w:pPr>
              <w:spacing w:after="0"/>
              <w:rPr>
                <w:sz w:val="13"/>
                <w:szCs w:val="13"/>
                <w:color w:val="auto"/>
              </w:rPr>
            </w:pPr>
          </w:p>
        </w:tc>
        <w:tc>
          <w:tcPr>
            <w:tcW w:w="200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205BA8"/>
              </w:rPr>
              <w:t>2018 Base</w:t>
            </w:r>
          </w:p>
        </w:tc>
        <w:tc>
          <w:tcPr>
            <w:tcW w:w="1140" w:type="dxa"/>
            <w:vAlign w:val="bottom"/>
            <w:vMerge w:val="restart"/>
          </w:tcPr>
          <w:p>
            <w:pPr>
              <w:jc w:val="right"/>
              <w:ind w:right="279"/>
              <w:spacing w:after="0"/>
              <w:rPr>
                <w:sz w:val="20"/>
                <w:szCs w:val="20"/>
                <w:color w:val="auto"/>
              </w:rPr>
            </w:pPr>
            <w:r>
              <w:rPr>
                <w:rFonts w:ascii="Arial" w:cs="Arial" w:eastAsia="Arial" w:hAnsi="Arial"/>
                <w:sz w:val="11"/>
                <w:szCs w:val="11"/>
                <w:b w:val="1"/>
                <w:bCs w:val="1"/>
                <w:color w:val="205BA8"/>
              </w:rPr>
              <w:t>2019 Base</w:t>
            </w:r>
          </w:p>
        </w:tc>
        <w:tc>
          <w:tcPr>
            <w:tcW w:w="980" w:type="dxa"/>
            <w:vAlign w:val="bottom"/>
            <w:shd w:val="clear" w:color="auto" w:fill="205BA8"/>
          </w:tcPr>
          <w:p>
            <w:pPr>
              <w:ind w:left="80"/>
              <w:spacing w:after="0"/>
              <w:rPr>
                <w:sz w:val="20"/>
                <w:szCs w:val="20"/>
                <w:color w:val="auto"/>
              </w:rPr>
            </w:pPr>
            <w:r>
              <w:rPr>
                <w:rFonts w:ascii="Arial" w:cs="Arial" w:eastAsia="Arial" w:hAnsi="Arial"/>
                <w:sz w:val="11"/>
                <w:szCs w:val="11"/>
                <w:b w:val="1"/>
                <w:bCs w:val="1"/>
                <w:color w:val="FFFFFF"/>
              </w:rPr>
              <w:t>Year-Over-Year</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0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980" w:type="dxa"/>
            <w:vAlign w:val="bottom"/>
            <w:vMerge w:val="restart"/>
            <w:shd w:val="clear" w:color="auto" w:fill="205BA8"/>
          </w:tcPr>
          <w:p>
            <w:pPr>
              <w:ind w:left="140"/>
              <w:spacing w:after="0" w:line="201" w:lineRule="exact"/>
              <w:rPr>
                <w:sz w:val="20"/>
                <w:szCs w:val="20"/>
                <w:color w:val="auto"/>
              </w:rPr>
            </w:pPr>
            <w:r>
              <w:rPr>
                <w:rFonts w:ascii="Arial" w:cs="Arial" w:eastAsia="Arial" w:hAnsi="Arial"/>
                <w:sz w:val="11"/>
                <w:szCs w:val="11"/>
                <w:b w:val="1"/>
                <w:bCs w:val="1"/>
                <w:color w:val="FFFFFF"/>
              </w:rPr>
              <w:t>Change (%)</w:t>
            </w:r>
            <w:r>
              <w:rPr>
                <w:rFonts w:ascii="Arial" w:cs="Arial" w:eastAsia="Arial" w:hAnsi="Arial"/>
                <w:sz w:val="18"/>
                <w:szCs w:val="18"/>
                <w:b w:val="1"/>
                <w:bCs w:val="1"/>
                <w:color w:val="FFFFFF"/>
                <w:vertAlign w:val="superscript"/>
              </w:rPr>
              <w:t>1</w:t>
            </w:r>
          </w:p>
        </w:tc>
        <w:tc>
          <w:tcPr>
            <w:tcW w:w="0" w:type="dxa"/>
            <w:vAlign w:val="bottom"/>
          </w:tcPr>
          <w:p>
            <w:pPr>
              <w:spacing w:after="0" w:line="20" w:lineRule="exact"/>
              <w:rPr>
                <w:sz w:val="1"/>
                <w:szCs w:val="1"/>
                <w:color w:val="auto"/>
              </w:rPr>
            </w:pPr>
          </w:p>
        </w:tc>
      </w:tr>
      <w:tr>
        <w:trPr>
          <w:trHeight w:val="174"/>
        </w:trPr>
        <w:tc>
          <w:tcPr>
            <w:tcW w:w="3260" w:type="dxa"/>
            <w:vAlign w:val="bottom"/>
            <w:tcBorders>
              <w:bottom w:val="single" w:sz="8" w:color="205BA8"/>
            </w:tcBorders>
          </w:tcPr>
          <w:p>
            <w:pPr>
              <w:ind w:left="20"/>
              <w:spacing w:after="0"/>
              <w:rPr>
                <w:sz w:val="20"/>
                <w:szCs w:val="20"/>
                <w:color w:val="auto"/>
              </w:rPr>
            </w:pPr>
            <w:r>
              <w:rPr>
                <w:rFonts w:ascii="Arial" w:cs="Arial" w:eastAsia="Arial" w:hAnsi="Arial"/>
                <w:sz w:val="11"/>
                <w:szCs w:val="11"/>
                <w:b w:val="1"/>
                <w:bCs w:val="1"/>
                <w:color w:val="205BA8"/>
              </w:rPr>
              <w:t>Named Executive Officer</w:t>
            </w:r>
          </w:p>
        </w:tc>
        <w:tc>
          <w:tcPr>
            <w:tcW w:w="2000" w:type="dxa"/>
            <w:vAlign w:val="bottom"/>
            <w:tcBorders>
              <w:bottom w:val="single" w:sz="8" w:color="205BA8"/>
            </w:tcBorders>
          </w:tcPr>
          <w:p>
            <w:pPr>
              <w:jc w:val="right"/>
              <w:ind w:right="239"/>
              <w:spacing w:after="0"/>
              <w:rPr>
                <w:sz w:val="20"/>
                <w:szCs w:val="20"/>
                <w:color w:val="auto"/>
              </w:rPr>
            </w:pPr>
            <w:r>
              <w:rPr>
                <w:rFonts w:ascii="Arial" w:cs="Arial" w:eastAsia="Arial" w:hAnsi="Arial"/>
                <w:sz w:val="11"/>
                <w:szCs w:val="11"/>
                <w:b w:val="1"/>
                <w:bCs w:val="1"/>
                <w:color w:val="205BA8"/>
              </w:rPr>
              <w:t>Salary ($)</w:t>
            </w:r>
          </w:p>
        </w:tc>
        <w:tc>
          <w:tcPr>
            <w:tcW w:w="1140" w:type="dxa"/>
            <w:vAlign w:val="bottom"/>
            <w:tcBorders>
              <w:bottom w:val="single" w:sz="8" w:color="205BA8"/>
            </w:tcBorders>
          </w:tcPr>
          <w:p>
            <w:pPr>
              <w:jc w:val="right"/>
              <w:ind w:right="299"/>
              <w:spacing w:after="0"/>
              <w:rPr>
                <w:sz w:val="20"/>
                <w:szCs w:val="20"/>
                <w:color w:val="auto"/>
              </w:rPr>
            </w:pPr>
            <w:r>
              <w:rPr>
                <w:rFonts w:ascii="Arial" w:cs="Arial" w:eastAsia="Arial" w:hAnsi="Arial"/>
                <w:sz w:val="11"/>
                <w:szCs w:val="11"/>
                <w:b w:val="1"/>
                <w:bCs w:val="1"/>
                <w:color w:val="205BA8"/>
              </w:rPr>
              <w:t>Salary ($)</w:t>
            </w:r>
          </w:p>
        </w:tc>
        <w:tc>
          <w:tcPr>
            <w:tcW w:w="980" w:type="dxa"/>
            <w:vAlign w:val="bottom"/>
            <w:tcBorders>
              <w:bottom w:val="single" w:sz="8" w:color="205BA8"/>
            </w:tcBorders>
            <w:vMerge w:val="continue"/>
            <w:shd w:val="clear" w:color="auto" w:fill="205BA8"/>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Leonard S. Schleifer, M.D., Ph.D.</w:t>
            </w:r>
          </w:p>
        </w:tc>
        <w:tc>
          <w:tcPr>
            <w:tcW w:w="2000" w:type="dxa"/>
            <w:vAlign w:val="bottom"/>
            <w:tcBorders>
              <w:bottom w:val="single" w:sz="8" w:color="58585A"/>
            </w:tcBorders>
          </w:tcPr>
          <w:p>
            <w:pPr>
              <w:jc w:val="right"/>
              <w:ind w:right="199"/>
              <w:spacing w:after="0"/>
              <w:rPr>
                <w:sz w:val="20"/>
                <w:szCs w:val="20"/>
                <w:color w:val="auto"/>
              </w:rPr>
            </w:pPr>
            <w:r>
              <w:rPr>
                <w:rFonts w:ascii="Arial" w:cs="Arial" w:eastAsia="Arial" w:hAnsi="Arial"/>
                <w:sz w:val="13"/>
                <w:szCs w:val="13"/>
                <w:color w:val="auto"/>
              </w:rPr>
              <w:t>1,330,500</w:t>
            </w:r>
          </w:p>
        </w:tc>
        <w:tc>
          <w:tcPr>
            <w:tcW w:w="1140" w:type="dxa"/>
            <w:vAlign w:val="bottom"/>
            <w:tcBorders>
              <w:bottom w:val="single" w:sz="8" w:color="58585A"/>
            </w:tcBorders>
          </w:tcPr>
          <w:p>
            <w:pPr>
              <w:jc w:val="right"/>
              <w:ind w:right="259"/>
              <w:spacing w:after="0"/>
              <w:rPr>
                <w:sz w:val="20"/>
                <w:szCs w:val="20"/>
                <w:color w:val="auto"/>
              </w:rPr>
            </w:pPr>
            <w:r>
              <w:rPr>
                <w:rFonts w:ascii="Arial" w:cs="Arial" w:eastAsia="Arial" w:hAnsi="Arial"/>
                <w:sz w:val="13"/>
                <w:szCs w:val="13"/>
                <w:color w:val="auto"/>
              </w:rPr>
              <w:t>1,377,100</w:t>
            </w:r>
          </w:p>
        </w:tc>
        <w:tc>
          <w:tcPr>
            <w:tcW w:w="980" w:type="dxa"/>
            <w:vAlign w:val="bottom"/>
            <w:tcBorders>
              <w:bottom w:val="single" w:sz="8" w:color="58585A"/>
            </w:tcBorders>
            <w:shd w:val="clear" w:color="auto" w:fill="EAEFF7"/>
          </w:tcPr>
          <w:p>
            <w:pPr>
              <w:ind w:left="4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58585A"/>
            </w:tcBorders>
            <w:shd w:val="clear" w:color="auto" w:fill="ECEDED"/>
          </w:tcPr>
          <w:p>
            <w:pPr>
              <w:ind w:left="20"/>
              <w:spacing w:after="0"/>
              <w:rPr>
                <w:sz w:val="20"/>
                <w:szCs w:val="20"/>
                <w:color w:val="auto"/>
              </w:rPr>
            </w:pPr>
            <w:r>
              <w:rPr>
                <w:rFonts w:ascii="Arial" w:cs="Arial" w:eastAsia="Arial" w:hAnsi="Arial"/>
                <w:sz w:val="12"/>
                <w:szCs w:val="12"/>
                <w:b w:val="1"/>
                <w:bCs w:val="1"/>
                <w:color w:val="D61C5A"/>
              </w:rPr>
              <w:t>George D. Yancopoulos, M.D., Ph.D.</w:t>
            </w:r>
          </w:p>
        </w:tc>
        <w:tc>
          <w:tcPr>
            <w:tcW w:w="2000" w:type="dxa"/>
            <w:vAlign w:val="bottom"/>
            <w:tcBorders>
              <w:bottom w:val="single" w:sz="8" w:color="58585A"/>
            </w:tcBorders>
            <w:shd w:val="clear" w:color="auto" w:fill="ECEDED"/>
          </w:tcPr>
          <w:p>
            <w:pPr>
              <w:jc w:val="right"/>
              <w:ind w:right="199"/>
              <w:spacing w:after="0"/>
              <w:rPr>
                <w:sz w:val="20"/>
                <w:szCs w:val="20"/>
                <w:color w:val="auto"/>
              </w:rPr>
            </w:pPr>
            <w:r>
              <w:rPr>
                <w:rFonts w:ascii="Arial" w:cs="Arial" w:eastAsia="Arial" w:hAnsi="Arial"/>
                <w:sz w:val="13"/>
                <w:szCs w:val="13"/>
                <w:color w:val="auto"/>
              </w:rPr>
              <w:t>1,130,900</w:t>
            </w:r>
          </w:p>
        </w:tc>
        <w:tc>
          <w:tcPr>
            <w:tcW w:w="1140" w:type="dxa"/>
            <w:vAlign w:val="bottom"/>
            <w:tcBorders>
              <w:bottom w:val="single" w:sz="8" w:color="58585A"/>
            </w:tcBorders>
            <w:shd w:val="clear" w:color="auto" w:fill="ECEDED"/>
          </w:tcPr>
          <w:p>
            <w:pPr>
              <w:jc w:val="right"/>
              <w:ind w:right="259"/>
              <w:spacing w:after="0"/>
              <w:rPr>
                <w:sz w:val="20"/>
                <w:szCs w:val="20"/>
                <w:color w:val="auto"/>
              </w:rPr>
            </w:pPr>
            <w:r>
              <w:rPr>
                <w:rFonts w:ascii="Arial" w:cs="Arial" w:eastAsia="Arial" w:hAnsi="Arial"/>
                <w:sz w:val="13"/>
                <w:szCs w:val="13"/>
                <w:color w:val="auto"/>
              </w:rPr>
              <w:t>1,170,500</w:t>
            </w:r>
          </w:p>
        </w:tc>
        <w:tc>
          <w:tcPr>
            <w:tcW w:w="980" w:type="dxa"/>
            <w:vAlign w:val="bottom"/>
            <w:tcBorders>
              <w:bottom w:val="single" w:sz="8" w:color="58585A"/>
            </w:tcBorders>
            <w:shd w:val="clear" w:color="auto" w:fill="D6DBED"/>
          </w:tcPr>
          <w:p>
            <w:pPr>
              <w:ind w:left="4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Robert E. Landry</w:t>
            </w:r>
          </w:p>
        </w:tc>
        <w:tc>
          <w:tcPr>
            <w:tcW w:w="2000" w:type="dxa"/>
            <w:vAlign w:val="bottom"/>
            <w:tcBorders>
              <w:bottom w:val="single" w:sz="8" w:color="58585A"/>
            </w:tcBorders>
          </w:tcPr>
          <w:p>
            <w:pPr>
              <w:jc w:val="right"/>
              <w:ind w:right="199"/>
              <w:spacing w:after="0"/>
              <w:rPr>
                <w:sz w:val="20"/>
                <w:szCs w:val="20"/>
                <w:color w:val="auto"/>
              </w:rPr>
            </w:pPr>
            <w:r>
              <w:rPr>
                <w:rFonts w:ascii="Arial" w:cs="Arial" w:eastAsia="Arial" w:hAnsi="Arial"/>
                <w:sz w:val="13"/>
                <w:szCs w:val="13"/>
                <w:color w:val="auto"/>
              </w:rPr>
              <w:t>680,000</w:t>
            </w:r>
          </w:p>
        </w:tc>
        <w:tc>
          <w:tcPr>
            <w:tcW w:w="1140" w:type="dxa"/>
            <w:vAlign w:val="bottom"/>
            <w:tcBorders>
              <w:bottom w:val="single" w:sz="8" w:color="58585A"/>
            </w:tcBorders>
          </w:tcPr>
          <w:p>
            <w:pPr>
              <w:jc w:val="right"/>
              <w:ind w:right="259"/>
              <w:spacing w:after="0"/>
              <w:rPr>
                <w:sz w:val="20"/>
                <w:szCs w:val="20"/>
                <w:color w:val="auto"/>
              </w:rPr>
            </w:pPr>
            <w:r>
              <w:rPr>
                <w:rFonts w:ascii="Arial" w:cs="Arial" w:eastAsia="Arial" w:hAnsi="Arial"/>
                <w:sz w:val="13"/>
                <w:szCs w:val="13"/>
                <w:color w:val="auto"/>
              </w:rPr>
              <w:t>730,000</w:t>
            </w:r>
          </w:p>
        </w:tc>
        <w:tc>
          <w:tcPr>
            <w:tcW w:w="980" w:type="dxa"/>
            <w:vAlign w:val="bottom"/>
            <w:tcBorders>
              <w:bottom w:val="single" w:sz="8" w:color="58585A"/>
            </w:tcBorders>
            <w:shd w:val="clear" w:color="auto" w:fill="EAEFF7"/>
          </w:tcPr>
          <w:p>
            <w:pPr>
              <w:ind w:left="400"/>
              <w:spacing w:after="0" w:line="195" w:lineRule="exact"/>
              <w:rPr>
                <w:sz w:val="20"/>
                <w:szCs w:val="20"/>
                <w:color w:val="auto"/>
              </w:rPr>
            </w:pPr>
            <w:r>
              <w:rPr>
                <w:rFonts w:ascii="Arial" w:cs="Arial" w:eastAsia="Arial" w:hAnsi="Arial"/>
                <w:sz w:val="13"/>
                <w:szCs w:val="13"/>
                <w:color w:val="auto"/>
              </w:rPr>
              <w:t>7.35</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181"/>
        </w:trPr>
        <w:tc>
          <w:tcPr>
            <w:tcW w:w="3260" w:type="dxa"/>
            <w:vAlign w:val="bottom"/>
            <w:tcBorders>
              <w:bottom w:val="single" w:sz="8" w:color="58585A"/>
            </w:tcBorders>
            <w:shd w:val="clear" w:color="auto" w:fill="ECEDED"/>
          </w:tcPr>
          <w:p>
            <w:pPr>
              <w:ind w:left="20"/>
              <w:spacing w:after="0"/>
              <w:rPr>
                <w:sz w:val="20"/>
                <w:szCs w:val="20"/>
                <w:color w:val="auto"/>
              </w:rPr>
            </w:pPr>
            <w:r>
              <w:rPr>
                <w:rFonts w:ascii="Arial" w:cs="Arial" w:eastAsia="Arial" w:hAnsi="Arial"/>
                <w:sz w:val="12"/>
                <w:szCs w:val="12"/>
                <w:b w:val="1"/>
                <w:bCs w:val="1"/>
                <w:color w:val="D61C5A"/>
              </w:rPr>
              <w:t>Daniel P. Van Plew</w:t>
            </w:r>
          </w:p>
        </w:tc>
        <w:tc>
          <w:tcPr>
            <w:tcW w:w="2000" w:type="dxa"/>
            <w:vAlign w:val="bottom"/>
            <w:tcBorders>
              <w:bottom w:val="single" w:sz="8" w:color="58585A"/>
            </w:tcBorders>
            <w:shd w:val="clear" w:color="auto" w:fill="ECEDED"/>
          </w:tcPr>
          <w:p>
            <w:pPr>
              <w:jc w:val="right"/>
              <w:ind w:right="199"/>
              <w:spacing w:after="0"/>
              <w:rPr>
                <w:sz w:val="20"/>
                <w:szCs w:val="20"/>
                <w:color w:val="auto"/>
              </w:rPr>
            </w:pPr>
            <w:r>
              <w:rPr>
                <w:rFonts w:ascii="Arial" w:cs="Arial" w:eastAsia="Arial" w:hAnsi="Arial"/>
                <w:sz w:val="13"/>
                <w:szCs w:val="13"/>
                <w:color w:val="auto"/>
              </w:rPr>
              <w:t>660,000</w:t>
            </w:r>
          </w:p>
        </w:tc>
        <w:tc>
          <w:tcPr>
            <w:tcW w:w="1140" w:type="dxa"/>
            <w:vAlign w:val="bottom"/>
            <w:tcBorders>
              <w:bottom w:val="single" w:sz="8" w:color="58585A"/>
            </w:tcBorders>
            <w:shd w:val="clear" w:color="auto" w:fill="ECEDED"/>
          </w:tcPr>
          <w:p>
            <w:pPr>
              <w:jc w:val="right"/>
              <w:ind w:right="259"/>
              <w:spacing w:after="0"/>
              <w:rPr>
                <w:sz w:val="20"/>
                <w:szCs w:val="20"/>
                <w:color w:val="auto"/>
              </w:rPr>
            </w:pPr>
            <w:r>
              <w:rPr>
                <w:rFonts w:ascii="Arial" w:cs="Arial" w:eastAsia="Arial" w:hAnsi="Arial"/>
                <w:sz w:val="13"/>
                <w:szCs w:val="13"/>
                <w:color w:val="auto"/>
              </w:rPr>
              <w:t>683,100</w:t>
            </w:r>
          </w:p>
        </w:tc>
        <w:tc>
          <w:tcPr>
            <w:tcW w:w="980" w:type="dxa"/>
            <w:vAlign w:val="bottom"/>
            <w:tcBorders>
              <w:bottom w:val="single" w:sz="8" w:color="58585A"/>
            </w:tcBorders>
            <w:shd w:val="clear" w:color="auto" w:fill="D6DBED"/>
          </w:tcPr>
          <w:p>
            <w:pPr>
              <w:ind w:left="4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205BA8"/>
            </w:tcBorders>
          </w:tcPr>
          <w:p>
            <w:pPr>
              <w:ind w:left="20"/>
              <w:spacing w:after="0"/>
              <w:rPr>
                <w:sz w:val="20"/>
                <w:szCs w:val="20"/>
                <w:color w:val="auto"/>
              </w:rPr>
            </w:pPr>
            <w:r>
              <w:rPr>
                <w:rFonts w:ascii="Arial" w:cs="Arial" w:eastAsia="Arial" w:hAnsi="Arial"/>
                <w:sz w:val="12"/>
                <w:szCs w:val="12"/>
                <w:b w:val="1"/>
                <w:bCs w:val="1"/>
                <w:color w:val="D61C5A"/>
              </w:rPr>
              <w:t>Marion McCourt</w:t>
            </w:r>
          </w:p>
        </w:tc>
        <w:tc>
          <w:tcPr>
            <w:tcW w:w="2000" w:type="dxa"/>
            <w:vAlign w:val="bottom"/>
            <w:tcBorders>
              <w:bottom w:val="single" w:sz="8" w:color="205BA8"/>
            </w:tcBorders>
          </w:tcPr>
          <w:p>
            <w:pPr>
              <w:jc w:val="right"/>
              <w:ind w:right="199"/>
              <w:spacing w:after="0"/>
              <w:rPr>
                <w:sz w:val="20"/>
                <w:szCs w:val="20"/>
                <w:color w:val="auto"/>
              </w:rPr>
            </w:pPr>
            <w:r>
              <w:rPr>
                <w:rFonts w:ascii="Arial" w:cs="Arial" w:eastAsia="Arial" w:hAnsi="Arial"/>
                <w:sz w:val="13"/>
                <w:szCs w:val="13"/>
                <w:color w:val="auto"/>
              </w:rPr>
              <w:t>475,000</w:t>
            </w:r>
          </w:p>
        </w:tc>
        <w:tc>
          <w:tcPr>
            <w:tcW w:w="1140" w:type="dxa"/>
            <w:vAlign w:val="bottom"/>
            <w:tcBorders>
              <w:bottom w:val="single" w:sz="8" w:color="205BA8"/>
            </w:tcBorders>
          </w:tcPr>
          <w:p>
            <w:pPr>
              <w:jc w:val="right"/>
              <w:ind w:right="259"/>
              <w:spacing w:after="0"/>
              <w:rPr>
                <w:sz w:val="20"/>
                <w:szCs w:val="20"/>
                <w:color w:val="auto"/>
              </w:rPr>
            </w:pPr>
            <w:r>
              <w:rPr>
                <w:rFonts w:ascii="Arial" w:cs="Arial" w:eastAsia="Arial" w:hAnsi="Arial"/>
                <w:sz w:val="13"/>
                <w:szCs w:val="13"/>
                <w:color w:val="auto"/>
              </w:rPr>
              <w:t>580,000</w:t>
            </w:r>
          </w:p>
        </w:tc>
        <w:tc>
          <w:tcPr>
            <w:tcW w:w="980" w:type="dxa"/>
            <w:vAlign w:val="bottom"/>
            <w:tcBorders>
              <w:bottom w:val="single" w:sz="8" w:color="205BA8"/>
            </w:tcBorders>
            <w:shd w:val="clear" w:color="auto" w:fill="EAEFF7"/>
          </w:tcPr>
          <w:p>
            <w:pPr>
              <w:ind w:left="340"/>
              <w:spacing w:after="0" w:line="195" w:lineRule="exact"/>
              <w:rPr>
                <w:sz w:val="20"/>
                <w:szCs w:val="20"/>
                <w:color w:val="auto"/>
              </w:rPr>
            </w:pPr>
            <w:r>
              <w:rPr>
                <w:rFonts w:ascii="Arial" w:cs="Arial" w:eastAsia="Arial" w:hAnsi="Arial"/>
                <w:sz w:val="13"/>
                <w:szCs w:val="13"/>
                <w:color w:val="auto"/>
              </w:rPr>
              <w:t>22.11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49" w:hanging="149"/>
        <w:spacing w:after="0"/>
        <w:tabs>
          <w:tab w:leader="none" w:pos="149" w:val="left"/>
        </w:tabs>
        <w:numPr>
          <w:ilvl w:val="0"/>
          <w:numId w:val="76"/>
        </w:numPr>
        <w:rPr>
          <w:rFonts w:ascii="Arial" w:cs="Arial" w:eastAsia="Arial" w:hAnsi="Arial"/>
          <w:sz w:val="14"/>
          <w:szCs w:val="14"/>
          <w:b w:val="1"/>
          <w:bCs w:val="1"/>
          <w:color w:val="205BA8"/>
        </w:rPr>
      </w:pPr>
      <w:r>
        <w:rPr>
          <w:rFonts w:ascii="Arial" w:cs="Arial" w:eastAsia="Arial" w:hAnsi="Arial"/>
          <w:sz w:val="14"/>
          <w:szCs w:val="14"/>
          <w:color w:val="auto"/>
        </w:rPr>
        <w:t>Reflects a 3.50% merit increase consistent with those for other employees.</w:t>
      </w:r>
    </w:p>
    <w:p>
      <w:pPr>
        <w:spacing w:after="0" w:line="73" w:lineRule="exact"/>
        <w:rPr>
          <w:sz w:val="20"/>
          <w:szCs w:val="20"/>
          <w:color w:val="auto"/>
        </w:rPr>
      </w:pPr>
    </w:p>
    <w:p>
      <w:pPr>
        <w:ind w:left="149" w:right="180" w:hanging="149"/>
        <w:spacing w:after="0" w:line="237" w:lineRule="auto"/>
        <w:tabs>
          <w:tab w:leader="none" w:pos="149" w:val="left"/>
        </w:tabs>
        <w:numPr>
          <w:ilvl w:val="0"/>
          <w:numId w:val="77"/>
        </w:numPr>
        <w:rPr>
          <w:rFonts w:ascii="Arial" w:cs="Arial" w:eastAsia="Arial" w:hAnsi="Arial"/>
          <w:sz w:val="14"/>
          <w:szCs w:val="14"/>
          <w:b w:val="1"/>
          <w:bCs w:val="1"/>
          <w:color w:val="205BA8"/>
        </w:rPr>
      </w:pPr>
      <w:r>
        <w:rPr>
          <w:rFonts w:ascii="Arial" w:cs="Arial" w:eastAsia="Arial" w:hAnsi="Arial"/>
          <w:sz w:val="14"/>
          <w:szCs w:val="14"/>
          <w:color w:val="auto"/>
        </w:rPr>
        <w:t>Reflects (i) a 3.50% merit increase consistent with those for other employees and (ii) a $26,200 base salary adjustment to ensure greater competitiveness and alignment with relevant market metrics of the base salary paid to Mr. Landry, as well Mr. Landry’s promotion to Executive Vice President.</w:t>
      </w:r>
    </w:p>
    <w:p>
      <w:pPr>
        <w:spacing w:after="0" w:line="69" w:lineRule="exact"/>
        <w:rPr>
          <w:sz w:val="20"/>
          <w:szCs w:val="20"/>
          <w:color w:val="auto"/>
        </w:rPr>
      </w:pPr>
    </w:p>
    <w:p>
      <w:pPr>
        <w:ind w:left="149" w:right="180" w:hanging="149"/>
        <w:spacing w:after="0" w:line="237" w:lineRule="auto"/>
        <w:tabs>
          <w:tab w:leader="none" w:pos="149" w:val="left"/>
        </w:tabs>
        <w:numPr>
          <w:ilvl w:val="0"/>
          <w:numId w:val="78"/>
        </w:numPr>
        <w:rPr>
          <w:rFonts w:ascii="Arial" w:cs="Arial" w:eastAsia="Arial" w:hAnsi="Arial"/>
          <w:sz w:val="14"/>
          <w:szCs w:val="14"/>
          <w:b w:val="1"/>
          <w:bCs w:val="1"/>
          <w:color w:val="205BA8"/>
        </w:rPr>
      </w:pPr>
      <w:r>
        <w:rPr>
          <w:rFonts w:ascii="Arial" w:cs="Arial" w:eastAsia="Arial" w:hAnsi="Arial"/>
          <w:sz w:val="14"/>
          <w:szCs w:val="14"/>
          <w:color w:val="auto"/>
        </w:rPr>
        <w:t>Reflects (i) a 3.50% merit increase consistent with those for other employees and (ii) a $89,800 base salary adjustment to ensure greater competitiveness and alignment with relevant market metrics of the base salary paid to Ms.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46863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28" w:lineRule="exact"/>
        <w:rPr>
          <w:sz w:val="20"/>
          <w:szCs w:val="20"/>
          <w:color w:val="auto"/>
        </w:rPr>
      </w:pPr>
    </w:p>
    <w:p>
      <w:pPr>
        <w:ind w:left="9" w:right="700"/>
        <w:spacing w:after="0" w:line="251" w:lineRule="auto"/>
        <w:rPr>
          <w:sz w:val="20"/>
          <w:szCs w:val="20"/>
          <w:color w:val="auto"/>
        </w:rPr>
      </w:pPr>
      <w:r>
        <w:rPr>
          <w:rFonts w:ascii="Arial" w:cs="Arial" w:eastAsia="Arial" w:hAnsi="Arial"/>
          <w:sz w:val="14"/>
          <w:szCs w:val="14"/>
          <w:color w:val="auto"/>
        </w:rPr>
        <w:t>Our NEOs are eligible for cash incentives based on annual performance. We use these annual incentive opportunities to reward short-term achievements and milestones towards our long-term goals.</w:t>
      </w:r>
    </w:p>
    <w:p>
      <w:pPr>
        <w:spacing w:after="0" w:line="131" w:lineRule="exact"/>
        <w:rPr>
          <w:sz w:val="20"/>
          <w:szCs w:val="20"/>
          <w:color w:val="auto"/>
        </w:rPr>
      </w:pPr>
    </w:p>
    <w:p>
      <w:pPr>
        <w:ind w:left="9" w:right="240"/>
        <w:spacing w:after="0" w:line="225" w:lineRule="auto"/>
        <w:rPr>
          <w:sz w:val="20"/>
          <w:szCs w:val="20"/>
          <w:color w:val="auto"/>
        </w:rPr>
      </w:pPr>
      <w:r>
        <w:rPr>
          <w:rFonts w:ascii="Arial" w:cs="Arial" w:eastAsia="Arial" w:hAnsi="Arial"/>
          <w:sz w:val="15"/>
          <w:szCs w:val="15"/>
          <w:color w:val="auto"/>
        </w:rPr>
        <w:t>We focus on our overall corporate performance to determine the cash incentives of our CEO and our CSO. Our other NEOs’ cash incentives are assessed on both our overall corporate performance and on their individual contributions to it.</w:t>
      </w:r>
    </w:p>
    <w:p>
      <w:pPr>
        <w:spacing w:after="0" w:line="139" w:lineRule="exact"/>
        <w:rPr>
          <w:sz w:val="20"/>
          <w:szCs w:val="20"/>
          <w:color w:val="auto"/>
        </w:rPr>
      </w:pPr>
    </w:p>
    <w:p>
      <w:pPr>
        <w:ind w:left="9" w:right="240"/>
        <w:spacing w:after="0" w:line="221" w:lineRule="auto"/>
        <w:rPr>
          <w:sz w:val="20"/>
          <w:szCs w:val="20"/>
          <w:color w:val="auto"/>
        </w:rPr>
      </w:pPr>
      <w:r>
        <w:rPr>
          <w:rFonts w:ascii="Arial" w:cs="Arial" w:eastAsia="Arial" w:hAnsi="Arial"/>
          <w:sz w:val="15"/>
          <w:szCs w:val="15"/>
          <w:color w:val="auto"/>
        </w:rPr>
        <w:t>Assessment of the contributions made to our product pipeline is a key factor considered for calculating the Company performance multiplier because the pipeline is so critical to our success. Measuring progress towards realizing the pipeline’s full long-term potential includes, in addition to objective short-term measures, some subjective assessment of the quality of achievement. We believe this approach to be preferable to using a rigid formula that could drive short-term actions that sacrifice lasting shareholder value or may not be in the best interest of patients, such as limiting R&amp;D expenditures.</w:t>
      </w:r>
    </w:p>
    <w:p>
      <w:pPr>
        <w:spacing w:after="0" w:line="138" w:lineRule="exact"/>
        <w:rPr>
          <w:sz w:val="20"/>
          <w:szCs w:val="20"/>
          <w:color w:val="auto"/>
        </w:rPr>
      </w:pPr>
    </w:p>
    <w:p>
      <w:pPr>
        <w:ind w:left="9" w:right="200"/>
        <w:spacing w:after="0" w:line="220" w:lineRule="auto"/>
        <w:rPr>
          <w:sz w:val="20"/>
          <w:szCs w:val="20"/>
          <w:color w:val="auto"/>
        </w:rPr>
      </w:pPr>
      <w:r>
        <w:rPr>
          <w:rFonts w:ascii="Arial" w:cs="Arial" w:eastAsia="Arial" w:hAnsi="Arial"/>
          <w:sz w:val="15"/>
          <w:szCs w:val="15"/>
          <w:color w:val="auto"/>
        </w:rPr>
        <w:t>However, using some degree of subjectivity in assessing the annual progress made within the product pipeline does not imply a lack of concrete performance considerations. For 2018, the Compensation Committee set the Company performance multiplier at 1.85, from a possible range of 0 to 2.0. The key factors that drove the Compensation Committee’s decision related to the Company’s operational and pipeline achievements, including generation of meaningful clinical and preclinical data across Regeneron’s broad portfolio and reporting positive pivotal results in a broad range of serious diseases. Those and other significant factors that were taken into consideration are listed below.</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164465</wp:posOffset>
            </wp:positionV>
            <wp:extent cx="7251700" cy="330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291" w:space="720"/>
            <w:col w:w="7389"/>
          </w:cols>
          <w:pgMar w:left="760" w:top="396" w:right="739" w:bottom="1440" w:gutter="0" w:footer="0" w:header="0"/>
          <w:type w:val="continuous"/>
        </w:sectPr>
      </w:pPr>
    </w:p>
    <w:bookmarkStart w:id="77" w:name="page78"/>
    <w:bookmarkEnd w:id="77"/>
    <w:p>
      <w:pPr>
        <w:ind w:left="432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D61C5A"/>
        </w:rPr>
        <w:t>Key Factors for 2018 Compensation Decisions</w:t>
      </w:r>
    </w:p>
    <w:p>
      <w:pPr>
        <w:spacing w:after="0" w:line="203" w:lineRule="exact"/>
        <w:rPr>
          <w:sz w:val="20"/>
          <w:szCs w:val="20"/>
          <w:color w:val="auto"/>
        </w:rPr>
      </w:pPr>
    </w:p>
    <w:p>
      <w:pPr>
        <w:ind w:left="3760" w:hanging="229"/>
        <w:spacing w:after="0"/>
        <w:tabs>
          <w:tab w:leader="none" w:pos="3760" w:val="left"/>
        </w:tabs>
        <w:numPr>
          <w:ilvl w:val="0"/>
          <w:numId w:val="79"/>
        </w:numPr>
        <w:rPr>
          <w:rFonts w:ascii="Arial" w:cs="Arial" w:eastAsia="Arial" w:hAnsi="Arial"/>
          <w:sz w:val="16"/>
          <w:szCs w:val="16"/>
          <w:b w:val="1"/>
          <w:bCs w:val="1"/>
          <w:color w:val="205BA8"/>
        </w:rPr>
      </w:pPr>
      <w:r>
        <w:rPr>
          <w:rFonts w:ascii="Arial" w:cs="Arial" w:eastAsia="Arial" w:hAnsi="Arial"/>
          <w:sz w:val="16"/>
          <w:szCs w:val="16"/>
          <w:b w:val="1"/>
          <w:bCs w:val="1"/>
          <w:color w:val="205BA8"/>
        </w:rPr>
        <w:t>Regulatory Approvals</w:t>
      </w:r>
    </w:p>
    <w:p>
      <w:pPr>
        <w:spacing w:after="0" w:line="168" w:lineRule="exact"/>
        <w:rPr>
          <w:rFonts w:ascii="Arial" w:cs="Arial" w:eastAsia="Arial" w:hAnsi="Arial"/>
          <w:sz w:val="16"/>
          <w:szCs w:val="16"/>
          <w:b w:val="1"/>
          <w:bCs w:val="1"/>
          <w:color w:val="205BA8"/>
        </w:rPr>
      </w:pPr>
    </w:p>
    <w:p>
      <w:pPr>
        <w:ind w:left="3980" w:right="740" w:hanging="215"/>
        <w:spacing w:after="0" w:line="251" w:lineRule="auto"/>
        <w:tabs>
          <w:tab w:leader="none" w:pos="3980" w:val="left"/>
        </w:tabs>
        <w:numPr>
          <w:ilvl w:val="1"/>
          <w:numId w:val="79"/>
        </w:numPr>
        <w:rPr>
          <w:rFonts w:ascii="Arial" w:cs="Arial" w:eastAsia="Arial" w:hAnsi="Arial"/>
          <w:sz w:val="14"/>
          <w:szCs w:val="14"/>
          <w:color w:val="205BA8"/>
        </w:rPr>
      </w:pPr>
      <w:r>
        <w:rPr>
          <w:rFonts w:ascii="Arial" w:cs="Arial" w:eastAsia="Arial" w:hAnsi="Arial"/>
          <w:sz w:val="14"/>
          <w:szCs w:val="14"/>
          <w:color w:val="auto"/>
        </w:rPr>
        <w:t>FDA approval of a new product, Libtayo, for the treatment of patients with metastatic or locally advanced cutaneous squamous cell carcinoma who are not candidates for curative surgery or curative radiation</w:t>
      </w:r>
    </w:p>
    <w:p>
      <w:pPr>
        <w:spacing w:after="0" w:line="27" w:lineRule="exact"/>
        <w:rPr>
          <w:rFonts w:ascii="Arial" w:cs="Arial" w:eastAsia="Arial" w:hAnsi="Arial"/>
          <w:sz w:val="14"/>
          <w:szCs w:val="14"/>
          <w:color w:val="205BA8"/>
        </w:rPr>
      </w:pPr>
    </w:p>
    <w:p>
      <w:pPr>
        <w:ind w:left="3980" w:right="660" w:hanging="215"/>
        <w:spacing w:after="0" w:line="251" w:lineRule="auto"/>
        <w:tabs>
          <w:tab w:leader="none" w:pos="3980" w:val="left"/>
        </w:tabs>
        <w:numPr>
          <w:ilvl w:val="1"/>
          <w:numId w:val="79"/>
        </w:numPr>
        <w:rPr>
          <w:rFonts w:ascii="Arial" w:cs="Arial" w:eastAsia="Arial" w:hAnsi="Arial"/>
          <w:sz w:val="14"/>
          <w:szCs w:val="14"/>
          <w:color w:val="205BA8"/>
        </w:rPr>
      </w:pPr>
      <w:r>
        <w:rPr>
          <w:rFonts w:ascii="Arial" w:cs="Arial" w:eastAsia="Arial" w:hAnsi="Arial"/>
          <w:sz w:val="14"/>
          <w:szCs w:val="14"/>
          <w:color w:val="auto"/>
        </w:rPr>
        <w:t>FDA approval of Dupixent as an add-on maintenance therapy in patients with moderate-to-severe asthma aged 12 years and older with an eosinophilic phenotype or with oral corticosteroid-dependent asthma</w:t>
      </w:r>
    </w:p>
    <w:p>
      <w:pPr>
        <w:spacing w:after="0" w:line="27" w:lineRule="exact"/>
        <w:rPr>
          <w:rFonts w:ascii="Arial" w:cs="Arial" w:eastAsia="Arial" w:hAnsi="Arial"/>
          <w:sz w:val="14"/>
          <w:szCs w:val="14"/>
          <w:color w:val="205BA8"/>
        </w:rPr>
      </w:pPr>
    </w:p>
    <w:p>
      <w:pPr>
        <w:ind w:left="3980" w:right="90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FDA approval of a supplemental Biologics License Application (sBLA) for a 12-week dosing interval of EYLEA in patients with neovascular age-related macular degeneration</w:t>
      </w:r>
    </w:p>
    <w:p>
      <w:pPr>
        <w:spacing w:after="0" w:line="176" w:lineRule="exact"/>
        <w:rPr>
          <w:rFonts w:ascii="Arial" w:cs="Arial" w:eastAsia="Arial" w:hAnsi="Arial"/>
          <w:sz w:val="15"/>
          <w:szCs w:val="15"/>
          <w:color w:val="205BA8"/>
        </w:rPr>
      </w:pPr>
    </w:p>
    <w:p>
      <w:pPr>
        <w:ind w:left="3760" w:hanging="229"/>
        <w:spacing w:after="0"/>
        <w:tabs>
          <w:tab w:leader="none" w:pos="3760" w:val="left"/>
        </w:tabs>
        <w:numPr>
          <w:ilvl w:val="0"/>
          <w:numId w:val="79"/>
        </w:numPr>
        <w:rPr>
          <w:rFonts w:ascii="Arial" w:cs="Arial" w:eastAsia="Arial" w:hAnsi="Arial"/>
          <w:sz w:val="16"/>
          <w:szCs w:val="16"/>
          <w:b w:val="1"/>
          <w:bCs w:val="1"/>
          <w:color w:val="205BA8"/>
        </w:rPr>
      </w:pPr>
      <w:r>
        <w:rPr>
          <w:rFonts w:ascii="Arial" w:cs="Arial" w:eastAsia="Arial" w:hAnsi="Arial"/>
          <w:sz w:val="16"/>
          <w:szCs w:val="16"/>
          <w:b w:val="1"/>
          <w:bCs w:val="1"/>
          <w:color w:val="205BA8"/>
        </w:rPr>
        <w:t>Support of Further Commercialization of Marketed Products</w:t>
      </w:r>
    </w:p>
    <w:p>
      <w:pPr>
        <w:spacing w:after="0" w:line="168" w:lineRule="exact"/>
        <w:rPr>
          <w:rFonts w:ascii="Arial" w:cs="Arial" w:eastAsia="Arial" w:hAnsi="Arial"/>
          <w:sz w:val="16"/>
          <w:szCs w:val="16"/>
          <w:b w:val="1"/>
          <w:bCs w:val="1"/>
          <w:color w:val="205BA8"/>
        </w:rPr>
      </w:pPr>
    </w:p>
    <w:p>
      <w:pPr>
        <w:ind w:left="3980" w:right="64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Positive results from a Phase 3 study evaluating EYLEA for the treatment of diabetic retinopathy and filing of a related sBLA with the FDA</w:t>
      </w:r>
    </w:p>
    <w:p>
      <w:pPr>
        <w:spacing w:after="0" w:line="34" w:lineRule="exact"/>
        <w:rPr>
          <w:rFonts w:ascii="Arial" w:cs="Arial" w:eastAsia="Arial" w:hAnsi="Arial"/>
          <w:sz w:val="15"/>
          <w:szCs w:val="15"/>
          <w:color w:val="205BA8"/>
        </w:rPr>
      </w:pPr>
    </w:p>
    <w:p>
      <w:pPr>
        <w:ind w:left="3980" w:right="960" w:hanging="215"/>
        <w:spacing w:after="0" w:line="225"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FDA’s issuance of a Complete Response Letter (CRL) regarding the Chemistry, Manufacturing, and Controls Prior-Approval Supplement (PAS) for the EYLEA pre-filled syringe (resubmission of the PAS planned for the first half of 2019)</w:t>
      </w:r>
    </w:p>
    <w:p>
      <w:pPr>
        <w:spacing w:after="0" w:line="34" w:lineRule="exact"/>
        <w:rPr>
          <w:rFonts w:ascii="Arial" w:cs="Arial" w:eastAsia="Arial" w:hAnsi="Arial"/>
          <w:sz w:val="15"/>
          <w:szCs w:val="15"/>
          <w:color w:val="205BA8"/>
        </w:rPr>
      </w:pPr>
    </w:p>
    <w:p>
      <w:pPr>
        <w:ind w:left="3980" w:right="68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Positive results from a Phase 3 study evaluating Dupixent in adolescent patients with moderate-to-severe atopic dermatitis and filing of a related sBLA with the FDA</w:t>
      </w:r>
    </w:p>
    <w:p>
      <w:pPr>
        <w:spacing w:after="0" w:line="34" w:lineRule="exact"/>
        <w:rPr>
          <w:rFonts w:ascii="Arial" w:cs="Arial" w:eastAsia="Arial" w:hAnsi="Arial"/>
          <w:sz w:val="15"/>
          <w:szCs w:val="15"/>
          <w:color w:val="205BA8"/>
        </w:rPr>
      </w:pPr>
    </w:p>
    <w:p>
      <w:pPr>
        <w:ind w:left="3980" w:right="62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Positive results from two pivotal Phase 3 studies of Dupixent in adults with inadequately-controlled chronic rhinosinusitis with nasal polyposis</w:t>
      </w:r>
    </w:p>
    <w:p>
      <w:pPr>
        <w:spacing w:after="0" w:line="34" w:lineRule="exact"/>
        <w:rPr>
          <w:rFonts w:ascii="Arial" w:cs="Arial" w:eastAsia="Arial" w:hAnsi="Arial"/>
          <w:sz w:val="15"/>
          <w:szCs w:val="15"/>
          <w:color w:val="205BA8"/>
        </w:rPr>
      </w:pPr>
    </w:p>
    <w:p>
      <w:pPr>
        <w:ind w:left="3980" w:right="56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Initiation of a Phase 2/3 study of Dupixent in eosinophilic esophagitis and Phase 2 studies in peanut allergy and grass allergy</w:t>
      </w:r>
    </w:p>
    <w:p>
      <w:pPr>
        <w:spacing w:after="0" w:line="34" w:lineRule="exact"/>
        <w:rPr>
          <w:rFonts w:ascii="Arial" w:cs="Arial" w:eastAsia="Arial" w:hAnsi="Arial"/>
          <w:sz w:val="15"/>
          <w:szCs w:val="15"/>
          <w:color w:val="205BA8"/>
        </w:rPr>
      </w:pPr>
    </w:p>
    <w:p>
      <w:pPr>
        <w:ind w:left="3980" w:right="76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Initiation of additional Phase 3 studies and positive results from a Phase 1 study of Libtayo as a first-line treatment for non-small cell lung cancer</w:t>
      </w:r>
    </w:p>
    <w:p>
      <w:pPr>
        <w:spacing w:after="0" w:line="34" w:lineRule="exact"/>
        <w:rPr>
          <w:rFonts w:ascii="Arial" w:cs="Arial" w:eastAsia="Arial" w:hAnsi="Arial"/>
          <w:sz w:val="15"/>
          <w:szCs w:val="15"/>
          <w:color w:val="205BA8"/>
        </w:rPr>
      </w:pPr>
    </w:p>
    <w:p>
      <w:pPr>
        <w:ind w:left="3980" w:right="760" w:hanging="215"/>
        <w:spacing w:after="0" w:line="225"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Positive results from a Phase 3 cardiovascular outcomes trial that demonstrated the effect of Praluent in reducing cardiovascular risk and filing of a related sBLA with the FDA and a Marketing Authorization Application with the European Medicines Agency</w:t>
      </w:r>
    </w:p>
    <w:p>
      <w:pPr>
        <w:spacing w:after="0" w:line="176" w:lineRule="exact"/>
        <w:rPr>
          <w:rFonts w:ascii="Arial" w:cs="Arial" w:eastAsia="Arial" w:hAnsi="Arial"/>
          <w:sz w:val="15"/>
          <w:szCs w:val="15"/>
          <w:color w:val="205BA8"/>
        </w:rPr>
      </w:pPr>
    </w:p>
    <w:p>
      <w:pPr>
        <w:ind w:left="3760" w:hanging="229"/>
        <w:spacing w:after="0"/>
        <w:tabs>
          <w:tab w:leader="none" w:pos="3760" w:val="left"/>
        </w:tabs>
        <w:numPr>
          <w:ilvl w:val="0"/>
          <w:numId w:val="79"/>
        </w:numPr>
        <w:rPr>
          <w:rFonts w:ascii="Arial" w:cs="Arial" w:eastAsia="Arial" w:hAnsi="Arial"/>
          <w:sz w:val="16"/>
          <w:szCs w:val="16"/>
          <w:b w:val="1"/>
          <w:bCs w:val="1"/>
          <w:color w:val="205BA8"/>
        </w:rPr>
      </w:pPr>
      <w:r>
        <w:rPr>
          <w:rFonts w:ascii="Arial" w:cs="Arial" w:eastAsia="Arial" w:hAnsi="Arial"/>
          <w:sz w:val="16"/>
          <w:szCs w:val="16"/>
          <w:b w:val="1"/>
          <w:bCs w:val="1"/>
          <w:color w:val="205BA8"/>
        </w:rPr>
        <w:t>Late-Stage Clinical Programs</w:t>
      </w:r>
    </w:p>
    <w:p>
      <w:pPr>
        <w:spacing w:after="0" w:line="168" w:lineRule="exact"/>
        <w:rPr>
          <w:rFonts w:ascii="Arial" w:cs="Arial" w:eastAsia="Arial" w:hAnsi="Arial"/>
          <w:sz w:val="16"/>
          <w:szCs w:val="16"/>
          <w:b w:val="1"/>
          <w:bCs w:val="1"/>
          <w:color w:val="205BA8"/>
        </w:rPr>
      </w:pPr>
    </w:p>
    <w:p>
      <w:pPr>
        <w:ind w:left="3980" w:right="76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Positive results from the first of our Phase 3 efficacy studies of fasinumab in osteoarthritis of the knee or hip; completion of patient enrollment of a Phase 3 long-term safety study in osteoarthritis</w:t>
      </w:r>
    </w:p>
    <w:p>
      <w:pPr>
        <w:spacing w:after="0" w:line="34" w:lineRule="exact"/>
        <w:rPr>
          <w:rFonts w:ascii="Arial" w:cs="Arial" w:eastAsia="Arial" w:hAnsi="Arial"/>
          <w:sz w:val="15"/>
          <w:szCs w:val="15"/>
          <w:color w:val="205BA8"/>
        </w:rPr>
      </w:pPr>
    </w:p>
    <w:p>
      <w:pPr>
        <w:jc w:val="both"/>
        <w:ind w:left="3980" w:right="620" w:hanging="215"/>
        <w:spacing w:after="0" w:line="251" w:lineRule="auto"/>
        <w:tabs>
          <w:tab w:leader="none" w:pos="3980" w:val="left"/>
        </w:tabs>
        <w:numPr>
          <w:ilvl w:val="1"/>
          <w:numId w:val="79"/>
        </w:numPr>
        <w:rPr>
          <w:rFonts w:ascii="Arial" w:cs="Arial" w:eastAsia="Arial" w:hAnsi="Arial"/>
          <w:sz w:val="14"/>
          <w:szCs w:val="14"/>
          <w:color w:val="205BA8"/>
        </w:rPr>
      </w:pPr>
      <w:r>
        <w:rPr>
          <w:rFonts w:ascii="Arial" w:cs="Arial" w:eastAsia="Arial" w:hAnsi="Arial"/>
          <w:sz w:val="14"/>
          <w:szCs w:val="14"/>
          <w:color w:val="auto"/>
        </w:rPr>
        <w:t>Discontinuation of dosing patients in a Phase 3 study in chronic low back pain in patients with concomitant osteoarthritis of the knee and hip following an independent Data Monitoring Committee’s recommendation</w:t>
      </w:r>
    </w:p>
    <w:p>
      <w:pPr>
        <w:spacing w:after="0" w:line="27" w:lineRule="exact"/>
        <w:rPr>
          <w:rFonts w:ascii="Arial" w:cs="Arial" w:eastAsia="Arial" w:hAnsi="Arial"/>
          <w:sz w:val="14"/>
          <w:szCs w:val="14"/>
          <w:color w:val="205BA8"/>
        </w:rPr>
      </w:pPr>
    </w:p>
    <w:p>
      <w:pPr>
        <w:ind w:left="3980" w:right="580" w:hanging="215"/>
        <w:spacing w:after="0" w:line="225"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Initiation and completion of patient enrollment in a Phase 3 study of evinacumab for the treatment of hypercholesterolemia in patients with homozygous familial hypercholesterolemia; initiation a Phase 2 study of evinacumab in severe hypertriglyceridemia</w:t>
      </w:r>
    </w:p>
    <w:p>
      <w:pPr>
        <w:spacing w:after="0" w:line="176" w:lineRule="exact"/>
        <w:rPr>
          <w:rFonts w:ascii="Arial" w:cs="Arial" w:eastAsia="Arial" w:hAnsi="Arial"/>
          <w:sz w:val="15"/>
          <w:szCs w:val="15"/>
          <w:color w:val="205BA8"/>
        </w:rPr>
      </w:pPr>
    </w:p>
    <w:p>
      <w:pPr>
        <w:ind w:left="3760" w:right="940" w:hanging="229"/>
        <w:spacing w:after="0" w:line="264" w:lineRule="auto"/>
        <w:tabs>
          <w:tab w:leader="none" w:pos="3760" w:val="left"/>
        </w:tabs>
        <w:numPr>
          <w:ilvl w:val="0"/>
          <w:numId w:val="79"/>
        </w:numPr>
        <w:rPr>
          <w:rFonts w:ascii="Arial" w:cs="Arial" w:eastAsia="Arial" w:hAnsi="Arial"/>
          <w:sz w:val="16"/>
          <w:szCs w:val="16"/>
          <w:b w:val="1"/>
          <w:bCs w:val="1"/>
          <w:color w:val="205BA8"/>
        </w:rPr>
      </w:pPr>
      <w:r>
        <w:rPr>
          <w:rFonts w:ascii="Arial" w:cs="Arial" w:eastAsia="Arial" w:hAnsi="Arial"/>
          <w:sz w:val="16"/>
          <w:szCs w:val="16"/>
          <w:b w:val="1"/>
          <w:bCs w:val="1"/>
          <w:color w:val="205BA8"/>
        </w:rPr>
        <w:t>Earlier-Stage Clinical Programs and Advancement of New Product Candidates into Clinical Development</w:t>
      </w:r>
    </w:p>
    <w:p>
      <w:pPr>
        <w:spacing w:after="0" w:line="129" w:lineRule="exact"/>
        <w:rPr>
          <w:rFonts w:ascii="Arial" w:cs="Arial" w:eastAsia="Arial" w:hAnsi="Arial"/>
          <w:sz w:val="16"/>
          <w:szCs w:val="16"/>
          <w:b w:val="1"/>
          <w:bCs w:val="1"/>
          <w:color w:val="205BA8"/>
        </w:rPr>
      </w:pPr>
    </w:p>
    <w:p>
      <w:pPr>
        <w:ind w:left="3980" w:right="920" w:hanging="215"/>
        <w:spacing w:after="0" w:line="229" w:lineRule="auto"/>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Initiation of a potentially pivotal Phase 2 study of garetosmab in patients with fibrodysplasia ossificans progressive (a connective tissue disorder)</w:t>
      </w:r>
    </w:p>
    <w:p>
      <w:pPr>
        <w:spacing w:after="0" w:line="34" w:lineRule="exact"/>
        <w:rPr>
          <w:rFonts w:ascii="Arial" w:cs="Arial" w:eastAsia="Arial" w:hAnsi="Arial"/>
          <w:sz w:val="15"/>
          <w:szCs w:val="15"/>
          <w:color w:val="205BA8"/>
        </w:rPr>
      </w:pPr>
    </w:p>
    <w:p>
      <w:pPr>
        <w:ind w:left="3980" w:hanging="215"/>
        <w:spacing w:after="0"/>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Advancement of five new product candidates into Phase 1 clinical development</w:t>
      </w:r>
    </w:p>
    <w:p>
      <w:pPr>
        <w:spacing w:after="0" w:line="176" w:lineRule="exact"/>
        <w:rPr>
          <w:rFonts w:ascii="Arial" w:cs="Arial" w:eastAsia="Arial" w:hAnsi="Arial"/>
          <w:sz w:val="15"/>
          <w:szCs w:val="15"/>
          <w:color w:val="205BA8"/>
        </w:rPr>
      </w:pPr>
    </w:p>
    <w:p>
      <w:pPr>
        <w:ind w:left="3760" w:hanging="229"/>
        <w:spacing w:after="0"/>
        <w:tabs>
          <w:tab w:leader="none" w:pos="3760" w:val="left"/>
        </w:tabs>
        <w:numPr>
          <w:ilvl w:val="0"/>
          <w:numId w:val="79"/>
        </w:numPr>
        <w:rPr>
          <w:rFonts w:ascii="Arial" w:cs="Arial" w:eastAsia="Arial" w:hAnsi="Arial"/>
          <w:sz w:val="16"/>
          <w:szCs w:val="16"/>
          <w:b w:val="1"/>
          <w:bCs w:val="1"/>
          <w:color w:val="205BA8"/>
        </w:rPr>
      </w:pPr>
      <w:r>
        <w:rPr>
          <w:rFonts w:ascii="Arial" w:cs="Arial" w:eastAsia="Arial" w:hAnsi="Arial"/>
          <w:sz w:val="16"/>
          <w:szCs w:val="16"/>
          <w:b w:val="1"/>
          <w:bCs w:val="1"/>
          <w:color w:val="205BA8"/>
        </w:rPr>
        <w:t>Human Capital Management</w:t>
      </w:r>
    </w:p>
    <w:p>
      <w:pPr>
        <w:spacing w:after="0" w:line="168" w:lineRule="exact"/>
        <w:rPr>
          <w:rFonts w:ascii="Arial" w:cs="Arial" w:eastAsia="Arial" w:hAnsi="Arial"/>
          <w:sz w:val="16"/>
          <w:szCs w:val="16"/>
          <w:b w:val="1"/>
          <w:bCs w:val="1"/>
          <w:color w:val="205BA8"/>
        </w:rPr>
      </w:pPr>
    </w:p>
    <w:p>
      <w:pPr>
        <w:ind w:left="3980" w:hanging="215"/>
        <w:spacing w:after="0"/>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Grew the size of workforce by 19%, from 6,229 to 7,384 full-time employees</w:t>
      </w:r>
    </w:p>
    <w:p>
      <w:pPr>
        <w:spacing w:after="0" w:line="35" w:lineRule="exact"/>
        <w:rPr>
          <w:rFonts w:ascii="Arial" w:cs="Arial" w:eastAsia="Arial" w:hAnsi="Arial"/>
          <w:sz w:val="15"/>
          <w:szCs w:val="15"/>
          <w:color w:val="205BA8"/>
        </w:rPr>
      </w:pPr>
    </w:p>
    <w:p>
      <w:pPr>
        <w:ind w:left="3980" w:hanging="215"/>
        <w:spacing w:after="0"/>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Maintained an attrition rate at 7.1%, compared to an industry average of 17.9%</w:t>
      </w:r>
    </w:p>
    <w:p>
      <w:pPr>
        <w:spacing w:after="0" w:line="21" w:lineRule="exact"/>
        <w:rPr>
          <w:rFonts w:ascii="Arial" w:cs="Arial" w:eastAsia="Arial" w:hAnsi="Arial"/>
          <w:sz w:val="15"/>
          <w:szCs w:val="15"/>
          <w:color w:val="205BA8"/>
        </w:rPr>
      </w:pPr>
    </w:p>
    <w:p>
      <w:pPr>
        <w:ind w:left="3980" w:hanging="215"/>
        <w:spacing w:after="0"/>
        <w:tabs>
          <w:tab w:leader="none" w:pos="3980" w:val="left"/>
        </w:tabs>
        <w:numPr>
          <w:ilvl w:val="1"/>
          <w:numId w:val="79"/>
        </w:numPr>
        <w:rPr>
          <w:rFonts w:ascii="Arial" w:cs="Arial" w:eastAsia="Arial" w:hAnsi="Arial"/>
          <w:sz w:val="15"/>
          <w:szCs w:val="15"/>
          <w:color w:val="205BA8"/>
        </w:rPr>
      </w:pPr>
      <w:r>
        <w:rPr>
          <w:rFonts w:ascii="Arial" w:cs="Arial" w:eastAsia="Arial" w:hAnsi="Arial"/>
          <w:sz w:val="15"/>
          <w:szCs w:val="15"/>
          <w:color w:val="auto"/>
        </w:rPr>
        <w:t xml:space="preserve">Recognized as the No. 1 employer in the global biopharmaceutical industry by </w:t>
      </w:r>
      <w:r>
        <w:rPr>
          <w:rFonts w:ascii="Arial" w:cs="Arial" w:eastAsia="Arial" w:hAnsi="Arial"/>
          <w:sz w:val="15"/>
          <w:szCs w:val="15"/>
          <w:i w:val="1"/>
          <w:iCs w:val="1"/>
          <w:color w:val="auto"/>
        </w:rPr>
        <w:t>Science</w:t>
      </w:r>
      <w:r>
        <w:rPr>
          <w:rFonts w:ascii="Arial" w:cs="Arial" w:eastAsia="Arial" w:hAnsi="Arial"/>
          <w:sz w:val="15"/>
          <w:szCs w:val="15"/>
          <w:color w:val="auto"/>
        </w:rPr>
        <w:t xml:space="preserve"> magazine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65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99" w:lineRule="exact"/>
        <w:rPr>
          <w:sz w:val="20"/>
          <w:szCs w:val="20"/>
          <w:color w:val="auto"/>
        </w:rPr>
      </w:pPr>
    </w:p>
    <w:p>
      <w:pPr>
        <w:ind w:left="3240" w:hanging="229"/>
        <w:spacing w:after="0"/>
        <w:tabs>
          <w:tab w:leader="none" w:pos="3240" w:val="left"/>
        </w:tabs>
        <w:numPr>
          <w:ilvl w:val="0"/>
          <w:numId w:val="80"/>
        </w:numPr>
        <w:rPr>
          <w:rFonts w:ascii="Arial" w:cs="Arial" w:eastAsia="Arial" w:hAnsi="Arial"/>
          <w:sz w:val="14"/>
          <w:szCs w:val="14"/>
          <w:b w:val="1"/>
          <w:bCs w:val="1"/>
          <w:color w:val="205BA8"/>
        </w:rPr>
      </w:pPr>
      <w:r>
        <w:rPr>
          <w:rFonts w:ascii="Arial" w:cs="Arial" w:eastAsia="Arial" w:hAnsi="Arial"/>
          <w:sz w:val="14"/>
          <w:szCs w:val="14"/>
          <w:b w:val="1"/>
          <w:bCs w:val="1"/>
          <w:color w:val="205BA8"/>
        </w:rPr>
        <w:t>Growth and Delivery of the Company’s Industrial Operations and Product Supply Organization</w:t>
      </w:r>
    </w:p>
    <w:p>
      <w:pPr>
        <w:spacing w:after="0" w:line="191" w:lineRule="exact"/>
        <w:rPr>
          <w:rFonts w:ascii="Arial" w:cs="Arial" w:eastAsia="Arial" w:hAnsi="Arial"/>
          <w:sz w:val="14"/>
          <w:szCs w:val="14"/>
          <w:b w:val="1"/>
          <w:bCs w:val="1"/>
          <w:color w:val="205BA8"/>
        </w:rPr>
      </w:pPr>
    </w:p>
    <w:p>
      <w:pPr>
        <w:ind w:left="3460" w:right="300" w:hanging="215"/>
        <w:spacing w:after="0" w:line="229" w:lineRule="auto"/>
        <w:tabs>
          <w:tab w:leader="none" w:pos="3460" w:val="left"/>
        </w:tabs>
        <w:numPr>
          <w:ilvl w:val="1"/>
          <w:numId w:val="80"/>
        </w:numPr>
        <w:rPr>
          <w:rFonts w:ascii="Arial" w:cs="Arial" w:eastAsia="Arial" w:hAnsi="Arial"/>
          <w:sz w:val="15"/>
          <w:szCs w:val="15"/>
          <w:color w:val="205BA8"/>
        </w:rPr>
      </w:pPr>
      <w:r>
        <w:rPr>
          <w:rFonts w:ascii="Arial" w:cs="Arial" w:eastAsia="Arial" w:hAnsi="Arial"/>
          <w:sz w:val="15"/>
          <w:szCs w:val="15"/>
          <w:color w:val="auto"/>
        </w:rPr>
        <w:t>Continued strong and reliable product-supply performance in support of Regeneron’s growing demands despite supply-chain complexities</w:t>
      </w:r>
    </w:p>
    <w:p>
      <w:pPr>
        <w:spacing w:after="0" w:line="34" w:lineRule="exact"/>
        <w:rPr>
          <w:rFonts w:ascii="Arial" w:cs="Arial" w:eastAsia="Arial" w:hAnsi="Arial"/>
          <w:sz w:val="15"/>
          <w:szCs w:val="15"/>
          <w:color w:val="205BA8"/>
        </w:rPr>
      </w:pPr>
    </w:p>
    <w:p>
      <w:pPr>
        <w:ind w:left="3460" w:hanging="215"/>
        <w:spacing w:after="0"/>
        <w:tabs>
          <w:tab w:leader="none" w:pos="3460" w:val="left"/>
        </w:tabs>
        <w:numPr>
          <w:ilvl w:val="1"/>
          <w:numId w:val="80"/>
        </w:numPr>
        <w:rPr>
          <w:rFonts w:ascii="Arial" w:cs="Arial" w:eastAsia="Arial" w:hAnsi="Arial"/>
          <w:sz w:val="15"/>
          <w:szCs w:val="15"/>
          <w:color w:val="205BA8"/>
        </w:rPr>
      </w:pPr>
      <w:r>
        <w:rPr>
          <w:rFonts w:ascii="Arial" w:cs="Arial" w:eastAsia="Arial" w:hAnsi="Arial"/>
          <w:sz w:val="15"/>
          <w:szCs w:val="15"/>
          <w:color w:val="auto"/>
        </w:rPr>
        <w:t>Successful launch of Libtayo</w:t>
      </w:r>
    </w:p>
    <w:p>
      <w:pPr>
        <w:spacing w:after="0" w:line="35" w:lineRule="exact"/>
        <w:rPr>
          <w:rFonts w:ascii="Arial" w:cs="Arial" w:eastAsia="Arial" w:hAnsi="Arial"/>
          <w:sz w:val="15"/>
          <w:szCs w:val="15"/>
          <w:color w:val="205BA8"/>
        </w:rPr>
      </w:pPr>
    </w:p>
    <w:p>
      <w:pPr>
        <w:ind w:left="3460" w:hanging="215"/>
        <w:spacing w:after="0"/>
        <w:tabs>
          <w:tab w:leader="none" w:pos="3460" w:val="left"/>
        </w:tabs>
        <w:numPr>
          <w:ilvl w:val="1"/>
          <w:numId w:val="80"/>
        </w:numPr>
        <w:rPr>
          <w:rFonts w:ascii="Arial" w:cs="Arial" w:eastAsia="Arial" w:hAnsi="Arial"/>
          <w:sz w:val="15"/>
          <w:szCs w:val="15"/>
          <w:color w:val="205BA8"/>
        </w:rPr>
      </w:pPr>
      <w:r>
        <w:rPr>
          <w:rFonts w:ascii="Arial" w:cs="Arial" w:eastAsia="Arial" w:hAnsi="Arial"/>
          <w:sz w:val="15"/>
          <w:szCs w:val="15"/>
          <w:color w:val="auto"/>
        </w:rPr>
        <w:t>Successful completion of all global regulatory audits</w:t>
      </w:r>
    </w:p>
    <w:p>
      <w:pPr>
        <w:spacing w:after="0" w:line="35" w:lineRule="exact"/>
        <w:rPr>
          <w:rFonts w:ascii="Arial" w:cs="Arial" w:eastAsia="Arial" w:hAnsi="Arial"/>
          <w:sz w:val="15"/>
          <w:szCs w:val="15"/>
          <w:color w:val="205BA8"/>
        </w:rPr>
      </w:pPr>
    </w:p>
    <w:p>
      <w:pPr>
        <w:ind w:left="3460" w:hanging="215"/>
        <w:spacing w:after="0"/>
        <w:tabs>
          <w:tab w:leader="none" w:pos="3460" w:val="left"/>
        </w:tabs>
        <w:numPr>
          <w:ilvl w:val="1"/>
          <w:numId w:val="80"/>
        </w:numPr>
        <w:rPr>
          <w:rFonts w:ascii="Arial" w:cs="Arial" w:eastAsia="Arial" w:hAnsi="Arial"/>
          <w:sz w:val="15"/>
          <w:szCs w:val="15"/>
          <w:color w:val="205BA8"/>
        </w:rPr>
      </w:pPr>
      <w:r>
        <w:rPr>
          <w:rFonts w:ascii="Arial" w:cs="Arial" w:eastAsia="Arial" w:hAnsi="Arial"/>
          <w:sz w:val="15"/>
          <w:szCs w:val="15"/>
          <w:color w:val="auto"/>
        </w:rPr>
        <w:t>Continued expansion of manufacturing facilities in upstate New York</w:t>
      </w:r>
    </w:p>
    <w:p>
      <w:pPr>
        <w:spacing w:after="0" w:line="215" w:lineRule="exact"/>
        <w:rPr>
          <w:rFonts w:ascii="Arial" w:cs="Arial" w:eastAsia="Arial" w:hAnsi="Arial"/>
          <w:sz w:val="15"/>
          <w:szCs w:val="15"/>
          <w:color w:val="205BA8"/>
        </w:rPr>
      </w:pPr>
    </w:p>
    <w:p>
      <w:pPr>
        <w:ind w:left="3240" w:hanging="229"/>
        <w:spacing w:after="0"/>
        <w:tabs>
          <w:tab w:leader="none" w:pos="3240" w:val="left"/>
        </w:tabs>
        <w:numPr>
          <w:ilvl w:val="0"/>
          <w:numId w:val="80"/>
        </w:numPr>
        <w:rPr>
          <w:rFonts w:ascii="Arial" w:cs="Arial" w:eastAsia="Arial" w:hAnsi="Arial"/>
          <w:sz w:val="16"/>
          <w:szCs w:val="16"/>
          <w:b w:val="1"/>
          <w:bCs w:val="1"/>
          <w:color w:val="205BA8"/>
        </w:rPr>
      </w:pPr>
      <w:r>
        <w:rPr>
          <w:rFonts w:ascii="Arial" w:cs="Arial" w:eastAsia="Arial" w:hAnsi="Arial"/>
          <w:sz w:val="16"/>
          <w:szCs w:val="16"/>
          <w:b w:val="1"/>
          <w:bCs w:val="1"/>
          <w:color w:val="205BA8"/>
        </w:rPr>
        <w:t>Financial and Operational Performance Metrics</w:t>
      </w:r>
    </w:p>
    <w:p>
      <w:pPr>
        <w:spacing w:after="0" w:line="220" w:lineRule="exact"/>
        <w:rPr>
          <w:rFonts w:ascii="Arial" w:cs="Arial" w:eastAsia="Arial" w:hAnsi="Arial"/>
          <w:sz w:val="16"/>
          <w:szCs w:val="16"/>
          <w:b w:val="1"/>
          <w:bCs w:val="1"/>
          <w:color w:val="205BA8"/>
        </w:rPr>
      </w:pPr>
    </w:p>
    <w:p>
      <w:pPr>
        <w:ind w:left="3460" w:right="40" w:hanging="215"/>
        <w:spacing w:after="0" w:line="229" w:lineRule="auto"/>
        <w:tabs>
          <w:tab w:leader="none" w:pos="3460" w:val="left"/>
        </w:tabs>
        <w:numPr>
          <w:ilvl w:val="1"/>
          <w:numId w:val="80"/>
        </w:numPr>
        <w:rPr>
          <w:rFonts w:ascii="Arial" w:cs="Arial" w:eastAsia="Arial" w:hAnsi="Arial"/>
          <w:sz w:val="15"/>
          <w:szCs w:val="15"/>
          <w:color w:val="205BA8"/>
        </w:rPr>
      </w:pPr>
      <w:r>
        <w:rPr>
          <w:rFonts w:ascii="Arial" w:cs="Arial" w:eastAsia="Arial" w:hAnsi="Arial"/>
          <w:sz w:val="15"/>
          <w:szCs w:val="15"/>
          <w:color w:val="auto"/>
        </w:rPr>
        <w:t>Significant year-over-year revenue growth, which amounted to 14%, with $6.7 billion of revenues generated for the year ended December 31, 2018</w:t>
      </w:r>
    </w:p>
    <w:p>
      <w:pPr>
        <w:spacing w:after="0" w:line="34" w:lineRule="exact"/>
        <w:rPr>
          <w:rFonts w:ascii="Arial" w:cs="Arial" w:eastAsia="Arial" w:hAnsi="Arial"/>
          <w:sz w:val="15"/>
          <w:szCs w:val="15"/>
          <w:color w:val="205BA8"/>
        </w:rPr>
      </w:pPr>
    </w:p>
    <w:p>
      <w:pPr>
        <w:ind w:left="3460" w:right="340" w:hanging="215"/>
        <w:spacing w:after="0" w:line="251" w:lineRule="auto"/>
        <w:tabs>
          <w:tab w:leader="none" w:pos="3460" w:val="left"/>
        </w:tabs>
        <w:numPr>
          <w:ilvl w:val="1"/>
          <w:numId w:val="80"/>
        </w:numPr>
        <w:rPr>
          <w:rFonts w:ascii="Arial" w:cs="Arial" w:eastAsia="Arial" w:hAnsi="Arial"/>
          <w:sz w:val="14"/>
          <w:szCs w:val="14"/>
          <w:color w:val="205BA8"/>
        </w:rPr>
      </w:pPr>
      <w:r>
        <w:rPr>
          <w:rFonts w:ascii="Arial" w:cs="Arial" w:eastAsia="Arial" w:hAnsi="Arial"/>
          <w:sz w:val="14"/>
          <w:szCs w:val="14"/>
          <w:color w:val="auto"/>
        </w:rPr>
        <w:t>Commercial success of Dupixent in its first full year after launch, with $922 million in global net product sales generated for the year ended December 31, 2018 (as recorded by our collaborator Sanofi)</w:t>
      </w:r>
    </w:p>
    <w:p>
      <w:pPr>
        <w:spacing w:after="0" w:line="27" w:lineRule="exact"/>
        <w:rPr>
          <w:rFonts w:ascii="Arial" w:cs="Arial" w:eastAsia="Arial" w:hAnsi="Arial"/>
          <w:sz w:val="14"/>
          <w:szCs w:val="14"/>
          <w:color w:val="205BA8"/>
        </w:rPr>
      </w:pPr>
    </w:p>
    <w:p>
      <w:pPr>
        <w:ind w:left="3460" w:right="100" w:hanging="215"/>
        <w:spacing w:after="0" w:line="229" w:lineRule="auto"/>
        <w:tabs>
          <w:tab w:leader="none" w:pos="3460" w:val="left"/>
        </w:tabs>
        <w:numPr>
          <w:ilvl w:val="1"/>
          <w:numId w:val="80"/>
        </w:numPr>
        <w:rPr>
          <w:rFonts w:ascii="Arial" w:cs="Arial" w:eastAsia="Arial" w:hAnsi="Arial"/>
          <w:sz w:val="15"/>
          <w:szCs w:val="15"/>
          <w:color w:val="205BA8"/>
        </w:rPr>
      </w:pPr>
      <w:r>
        <w:rPr>
          <w:rFonts w:ascii="Arial" w:cs="Arial" w:eastAsia="Arial" w:hAnsi="Arial"/>
          <w:sz w:val="15"/>
          <w:szCs w:val="15"/>
          <w:color w:val="auto"/>
        </w:rPr>
        <w:t>Estimated non-GAAP net income and diluted non-GAAP EPS growth for 2018 significantly in excess of the Board-approved financial plan</w:t>
      </w:r>
    </w:p>
    <w:p>
      <w:pPr>
        <w:spacing w:after="0" w:line="34" w:lineRule="exact"/>
        <w:rPr>
          <w:rFonts w:ascii="Arial" w:cs="Arial" w:eastAsia="Arial" w:hAnsi="Arial"/>
          <w:sz w:val="15"/>
          <w:szCs w:val="15"/>
          <w:color w:val="205BA8"/>
        </w:rPr>
      </w:pPr>
    </w:p>
    <w:p>
      <w:pPr>
        <w:ind w:left="3460" w:hanging="215"/>
        <w:spacing w:after="0"/>
        <w:tabs>
          <w:tab w:leader="none" w:pos="3460" w:val="left"/>
        </w:tabs>
        <w:numPr>
          <w:ilvl w:val="1"/>
          <w:numId w:val="80"/>
        </w:numPr>
        <w:rPr>
          <w:rFonts w:ascii="Arial" w:cs="Arial" w:eastAsia="Arial" w:hAnsi="Arial"/>
          <w:sz w:val="14"/>
          <w:szCs w:val="14"/>
          <w:color w:val="205BA8"/>
        </w:rPr>
      </w:pPr>
      <w:r>
        <w:rPr>
          <w:rFonts w:ascii="Arial" w:cs="Arial" w:eastAsia="Arial" w:hAnsi="Arial"/>
          <w:sz w:val="14"/>
          <w:szCs w:val="14"/>
          <w:color w:val="auto"/>
        </w:rPr>
        <w:t>Achievement of additional significant tax savings by restructuring international holding company structure</w:t>
      </w:r>
    </w:p>
    <w:p>
      <w:pPr>
        <w:spacing w:after="0" w:line="203" w:lineRule="exact"/>
        <w:rPr>
          <w:sz w:val="20"/>
          <w:szCs w:val="20"/>
          <w:color w:val="auto"/>
        </w:rPr>
      </w:pPr>
    </w:p>
    <w:p>
      <w:pPr>
        <w:ind w:left="3020" w:right="20"/>
        <w:spacing w:after="0" w:line="234" w:lineRule="auto"/>
        <w:rPr>
          <w:sz w:val="20"/>
          <w:szCs w:val="20"/>
          <w:color w:val="auto"/>
        </w:rPr>
      </w:pPr>
      <w:r>
        <w:rPr>
          <w:rFonts w:ascii="Arial" w:cs="Arial" w:eastAsia="Arial" w:hAnsi="Arial"/>
          <w:sz w:val="14"/>
          <w:szCs w:val="14"/>
          <w:color w:val="auto"/>
        </w:rPr>
        <w:t>In determining the level of 2018 cash incentives earned as described below, we analyzed the NEOs’ respective target cash incentive amounts (which, for our CEO, was set to remain below the median of the Peer Group) and individual performance in 2018. To determine the cash incentive amount awarded to each NEO, we applied the Company performance multiplier based on the Company’s achievement of 2018 objectives; and, for the three NEOs who also have a personal performance component, we applied a personal performance multiplier. For the three NEOs with a personal performance component, the personal performance component had a 40% weighting and the Company performance component had a 60% weighting. The personal performance multiplier may range from 0 to 1.5. With respect to each NEO who served in 2017, the 2018 target cash incentive opportunity (shown as “Cash Incentive Target” in the table below) remained the same as in 2017. For the explanation of individual factors considered in the cash incentive decisions, see the subsection “Compensation Dashboard — Additional Compensation Information — Annual Cash Incentive.”</w:t>
      </w:r>
    </w:p>
    <w:p>
      <w:pPr>
        <w:spacing w:after="0" w:line="144"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The information regarding the 2018 cash incentive awards we made to our NEOs is summarized in this chart:</w:t>
      </w:r>
    </w:p>
    <w:p>
      <w:pPr>
        <w:spacing w:after="0" w:line="193" w:lineRule="exact"/>
        <w:rPr>
          <w:sz w:val="20"/>
          <w:szCs w:val="20"/>
          <w:color w:val="auto"/>
        </w:rPr>
      </w:pPr>
    </w:p>
    <w:tbl>
      <w:tblPr>
        <w:tblLayout w:type="fixed"/>
        <w:tblInd w:w="3020" w:type="dxa"/>
        <w:tblCellMar>
          <w:top w:w="0" w:type="dxa"/>
          <w:left w:w="0" w:type="dxa"/>
          <w:bottom w:w="0" w:type="dxa"/>
          <w:right w:w="0" w:type="dxa"/>
        </w:tblCellMar>
      </w:tblPr>
      <w:tr>
        <w:trPr>
          <w:trHeight w:val="144"/>
        </w:trPr>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jc w:val="right"/>
              <w:ind w:right="18"/>
              <w:spacing w:after="0"/>
              <w:rPr>
                <w:sz w:val="20"/>
                <w:szCs w:val="20"/>
                <w:color w:val="auto"/>
              </w:rPr>
            </w:pPr>
            <w:r>
              <w:rPr>
                <w:rFonts w:ascii="Arial" w:cs="Arial" w:eastAsia="Arial" w:hAnsi="Arial"/>
                <w:sz w:val="11"/>
                <w:szCs w:val="11"/>
                <w:b w:val="1"/>
                <w:bCs w:val="1"/>
                <w:color w:val="205BA8"/>
              </w:rPr>
              <w:t>Cash Incentive Target</w:t>
            </w:r>
          </w:p>
        </w:tc>
        <w:tc>
          <w:tcPr>
            <w:tcW w:w="860" w:type="dxa"/>
            <w:vAlign w:val="bottom"/>
          </w:tcPr>
          <w:p>
            <w:pPr>
              <w:ind w:left="200"/>
              <w:spacing w:after="0"/>
              <w:rPr>
                <w:sz w:val="20"/>
                <w:szCs w:val="20"/>
                <w:color w:val="auto"/>
              </w:rPr>
            </w:pPr>
            <w:r>
              <w:rPr>
                <w:rFonts w:ascii="Arial" w:cs="Arial" w:eastAsia="Arial" w:hAnsi="Arial"/>
                <w:sz w:val="11"/>
                <w:szCs w:val="11"/>
                <w:b w:val="1"/>
                <w:bCs w:val="1"/>
                <w:color w:val="205BA8"/>
              </w:rPr>
              <w:t>Personal</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205BA8"/>
              </w:rPr>
              <w:t>Company</w:t>
            </w:r>
          </w:p>
        </w:tc>
        <w:tc>
          <w:tcPr>
            <w:tcW w:w="1160" w:type="dxa"/>
            <w:vAlign w:val="bottom"/>
            <w:shd w:val="clear" w:color="auto" w:fill="205BA8"/>
          </w:tcPr>
          <w:p>
            <w:pPr>
              <w:spacing w:after="0"/>
              <w:rPr>
                <w:sz w:val="12"/>
                <w:szCs w:val="12"/>
                <w:color w:val="auto"/>
              </w:rPr>
            </w:pPr>
          </w:p>
        </w:tc>
      </w:tr>
      <w:tr>
        <w:trPr>
          <w:trHeight w:val="130"/>
        </w:trPr>
        <w:tc>
          <w:tcPr>
            <w:tcW w:w="2240" w:type="dxa"/>
            <w:vAlign w:val="bottom"/>
          </w:tcPr>
          <w:p>
            <w:pPr>
              <w:spacing w:after="0"/>
              <w:rPr>
                <w:sz w:val="11"/>
                <w:szCs w:val="11"/>
                <w:color w:val="auto"/>
              </w:rPr>
            </w:pPr>
          </w:p>
        </w:tc>
        <w:tc>
          <w:tcPr>
            <w:tcW w:w="860" w:type="dxa"/>
            <w:vAlign w:val="bottom"/>
          </w:tcPr>
          <w:p>
            <w:pPr>
              <w:jc w:val="right"/>
              <w:ind w:right="98"/>
              <w:spacing w:after="0"/>
              <w:rPr>
                <w:sz w:val="20"/>
                <w:szCs w:val="20"/>
                <w:color w:val="auto"/>
              </w:rPr>
            </w:pPr>
            <w:r>
              <w:rPr>
                <w:rFonts w:ascii="Arial" w:cs="Arial" w:eastAsia="Arial" w:hAnsi="Arial"/>
                <w:sz w:val="11"/>
                <w:szCs w:val="11"/>
                <w:b w:val="1"/>
                <w:bCs w:val="1"/>
                <w:color w:val="205BA8"/>
              </w:rPr>
              <w:t>2018 Base</w:t>
            </w:r>
          </w:p>
        </w:tc>
        <w:tc>
          <w:tcPr>
            <w:tcW w:w="1380" w:type="dxa"/>
            <w:vAlign w:val="bottom"/>
          </w:tcPr>
          <w:p>
            <w:pPr>
              <w:jc w:val="right"/>
              <w:ind w:right="198"/>
              <w:spacing w:after="0"/>
              <w:rPr>
                <w:sz w:val="20"/>
                <w:szCs w:val="20"/>
                <w:color w:val="auto"/>
              </w:rPr>
            </w:pPr>
            <w:r>
              <w:rPr>
                <w:rFonts w:ascii="Arial" w:cs="Arial" w:eastAsia="Arial" w:hAnsi="Arial"/>
                <w:sz w:val="11"/>
                <w:szCs w:val="11"/>
                <w:b w:val="1"/>
                <w:bCs w:val="1"/>
                <w:color w:val="205BA8"/>
              </w:rPr>
              <w:t>(as percentage</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205BA8"/>
              </w:rPr>
              <w:t>Performance</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205BA8"/>
              </w:rPr>
              <w:t>Performance</w:t>
            </w:r>
          </w:p>
        </w:tc>
        <w:tc>
          <w:tcPr>
            <w:tcW w:w="1160" w:type="dxa"/>
            <w:vAlign w:val="bottom"/>
            <w:shd w:val="clear" w:color="auto" w:fill="205BA8"/>
          </w:tcPr>
          <w:p>
            <w:pPr>
              <w:jc w:val="right"/>
              <w:ind w:right="238"/>
              <w:spacing w:after="0"/>
              <w:rPr>
                <w:sz w:val="20"/>
                <w:szCs w:val="20"/>
                <w:color w:val="auto"/>
              </w:rPr>
            </w:pPr>
            <w:r>
              <w:rPr>
                <w:rFonts w:ascii="Arial" w:cs="Arial" w:eastAsia="Arial" w:hAnsi="Arial"/>
                <w:sz w:val="11"/>
                <w:szCs w:val="11"/>
                <w:b w:val="1"/>
                <w:bCs w:val="1"/>
                <w:color w:val="FFFFFF"/>
              </w:rPr>
              <w:t>Total Cash</w:t>
            </w:r>
          </w:p>
        </w:tc>
      </w:tr>
      <w:tr>
        <w:trPr>
          <w:trHeight w:val="174"/>
        </w:trPr>
        <w:tc>
          <w:tcPr>
            <w:tcW w:w="2240" w:type="dxa"/>
            <w:vAlign w:val="bottom"/>
            <w:tcBorders>
              <w:bottom w:val="single" w:sz="8" w:color="205BA8"/>
            </w:tcBorders>
          </w:tcPr>
          <w:p>
            <w:pPr>
              <w:ind w:left="20"/>
              <w:spacing w:after="0"/>
              <w:rPr>
                <w:sz w:val="20"/>
                <w:szCs w:val="20"/>
                <w:color w:val="auto"/>
              </w:rPr>
            </w:pPr>
            <w:r>
              <w:rPr>
                <w:rFonts w:ascii="Arial" w:cs="Arial" w:eastAsia="Arial" w:hAnsi="Arial"/>
                <w:sz w:val="11"/>
                <w:szCs w:val="11"/>
                <w:b w:val="1"/>
                <w:bCs w:val="1"/>
                <w:color w:val="205BA8"/>
              </w:rPr>
              <w:t>Named Executive Officer</w:t>
            </w:r>
          </w:p>
        </w:tc>
        <w:tc>
          <w:tcPr>
            <w:tcW w:w="860" w:type="dxa"/>
            <w:vAlign w:val="bottom"/>
            <w:tcBorders>
              <w:bottom w:val="single" w:sz="8" w:color="205BA8"/>
            </w:tcBorders>
          </w:tcPr>
          <w:p>
            <w:pPr>
              <w:jc w:val="right"/>
              <w:ind w:right="118"/>
              <w:spacing w:after="0"/>
              <w:rPr>
                <w:sz w:val="20"/>
                <w:szCs w:val="20"/>
                <w:color w:val="auto"/>
              </w:rPr>
            </w:pPr>
            <w:r>
              <w:rPr>
                <w:rFonts w:ascii="Arial" w:cs="Arial" w:eastAsia="Arial" w:hAnsi="Arial"/>
                <w:sz w:val="11"/>
                <w:szCs w:val="11"/>
                <w:b w:val="1"/>
                <w:bCs w:val="1"/>
                <w:color w:val="205BA8"/>
              </w:rPr>
              <w:t>Salary ($)</w:t>
            </w:r>
          </w:p>
        </w:tc>
        <w:tc>
          <w:tcPr>
            <w:tcW w:w="1380" w:type="dxa"/>
            <w:vAlign w:val="bottom"/>
            <w:tcBorders>
              <w:bottom w:val="single" w:sz="8" w:color="205BA8"/>
            </w:tcBorders>
          </w:tcPr>
          <w:p>
            <w:pPr>
              <w:jc w:val="right"/>
              <w:ind w:right="198"/>
              <w:spacing w:after="0"/>
              <w:rPr>
                <w:sz w:val="20"/>
                <w:szCs w:val="20"/>
                <w:color w:val="auto"/>
              </w:rPr>
            </w:pPr>
            <w:r>
              <w:rPr>
                <w:rFonts w:ascii="Arial" w:cs="Arial" w:eastAsia="Arial" w:hAnsi="Arial"/>
                <w:sz w:val="11"/>
                <w:szCs w:val="11"/>
                <w:b w:val="1"/>
                <w:bCs w:val="1"/>
                <w:color w:val="205BA8"/>
              </w:rPr>
              <w:t>of base salary)</w:t>
            </w:r>
          </w:p>
        </w:tc>
        <w:tc>
          <w:tcPr>
            <w:tcW w:w="860" w:type="dxa"/>
            <w:vAlign w:val="bottom"/>
            <w:tcBorders>
              <w:bottom w:val="single" w:sz="8" w:color="205BA8"/>
            </w:tcBorders>
          </w:tcPr>
          <w:p>
            <w:pPr>
              <w:ind w:left="180"/>
              <w:spacing w:after="0"/>
              <w:rPr>
                <w:sz w:val="20"/>
                <w:szCs w:val="20"/>
                <w:color w:val="auto"/>
              </w:rPr>
            </w:pPr>
            <w:r>
              <w:rPr>
                <w:rFonts w:ascii="Arial" w:cs="Arial" w:eastAsia="Arial" w:hAnsi="Arial"/>
                <w:sz w:val="11"/>
                <w:szCs w:val="11"/>
                <w:b w:val="1"/>
                <w:bCs w:val="1"/>
                <w:color w:val="205BA8"/>
              </w:rPr>
              <w:t>Multiplier</w:t>
            </w:r>
          </w:p>
        </w:tc>
        <w:tc>
          <w:tcPr>
            <w:tcW w:w="8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98"/>
              </w:rPr>
              <w:t>Multiplier</w:t>
            </w:r>
          </w:p>
        </w:tc>
        <w:tc>
          <w:tcPr>
            <w:tcW w:w="1160" w:type="dxa"/>
            <w:vAlign w:val="bottom"/>
            <w:tcBorders>
              <w:bottom w:val="single" w:sz="8" w:color="205BA8"/>
            </w:tcBorders>
            <w:shd w:val="clear" w:color="auto" w:fill="205BA8"/>
          </w:tcPr>
          <w:p>
            <w:pPr>
              <w:jc w:val="right"/>
              <w:ind w:right="198"/>
              <w:spacing w:after="0"/>
              <w:rPr>
                <w:sz w:val="20"/>
                <w:szCs w:val="20"/>
                <w:color w:val="auto"/>
              </w:rPr>
            </w:pPr>
            <w:r>
              <w:rPr>
                <w:rFonts w:ascii="Arial" w:cs="Arial" w:eastAsia="Arial" w:hAnsi="Arial"/>
                <w:sz w:val="11"/>
                <w:szCs w:val="11"/>
                <w:b w:val="1"/>
                <w:bCs w:val="1"/>
                <w:color w:val="FFFFFF"/>
              </w:rPr>
              <w:t>Incentive ($)</w:t>
            </w:r>
          </w:p>
        </w:tc>
      </w:tr>
      <w:tr>
        <w:trPr>
          <w:trHeight w:val="188"/>
        </w:trPr>
        <w:tc>
          <w:tcPr>
            <w:tcW w:w="224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Leonard S. Schleifer, M.D., Ph.D.</w:t>
            </w:r>
          </w:p>
        </w:tc>
        <w:tc>
          <w:tcPr>
            <w:tcW w:w="860" w:type="dxa"/>
            <w:vAlign w:val="bottom"/>
            <w:tcBorders>
              <w:bottom w:val="single" w:sz="8" w:color="58585A"/>
            </w:tcBorders>
          </w:tcPr>
          <w:p>
            <w:pPr>
              <w:jc w:val="right"/>
              <w:ind w:right="78"/>
              <w:spacing w:after="0"/>
              <w:rPr>
                <w:sz w:val="20"/>
                <w:szCs w:val="20"/>
                <w:color w:val="auto"/>
              </w:rPr>
            </w:pPr>
            <w:r>
              <w:rPr>
                <w:rFonts w:ascii="Arial" w:cs="Arial" w:eastAsia="Arial" w:hAnsi="Arial"/>
                <w:sz w:val="13"/>
                <w:szCs w:val="13"/>
                <w:color w:val="auto"/>
              </w:rPr>
              <w:t>1,330,500</w:t>
            </w:r>
          </w:p>
        </w:tc>
        <w:tc>
          <w:tcPr>
            <w:tcW w:w="1380" w:type="dxa"/>
            <w:vAlign w:val="bottom"/>
            <w:tcBorders>
              <w:bottom w:val="single" w:sz="8" w:color="58585A"/>
            </w:tcBorders>
          </w:tcPr>
          <w:p>
            <w:pPr>
              <w:jc w:val="right"/>
              <w:ind w:right="398"/>
              <w:spacing w:after="0"/>
              <w:rPr>
                <w:sz w:val="20"/>
                <w:szCs w:val="20"/>
                <w:color w:val="auto"/>
              </w:rPr>
            </w:pPr>
            <w:r>
              <w:rPr>
                <w:rFonts w:ascii="Arial" w:cs="Arial" w:eastAsia="Arial" w:hAnsi="Arial"/>
                <w:sz w:val="13"/>
                <w:szCs w:val="13"/>
                <w:color w:val="auto"/>
              </w:rPr>
              <w:t>120%</w:t>
            </w:r>
          </w:p>
        </w:tc>
        <w:tc>
          <w:tcPr>
            <w:tcW w:w="860" w:type="dxa"/>
            <w:vAlign w:val="bottom"/>
            <w:tcBorders>
              <w:bottom w:val="single" w:sz="8" w:color="58585A"/>
            </w:tcBorders>
          </w:tcPr>
          <w:p>
            <w:pPr>
              <w:ind w:left="200"/>
              <w:spacing w:after="0"/>
              <w:rPr>
                <w:sz w:val="20"/>
                <w:szCs w:val="20"/>
                <w:color w:val="auto"/>
              </w:rPr>
            </w:pPr>
            <w:r>
              <w:rPr>
                <w:rFonts w:ascii="Arial" w:cs="Arial" w:eastAsia="Arial" w:hAnsi="Arial"/>
                <w:sz w:val="13"/>
                <w:szCs w:val="13"/>
                <w:color w:val="auto"/>
              </w:rPr>
              <w:t>n/a</w:t>
            </w:r>
          </w:p>
        </w:tc>
        <w:tc>
          <w:tcPr>
            <w:tcW w:w="880" w:type="dxa"/>
            <w:vAlign w:val="bottom"/>
            <w:tcBorders>
              <w:bottom w:val="single" w:sz="8" w:color="58585A"/>
            </w:tcBorders>
          </w:tcPr>
          <w:p>
            <w:pPr>
              <w:jc w:val="right"/>
              <w:ind w:right="458"/>
              <w:spacing w:after="0"/>
              <w:rPr>
                <w:sz w:val="20"/>
                <w:szCs w:val="20"/>
                <w:color w:val="auto"/>
              </w:rPr>
            </w:pPr>
            <w:r>
              <w:rPr>
                <w:rFonts w:ascii="Arial" w:cs="Arial" w:eastAsia="Arial" w:hAnsi="Arial"/>
                <w:sz w:val="13"/>
                <w:szCs w:val="13"/>
                <w:color w:val="auto"/>
              </w:rPr>
              <w:t>1.85</w:t>
            </w:r>
          </w:p>
        </w:tc>
        <w:tc>
          <w:tcPr>
            <w:tcW w:w="1160" w:type="dxa"/>
            <w:vAlign w:val="bottom"/>
            <w:tcBorders>
              <w:bottom w:val="single" w:sz="8" w:color="58585A"/>
            </w:tcBorders>
            <w:shd w:val="clear" w:color="auto" w:fill="EAEEF7"/>
          </w:tcPr>
          <w:p>
            <w:pPr>
              <w:jc w:val="right"/>
              <w:ind w:right="238"/>
              <w:spacing w:after="0"/>
              <w:rPr>
                <w:sz w:val="20"/>
                <w:szCs w:val="20"/>
                <w:color w:val="auto"/>
              </w:rPr>
            </w:pPr>
            <w:r>
              <w:rPr>
                <w:rFonts w:ascii="Arial" w:cs="Arial" w:eastAsia="Arial" w:hAnsi="Arial"/>
                <w:sz w:val="13"/>
                <w:szCs w:val="13"/>
                <w:color w:val="auto"/>
              </w:rPr>
              <w:t>2,953,710</w:t>
            </w:r>
          </w:p>
        </w:tc>
      </w:tr>
      <w:tr>
        <w:trPr>
          <w:trHeight w:val="188"/>
        </w:trPr>
        <w:tc>
          <w:tcPr>
            <w:tcW w:w="224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George D. Yancopoulos, M.D., Ph.D.</w:t>
            </w:r>
          </w:p>
        </w:tc>
        <w:tc>
          <w:tcPr>
            <w:tcW w:w="860" w:type="dxa"/>
            <w:vAlign w:val="bottom"/>
            <w:tcBorders>
              <w:bottom w:val="single" w:sz="8" w:color="58585A"/>
            </w:tcBorders>
          </w:tcPr>
          <w:p>
            <w:pPr>
              <w:jc w:val="right"/>
              <w:ind w:right="78"/>
              <w:spacing w:after="0"/>
              <w:rPr>
                <w:sz w:val="20"/>
                <w:szCs w:val="20"/>
                <w:color w:val="auto"/>
              </w:rPr>
            </w:pPr>
            <w:r>
              <w:rPr>
                <w:rFonts w:ascii="Arial" w:cs="Arial" w:eastAsia="Arial" w:hAnsi="Arial"/>
                <w:sz w:val="13"/>
                <w:szCs w:val="13"/>
                <w:color w:val="auto"/>
              </w:rPr>
              <w:t>1,130,900</w:t>
            </w:r>
          </w:p>
        </w:tc>
        <w:tc>
          <w:tcPr>
            <w:tcW w:w="1380" w:type="dxa"/>
            <w:vAlign w:val="bottom"/>
            <w:tcBorders>
              <w:bottom w:val="single" w:sz="8" w:color="58585A"/>
            </w:tcBorders>
          </w:tcPr>
          <w:p>
            <w:pPr>
              <w:jc w:val="right"/>
              <w:ind w:right="398"/>
              <w:spacing w:after="0"/>
              <w:rPr>
                <w:sz w:val="20"/>
                <w:szCs w:val="20"/>
                <w:color w:val="auto"/>
              </w:rPr>
            </w:pPr>
            <w:r>
              <w:rPr>
                <w:rFonts w:ascii="Arial" w:cs="Arial" w:eastAsia="Arial" w:hAnsi="Arial"/>
                <w:sz w:val="13"/>
                <w:szCs w:val="13"/>
                <w:color w:val="auto"/>
              </w:rPr>
              <w:t>120%</w:t>
            </w:r>
          </w:p>
        </w:tc>
        <w:tc>
          <w:tcPr>
            <w:tcW w:w="860" w:type="dxa"/>
            <w:vAlign w:val="bottom"/>
            <w:tcBorders>
              <w:bottom w:val="single" w:sz="8" w:color="58585A"/>
            </w:tcBorders>
          </w:tcPr>
          <w:p>
            <w:pPr>
              <w:ind w:left="200"/>
              <w:spacing w:after="0"/>
              <w:rPr>
                <w:sz w:val="20"/>
                <w:szCs w:val="20"/>
                <w:color w:val="auto"/>
              </w:rPr>
            </w:pPr>
            <w:r>
              <w:rPr>
                <w:rFonts w:ascii="Arial" w:cs="Arial" w:eastAsia="Arial" w:hAnsi="Arial"/>
                <w:sz w:val="13"/>
                <w:szCs w:val="13"/>
                <w:color w:val="auto"/>
              </w:rPr>
              <w:t>n/a</w:t>
            </w:r>
          </w:p>
        </w:tc>
        <w:tc>
          <w:tcPr>
            <w:tcW w:w="880" w:type="dxa"/>
            <w:vAlign w:val="bottom"/>
            <w:tcBorders>
              <w:bottom w:val="single" w:sz="8" w:color="58585A"/>
            </w:tcBorders>
          </w:tcPr>
          <w:p>
            <w:pPr>
              <w:jc w:val="right"/>
              <w:ind w:right="458"/>
              <w:spacing w:after="0"/>
              <w:rPr>
                <w:sz w:val="20"/>
                <w:szCs w:val="20"/>
                <w:color w:val="auto"/>
              </w:rPr>
            </w:pPr>
            <w:r>
              <w:rPr>
                <w:rFonts w:ascii="Arial" w:cs="Arial" w:eastAsia="Arial" w:hAnsi="Arial"/>
                <w:sz w:val="13"/>
                <w:szCs w:val="13"/>
                <w:color w:val="auto"/>
              </w:rPr>
              <w:t>1.85</w:t>
            </w:r>
          </w:p>
        </w:tc>
        <w:tc>
          <w:tcPr>
            <w:tcW w:w="1160" w:type="dxa"/>
            <w:vAlign w:val="bottom"/>
            <w:tcBorders>
              <w:bottom w:val="single" w:sz="8" w:color="58585A"/>
            </w:tcBorders>
            <w:shd w:val="clear" w:color="auto" w:fill="D6DBED"/>
          </w:tcPr>
          <w:p>
            <w:pPr>
              <w:jc w:val="right"/>
              <w:ind w:right="238"/>
              <w:spacing w:after="0"/>
              <w:rPr>
                <w:sz w:val="20"/>
                <w:szCs w:val="20"/>
                <w:color w:val="auto"/>
              </w:rPr>
            </w:pPr>
            <w:r>
              <w:rPr>
                <w:rFonts w:ascii="Arial" w:cs="Arial" w:eastAsia="Arial" w:hAnsi="Arial"/>
                <w:sz w:val="13"/>
                <w:szCs w:val="13"/>
                <w:color w:val="auto"/>
              </w:rPr>
              <w:t>2,510,598</w:t>
            </w:r>
          </w:p>
        </w:tc>
      </w:tr>
      <w:tr>
        <w:trPr>
          <w:trHeight w:val="234"/>
        </w:trPr>
        <w:tc>
          <w:tcPr>
            <w:tcW w:w="224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Robert E. Landry</w:t>
            </w:r>
          </w:p>
        </w:tc>
        <w:tc>
          <w:tcPr>
            <w:tcW w:w="860" w:type="dxa"/>
            <w:vAlign w:val="bottom"/>
            <w:tcBorders>
              <w:bottom w:val="single" w:sz="8" w:color="58585A"/>
            </w:tcBorders>
          </w:tcPr>
          <w:p>
            <w:pPr>
              <w:jc w:val="right"/>
              <w:ind w:right="78"/>
              <w:spacing w:after="0"/>
              <w:rPr>
                <w:sz w:val="20"/>
                <w:szCs w:val="20"/>
                <w:color w:val="auto"/>
              </w:rPr>
            </w:pPr>
            <w:r>
              <w:rPr>
                <w:rFonts w:ascii="Arial" w:cs="Arial" w:eastAsia="Arial" w:hAnsi="Arial"/>
                <w:sz w:val="13"/>
                <w:szCs w:val="13"/>
                <w:color w:val="auto"/>
              </w:rPr>
              <w:t>680,000</w:t>
            </w:r>
          </w:p>
        </w:tc>
        <w:tc>
          <w:tcPr>
            <w:tcW w:w="1380" w:type="dxa"/>
            <w:vAlign w:val="bottom"/>
            <w:tcBorders>
              <w:bottom w:val="single" w:sz="8" w:color="58585A"/>
            </w:tcBorders>
          </w:tcPr>
          <w:p>
            <w:pPr>
              <w:jc w:val="right"/>
              <w:ind w:right="338"/>
              <w:spacing w:after="0" w:line="234" w:lineRule="exact"/>
              <w:rPr>
                <w:sz w:val="20"/>
                <w:szCs w:val="20"/>
                <w:color w:val="auto"/>
              </w:rPr>
            </w:pPr>
            <w:r>
              <w:rPr>
                <w:rFonts w:ascii="Arial" w:cs="Arial" w:eastAsia="Arial" w:hAnsi="Arial"/>
                <w:sz w:val="13"/>
                <w:szCs w:val="13"/>
                <w:color w:val="auto"/>
              </w:rPr>
              <w:t>50%</w:t>
            </w:r>
            <w:r>
              <w:rPr>
                <w:rFonts w:ascii="Arial" w:cs="Arial" w:eastAsia="Arial" w:hAnsi="Arial"/>
                <w:sz w:val="21"/>
                <w:szCs w:val="21"/>
                <w:color w:val="auto"/>
                <w:vertAlign w:val="superscript"/>
              </w:rPr>
              <w:t>1</w:t>
            </w:r>
          </w:p>
        </w:tc>
        <w:tc>
          <w:tcPr>
            <w:tcW w:w="860" w:type="dxa"/>
            <w:vAlign w:val="bottom"/>
            <w:tcBorders>
              <w:bottom w:val="single" w:sz="8" w:color="58585A"/>
            </w:tcBorders>
          </w:tcPr>
          <w:p>
            <w:pPr>
              <w:ind w:left="200"/>
              <w:spacing w:after="0"/>
              <w:rPr>
                <w:sz w:val="20"/>
                <w:szCs w:val="20"/>
                <w:color w:val="auto"/>
              </w:rPr>
            </w:pPr>
            <w:r>
              <w:rPr>
                <w:rFonts w:ascii="Arial" w:cs="Arial" w:eastAsia="Arial" w:hAnsi="Arial"/>
                <w:sz w:val="13"/>
                <w:szCs w:val="13"/>
                <w:color w:val="auto"/>
              </w:rPr>
              <w:t>1.5</w:t>
            </w:r>
          </w:p>
        </w:tc>
        <w:tc>
          <w:tcPr>
            <w:tcW w:w="880" w:type="dxa"/>
            <w:vAlign w:val="bottom"/>
            <w:tcBorders>
              <w:bottom w:val="single" w:sz="8" w:color="58585A"/>
            </w:tcBorders>
          </w:tcPr>
          <w:p>
            <w:pPr>
              <w:jc w:val="right"/>
              <w:ind w:right="458"/>
              <w:spacing w:after="0"/>
              <w:rPr>
                <w:sz w:val="20"/>
                <w:szCs w:val="20"/>
                <w:color w:val="auto"/>
              </w:rPr>
            </w:pPr>
            <w:r>
              <w:rPr>
                <w:rFonts w:ascii="Arial" w:cs="Arial" w:eastAsia="Arial" w:hAnsi="Arial"/>
                <w:sz w:val="13"/>
                <w:szCs w:val="13"/>
                <w:color w:val="auto"/>
              </w:rPr>
              <w:t>1.85</w:t>
            </w:r>
          </w:p>
        </w:tc>
        <w:tc>
          <w:tcPr>
            <w:tcW w:w="1160" w:type="dxa"/>
            <w:vAlign w:val="bottom"/>
            <w:tcBorders>
              <w:bottom w:val="single" w:sz="8" w:color="58585A"/>
            </w:tcBorders>
            <w:shd w:val="clear" w:color="auto" w:fill="EAEEF7"/>
          </w:tcPr>
          <w:p>
            <w:pPr>
              <w:jc w:val="right"/>
              <w:ind w:right="238"/>
              <w:spacing w:after="0"/>
              <w:rPr>
                <w:sz w:val="20"/>
                <w:szCs w:val="20"/>
                <w:color w:val="auto"/>
              </w:rPr>
            </w:pPr>
            <w:r>
              <w:rPr>
                <w:rFonts w:ascii="Arial" w:cs="Arial" w:eastAsia="Arial" w:hAnsi="Arial"/>
                <w:sz w:val="13"/>
                <w:szCs w:val="13"/>
                <w:color w:val="auto"/>
              </w:rPr>
              <w:t>581,400</w:t>
            </w:r>
          </w:p>
        </w:tc>
      </w:tr>
      <w:tr>
        <w:trPr>
          <w:trHeight w:val="227"/>
        </w:trPr>
        <w:tc>
          <w:tcPr>
            <w:tcW w:w="224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Daniel P. Van Plew</w:t>
            </w:r>
          </w:p>
        </w:tc>
        <w:tc>
          <w:tcPr>
            <w:tcW w:w="860" w:type="dxa"/>
            <w:vAlign w:val="bottom"/>
            <w:tcBorders>
              <w:bottom w:val="single" w:sz="8" w:color="58585A"/>
            </w:tcBorders>
          </w:tcPr>
          <w:p>
            <w:pPr>
              <w:jc w:val="right"/>
              <w:ind w:right="78"/>
              <w:spacing w:after="0"/>
              <w:rPr>
                <w:sz w:val="20"/>
                <w:szCs w:val="20"/>
                <w:color w:val="auto"/>
              </w:rPr>
            </w:pPr>
            <w:r>
              <w:rPr>
                <w:rFonts w:ascii="Arial" w:cs="Arial" w:eastAsia="Arial" w:hAnsi="Arial"/>
                <w:sz w:val="13"/>
                <w:szCs w:val="13"/>
                <w:color w:val="auto"/>
              </w:rPr>
              <w:t>660,000</w:t>
            </w:r>
          </w:p>
        </w:tc>
        <w:tc>
          <w:tcPr>
            <w:tcW w:w="1380" w:type="dxa"/>
            <w:vAlign w:val="bottom"/>
            <w:tcBorders>
              <w:bottom w:val="single" w:sz="8" w:color="58585A"/>
            </w:tcBorders>
          </w:tcPr>
          <w:p>
            <w:pPr>
              <w:jc w:val="right"/>
              <w:ind w:right="338"/>
              <w:spacing w:after="0" w:line="227" w:lineRule="exact"/>
              <w:rPr>
                <w:sz w:val="20"/>
                <w:szCs w:val="20"/>
                <w:color w:val="auto"/>
              </w:rPr>
            </w:pPr>
            <w:r>
              <w:rPr>
                <w:rFonts w:ascii="Arial" w:cs="Arial" w:eastAsia="Arial" w:hAnsi="Arial"/>
                <w:sz w:val="13"/>
                <w:szCs w:val="13"/>
                <w:color w:val="auto"/>
              </w:rPr>
              <w:t>60%</w:t>
            </w:r>
            <w:r>
              <w:rPr>
                <w:rFonts w:ascii="Arial" w:cs="Arial" w:eastAsia="Arial" w:hAnsi="Arial"/>
                <w:sz w:val="21"/>
                <w:szCs w:val="21"/>
                <w:color w:val="auto"/>
                <w:vertAlign w:val="superscript"/>
              </w:rPr>
              <w:t>2</w:t>
            </w:r>
          </w:p>
        </w:tc>
        <w:tc>
          <w:tcPr>
            <w:tcW w:w="860" w:type="dxa"/>
            <w:vAlign w:val="bottom"/>
            <w:tcBorders>
              <w:bottom w:val="single" w:sz="8" w:color="58585A"/>
            </w:tcBorders>
          </w:tcPr>
          <w:p>
            <w:pPr>
              <w:ind w:left="200"/>
              <w:spacing w:after="0"/>
              <w:rPr>
                <w:sz w:val="20"/>
                <w:szCs w:val="20"/>
                <w:color w:val="auto"/>
              </w:rPr>
            </w:pPr>
            <w:r>
              <w:rPr>
                <w:rFonts w:ascii="Arial" w:cs="Arial" w:eastAsia="Arial" w:hAnsi="Arial"/>
                <w:sz w:val="13"/>
                <w:szCs w:val="13"/>
                <w:color w:val="auto"/>
              </w:rPr>
              <w:t>1.5</w:t>
            </w:r>
          </w:p>
        </w:tc>
        <w:tc>
          <w:tcPr>
            <w:tcW w:w="880" w:type="dxa"/>
            <w:vAlign w:val="bottom"/>
            <w:tcBorders>
              <w:bottom w:val="single" w:sz="8" w:color="58585A"/>
            </w:tcBorders>
          </w:tcPr>
          <w:p>
            <w:pPr>
              <w:jc w:val="right"/>
              <w:ind w:right="458"/>
              <w:spacing w:after="0"/>
              <w:rPr>
                <w:sz w:val="20"/>
                <w:szCs w:val="20"/>
                <w:color w:val="auto"/>
              </w:rPr>
            </w:pPr>
            <w:r>
              <w:rPr>
                <w:rFonts w:ascii="Arial" w:cs="Arial" w:eastAsia="Arial" w:hAnsi="Arial"/>
                <w:sz w:val="13"/>
                <w:szCs w:val="13"/>
                <w:color w:val="auto"/>
              </w:rPr>
              <w:t>1.85</w:t>
            </w:r>
          </w:p>
        </w:tc>
        <w:tc>
          <w:tcPr>
            <w:tcW w:w="1160" w:type="dxa"/>
            <w:vAlign w:val="bottom"/>
            <w:tcBorders>
              <w:bottom w:val="single" w:sz="8" w:color="58585A"/>
            </w:tcBorders>
            <w:shd w:val="clear" w:color="auto" w:fill="D6DBED"/>
          </w:tcPr>
          <w:p>
            <w:pPr>
              <w:jc w:val="right"/>
              <w:ind w:right="238"/>
              <w:spacing w:after="0"/>
              <w:rPr>
                <w:sz w:val="20"/>
                <w:szCs w:val="20"/>
                <w:color w:val="auto"/>
              </w:rPr>
            </w:pPr>
            <w:r>
              <w:rPr>
                <w:rFonts w:ascii="Arial" w:cs="Arial" w:eastAsia="Arial" w:hAnsi="Arial"/>
                <w:sz w:val="13"/>
                <w:szCs w:val="13"/>
                <w:color w:val="auto"/>
              </w:rPr>
              <w:t>677,160</w:t>
            </w:r>
          </w:p>
        </w:tc>
      </w:tr>
      <w:tr>
        <w:trPr>
          <w:trHeight w:val="181"/>
        </w:trPr>
        <w:tc>
          <w:tcPr>
            <w:tcW w:w="2240" w:type="dxa"/>
            <w:vAlign w:val="bottom"/>
            <w:tcBorders>
              <w:bottom w:val="single" w:sz="8" w:color="205BA8"/>
            </w:tcBorders>
          </w:tcPr>
          <w:p>
            <w:pPr>
              <w:ind w:left="20"/>
              <w:spacing w:after="0"/>
              <w:rPr>
                <w:sz w:val="20"/>
                <w:szCs w:val="20"/>
                <w:color w:val="auto"/>
              </w:rPr>
            </w:pPr>
            <w:r>
              <w:rPr>
                <w:rFonts w:ascii="Arial" w:cs="Arial" w:eastAsia="Arial" w:hAnsi="Arial"/>
                <w:sz w:val="12"/>
                <w:szCs w:val="12"/>
                <w:b w:val="1"/>
                <w:bCs w:val="1"/>
                <w:color w:val="D61C5A"/>
              </w:rPr>
              <w:t>Marion McCourt</w:t>
            </w:r>
          </w:p>
        </w:tc>
        <w:tc>
          <w:tcPr>
            <w:tcW w:w="860" w:type="dxa"/>
            <w:vAlign w:val="bottom"/>
            <w:tcBorders>
              <w:bottom w:val="single" w:sz="8" w:color="205BA8"/>
            </w:tcBorders>
          </w:tcPr>
          <w:p>
            <w:pPr>
              <w:jc w:val="right"/>
              <w:ind w:right="78"/>
              <w:spacing w:after="0"/>
              <w:rPr>
                <w:sz w:val="20"/>
                <w:szCs w:val="20"/>
                <w:color w:val="auto"/>
              </w:rPr>
            </w:pPr>
            <w:r>
              <w:rPr>
                <w:rFonts w:ascii="Arial" w:cs="Arial" w:eastAsia="Arial" w:hAnsi="Arial"/>
                <w:sz w:val="13"/>
                <w:szCs w:val="13"/>
                <w:color w:val="auto"/>
              </w:rPr>
              <w:t>475,000</w:t>
            </w:r>
          </w:p>
        </w:tc>
        <w:tc>
          <w:tcPr>
            <w:tcW w:w="1380" w:type="dxa"/>
            <w:vAlign w:val="bottom"/>
            <w:tcBorders>
              <w:bottom w:val="single" w:sz="8" w:color="205BA8"/>
            </w:tcBorders>
          </w:tcPr>
          <w:p>
            <w:pPr>
              <w:jc w:val="right"/>
              <w:ind w:right="398"/>
              <w:spacing w:after="0"/>
              <w:rPr>
                <w:sz w:val="20"/>
                <w:szCs w:val="20"/>
                <w:color w:val="auto"/>
              </w:rPr>
            </w:pPr>
            <w:r>
              <w:rPr>
                <w:rFonts w:ascii="Arial" w:cs="Arial" w:eastAsia="Arial" w:hAnsi="Arial"/>
                <w:sz w:val="13"/>
                <w:szCs w:val="13"/>
                <w:color w:val="auto"/>
              </w:rPr>
              <w:t>50%</w:t>
            </w:r>
          </w:p>
        </w:tc>
        <w:tc>
          <w:tcPr>
            <w:tcW w:w="860" w:type="dxa"/>
            <w:vAlign w:val="bottom"/>
            <w:tcBorders>
              <w:bottom w:val="single" w:sz="8" w:color="205BA8"/>
            </w:tcBorders>
          </w:tcPr>
          <w:p>
            <w:pPr>
              <w:ind w:left="200"/>
              <w:spacing w:after="0"/>
              <w:rPr>
                <w:sz w:val="20"/>
                <w:szCs w:val="20"/>
                <w:color w:val="auto"/>
              </w:rPr>
            </w:pPr>
            <w:r>
              <w:rPr>
                <w:rFonts w:ascii="Arial" w:cs="Arial" w:eastAsia="Arial" w:hAnsi="Arial"/>
                <w:sz w:val="13"/>
                <w:szCs w:val="13"/>
                <w:color w:val="auto"/>
              </w:rPr>
              <w:t>1.5</w:t>
            </w:r>
          </w:p>
        </w:tc>
        <w:tc>
          <w:tcPr>
            <w:tcW w:w="880" w:type="dxa"/>
            <w:vAlign w:val="bottom"/>
            <w:tcBorders>
              <w:bottom w:val="single" w:sz="8" w:color="205BA8"/>
            </w:tcBorders>
          </w:tcPr>
          <w:p>
            <w:pPr>
              <w:jc w:val="right"/>
              <w:ind w:right="458"/>
              <w:spacing w:after="0"/>
              <w:rPr>
                <w:sz w:val="20"/>
                <w:szCs w:val="20"/>
                <w:color w:val="auto"/>
              </w:rPr>
            </w:pPr>
            <w:r>
              <w:rPr>
                <w:rFonts w:ascii="Arial" w:cs="Arial" w:eastAsia="Arial" w:hAnsi="Arial"/>
                <w:sz w:val="13"/>
                <w:szCs w:val="13"/>
                <w:color w:val="auto"/>
              </w:rPr>
              <w:t>1.85</w:t>
            </w:r>
          </w:p>
        </w:tc>
        <w:tc>
          <w:tcPr>
            <w:tcW w:w="1160" w:type="dxa"/>
            <w:vAlign w:val="bottom"/>
            <w:tcBorders>
              <w:bottom w:val="single" w:sz="8" w:color="205BA8"/>
            </w:tcBorders>
            <w:shd w:val="clear" w:color="auto" w:fill="EAEEF7"/>
          </w:tcPr>
          <w:p>
            <w:pPr>
              <w:jc w:val="right"/>
              <w:ind w:right="238"/>
              <w:spacing w:after="0"/>
              <w:rPr>
                <w:sz w:val="20"/>
                <w:szCs w:val="20"/>
                <w:color w:val="auto"/>
              </w:rPr>
            </w:pPr>
            <w:r>
              <w:rPr>
                <w:rFonts w:ascii="Arial" w:cs="Arial" w:eastAsia="Arial" w:hAnsi="Arial"/>
                <w:sz w:val="13"/>
                <w:szCs w:val="13"/>
                <w:color w:val="auto"/>
              </w:rPr>
              <w:t>372,2813</w:t>
            </w:r>
          </w:p>
        </w:tc>
      </w:tr>
    </w:tbl>
    <w:p>
      <w:pPr>
        <w:spacing w:after="0" w:line="96" w:lineRule="exact"/>
        <w:rPr>
          <w:sz w:val="20"/>
          <w:szCs w:val="20"/>
          <w:color w:val="auto"/>
        </w:rPr>
      </w:pPr>
    </w:p>
    <w:p>
      <w:pPr>
        <w:ind w:left="3160" w:right="20" w:hanging="149"/>
        <w:spacing w:after="0" w:line="239" w:lineRule="auto"/>
        <w:tabs>
          <w:tab w:leader="none" w:pos="3160" w:val="left"/>
        </w:tabs>
        <w:numPr>
          <w:ilvl w:val="0"/>
          <w:numId w:val="81"/>
        </w:numPr>
        <w:rPr>
          <w:rFonts w:ascii="Arial" w:cs="Arial" w:eastAsia="Arial" w:hAnsi="Arial"/>
          <w:sz w:val="14"/>
          <w:szCs w:val="14"/>
          <w:b w:val="1"/>
          <w:bCs w:val="1"/>
          <w:color w:val="205BA8"/>
        </w:rPr>
      </w:pPr>
      <w:r>
        <w:rPr>
          <w:rFonts w:ascii="Arial" w:cs="Arial" w:eastAsia="Arial" w:hAnsi="Arial"/>
          <w:sz w:val="14"/>
          <w:szCs w:val="14"/>
          <w:color w:val="auto"/>
        </w:rPr>
        <w:t>In connection with Mr. Landry’s promotion to Executive Vice President, his annual cash incentive target was increased to 65% of his base salary commencing in 2019.</w:t>
      </w:r>
    </w:p>
    <w:p>
      <w:pPr>
        <w:spacing w:after="0" w:line="69" w:lineRule="exact"/>
        <w:rPr>
          <w:sz w:val="20"/>
          <w:szCs w:val="20"/>
          <w:color w:val="auto"/>
        </w:rPr>
      </w:pPr>
    </w:p>
    <w:p>
      <w:pPr>
        <w:ind w:left="3160" w:right="400" w:hanging="149"/>
        <w:spacing w:after="0" w:line="239" w:lineRule="auto"/>
        <w:tabs>
          <w:tab w:leader="none" w:pos="3160" w:val="left"/>
        </w:tabs>
        <w:numPr>
          <w:ilvl w:val="0"/>
          <w:numId w:val="82"/>
        </w:numPr>
        <w:rPr>
          <w:rFonts w:ascii="Arial" w:cs="Arial" w:eastAsia="Arial" w:hAnsi="Arial"/>
          <w:sz w:val="14"/>
          <w:szCs w:val="14"/>
          <w:b w:val="1"/>
          <w:bCs w:val="1"/>
          <w:color w:val="205BA8"/>
        </w:rPr>
      </w:pPr>
      <w:r>
        <w:rPr>
          <w:rFonts w:ascii="Arial" w:cs="Arial" w:eastAsia="Arial" w:hAnsi="Arial"/>
          <w:sz w:val="14"/>
          <w:szCs w:val="14"/>
          <w:color w:val="auto"/>
        </w:rPr>
        <w:t>Commencing in 2019, Mr. Van Plew’s annual cash incentive target was increased to 65% in consideration of the compensation of similarly situated executive officers in the Peer Group.</w:t>
      </w:r>
    </w:p>
    <w:p>
      <w:pPr>
        <w:spacing w:after="0" w:line="69" w:lineRule="exact"/>
        <w:rPr>
          <w:sz w:val="20"/>
          <w:szCs w:val="20"/>
          <w:color w:val="auto"/>
        </w:rPr>
      </w:pPr>
    </w:p>
    <w:p>
      <w:pPr>
        <w:ind w:left="3160" w:right="200" w:hanging="149"/>
        <w:spacing w:after="0" w:line="239" w:lineRule="auto"/>
        <w:tabs>
          <w:tab w:leader="none" w:pos="3160" w:val="left"/>
        </w:tabs>
        <w:numPr>
          <w:ilvl w:val="0"/>
          <w:numId w:val="83"/>
        </w:numPr>
        <w:rPr>
          <w:rFonts w:ascii="Arial" w:cs="Arial" w:eastAsia="Arial" w:hAnsi="Arial"/>
          <w:sz w:val="14"/>
          <w:szCs w:val="14"/>
          <w:b w:val="1"/>
          <w:bCs w:val="1"/>
          <w:color w:val="205BA8"/>
        </w:rPr>
      </w:pPr>
      <w:r>
        <w:rPr>
          <w:rFonts w:ascii="Arial" w:cs="Arial" w:eastAsia="Arial" w:hAnsi="Arial"/>
          <w:sz w:val="14"/>
          <w:szCs w:val="14"/>
          <w:color w:val="auto"/>
        </w:rPr>
        <w:t>Ms. McCourt’s 2018 cash incentive award was prorated from February 12, 2018 (the starting date of Ms. McCourt’s employment with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66  /  </w:t>
      </w:r>
      <w:r>
        <w:rPr>
          <w:sz w:val="1"/>
          <w:szCs w:val="1"/>
          <w:color w:val="auto"/>
        </w:rPr>
        <w:drawing>
          <wp:inline distT="0" distB="0" distL="0" distR="0">
            <wp:extent cx="717550" cy="8255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79" w:name="page80"/>
    <w:bookmarkEnd w:id="79"/>
    <w:p>
      <w:pPr>
        <w:ind w:left="43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Arial" w:cs="Arial" w:eastAsia="Arial" w:hAnsi="Arial"/>
          <w:sz w:val="35"/>
          <w:szCs w:val="35"/>
          <w:b w:val="1"/>
          <w:bCs w:val="1"/>
          <w:color w:val="D61C5A"/>
        </w:rPr>
        <w:t>ANNUAL</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35"/>
          <w:szCs w:val="35"/>
          <w:b w:val="1"/>
          <w:bCs w:val="1"/>
          <w:color w:val="D61C5A"/>
        </w:rPr>
        <w:t>EQUITY</w:t>
      </w:r>
    </w:p>
    <w:p>
      <w:pPr>
        <w:ind w:left="520"/>
        <w:spacing w:after="0"/>
        <w:rPr>
          <w:sz w:val="20"/>
          <w:szCs w:val="20"/>
          <w:color w:val="auto"/>
        </w:rPr>
      </w:pPr>
      <w:r>
        <w:rPr>
          <w:rFonts w:ascii="Arial" w:cs="Arial" w:eastAsia="Arial" w:hAnsi="Arial"/>
          <w:sz w:val="33"/>
          <w:szCs w:val="33"/>
          <w:b w:val="1"/>
          <w:bCs w:val="1"/>
          <w:color w:val="D61C5A"/>
        </w:rPr>
        <w:t>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9" w:right="540"/>
        <w:spacing w:after="0" w:line="223" w:lineRule="auto"/>
        <w:rPr>
          <w:sz w:val="20"/>
          <w:szCs w:val="20"/>
          <w:color w:val="auto"/>
        </w:rPr>
      </w:pPr>
      <w:r>
        <w:rPr>
          <w:rFonts w:ascii="Arial" w:cs="Arial" w:eastAsia="Arial" w:hAnsi="Arial"/>
          <w:sz w:val="15"/>
          <w:szCs w:val="15"/>
          <w:color w:val="auto"/>
        </w:rPr>
        <w:t>The majority of our NEOs’ pay is designed to reward delivery of sustainable long-term value creation, which we believe is created by focusing on the discovery, development, and commercialization of new medicines. Our equity compensation program is intended to reward this long-term performance simply, using primarily stock options and giving effect to the following considerations:</w:t>
      </w:r>
    </w:p>
    <w:p>
      <w:pPr>
        <w:spacing w:after="0" w:line="190" w:lineRule="exact"/>
        <w:rPr>
          <w:sz w:val="20"/>
          <w:szCs w:val="20"/>
          <w:color w:val="auto"/>
        </w:rPr>
      </w:pPr>
    </w:p>
    <w:p>
      <w:pPr>
        <w:jc w:val="both"/>
        <w:ind w:left="229" w:right="740" w:hanging="229"/>
        <w:spacing w:after="0" w:line="225" w:lineRule="auto"/>
        <w:tabs>
          <w:tab w:leader="none" w:pos="229" w:val="left"/>
        </w:tabs>
        <w:numPr>
          <w:ilvl w:val="0"/>
          <w:numId w:val="84"/>
        </w:numPr>
        <w:rPr>
          <w:rFonts w:ascii="Arial" w:cs="Arial" w:eastAsia="Arial" w:hAnsi="Arial"/>
          <w:sz w:val="15"/>
          <w:szCs w:val="15"/>
          <w:color w:val="205BA8"/>
        </w:rPr>
      </w:pPr>
      <w:r>
        <w:rPr>
          <w:rFonts w:ascii="Arial" w:cs="Arial" w:eastAsia="Arial" w:hAnsi="Arial"/>
          <w:sz w:val="15"/>
          <w:szCs w:val="15"/>
          <w:color w:val="auto"/>
        </w:rPr>
        <w:t>Our NEOs’ option grants are performance-based because we determine the award size based on corporate and/or individual performance assessments, and then the award only delivers value if we deliver stock price appreciation for shareholders after grant.</w:t>
      </w:r>
    </w:p>
    <w:p>
      <w:pPr>
        <w:spacing w:after="0" w:line="47" w:lineRule="exact"/>
        <w:rPr>
          <w:rFonts w:ascii="Arial" w:cs="Arial" w:eastAsia="Arial" w:hAnsi="Arial"/>
          <w:sz w:val="15"/>
          <w:szCs w:val="15"/>
          <w:color w:val="205BA8"/>
        </w:rPr>
      </w:pPr>
    </w:p>
    <w:p>
      <w:pPr>
        <w:jc w:val="both"/>
        <w:ind w:left="229" w:right="520" w:hanging="229"/>
        <w:spacing w:after="0" w:line="197" w:lineRule="auto"/>
        <w:tabs>
          <w:tab w:leader="none" w:pos="229" w:val="left"/>
        </w:tabs>
        <w:numPr>
          <w:ilvl w:val="0"/>
          <w:numId w:val="84"/>
        </w:numPr>
        <w:rPr>
          <w:rFonts w:ascii="Arial" w:cs="Arial" w:eastAsia="Arial" w:hAnsi="Arial"/>
          <w:sz w:val="15"/>
          <w:szCs w:val="15"/>
          <w:color w:val="205BA8"/>
        </w:rPr>
      </w:pPr>
      <w:r>
        <w:rPr>
          <w:rFonts w:ascii="Arial" w:cs="Arial" w:eastAsia="Arial" w:hAnsi="Arial"/>
          <w:sz w:val="15"/>
          <w:szCs w:val="15"/>
          <w:color w:val="auto"/>
        </w:rPr>
        <w:t>Our employee stock option grants have ten-year terms and four-year vesting provisions (generally requiring our employees, including our NEOs, to remain employed for four years in order for all options to vest)</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to align with long-term value creation and the development cycle of our products.</w:t>
      </w:r>
    </w:p>
    <w:p>
      <w:pPr>
        <w:spacing w:after="0" w:line="48" w:lineRule="exact"/>
        <w:rPr>
          <w:rFonts w:ascii="Arial" w:cs="Arial" w:eastAsia="Arial" w:hAnsi="Arial"/>
          <w:sz w:val="15"/>
          <w:szCs w:val="15"/>
          <w:color w:val="205BA8"/>
        </w:rPr>
      </w:pPr>
    </w:p>
    <w:p>
      <w:pPr>
        <w:ind w:left="229" w:hanging="229"/>
        <w:spacing w:after="0"/>
        <w:tabs>
          <w:tab w:leader="none" w:pos="229" w:val="left"/>
        </w:tabs>
        <w:numPr>
          <w:ilvl w:val="0"/>
          <w:numId w:val="84"/>
        </w:numPr>
        <w:rPr>
          <w:rFonts w:ascii="Arial" w:cs="Arial" w:eastAsia="Arial" w:hAnsi="Arial"/>
          <w:sz w:val="14"/>
          <w:szCs w:val="14"/>
          <w:color w:val="205BA8"/>
        </w:rPr>
      </w:pPr>
      <w:r>
        <w:rPr>
          <w:rFonts w:ascii="Arial" w:cs="Arial" w:eastAsia="Arial" w:hAnsi="Arial"/>
          <w:sz w:val="14"/>
          <w:szCs w:val="14"/>
          <w:color w:val="auto"/>
        </w:rPr>
        <w:t>We require NEOs to retain a significant amount of equity within five years of their employment with Regeneron:</w:t>
      </w:r>
    </w:p>
    <w:p>
      <w:pPr>
        <w:spacing w:after="0" w:line="193" w:lineRule="exact"/>
        <w:rPr>
          <w:sz w:val="20"/>
          <w:szCs w:val="20"/>
          <w:color w:val="auto"/>
        </w:rPr>
      </w:pPr>
    </w:p>
    <w:tbl>
      <w:tblPr>
        <w:tblLayout w:type="fixed"/>
        <w:tblInd w:w="229" w:type="dxa"/>
        <w:tblCellMar>
          <w:top w:w="0" w:type="dxa"/>
          <w:left w:w="0" w:type="dxa"/>
          <w:bottom w:w="0" w:type="dxa"/>
          <w:right w:w="0" w:type="dxa"/>
        </w:tblCellMar>
      </w:tblPr>
      <w:tr>
        <w:trPr>
          <w:trHeight w:val="143"/>
        </w:trPr>
        <w:tc>
          <w:tcPr>
            <w:tcW w:w="2960" w:type="dxa"/>
            <w:vAlign w:val="bottom"/>
          </w:tcPr>
          <w:p>
            <w:pPr>
              <w:spacing w:after="0"/>
              <w:rPr>
                <w:sz w:val="20"/>
                <w:szCs w:val="20"/>
                <w:color w:val="auto"/>
              </w:rPr>
            </w:pPr>
            <w:r>
              <w:rPr>
                <w:rFonts w:ascii="Arial" w:cs="Arial" w:eastAsia="Arial" w:hAnsi="Arial"/>
                <w:sz w:val="11"/>
                <w:szCs w:val="11"/>
                <w:b w:val="1"/>
                <w:bCs w:val="1"/>
                <w:color w:val="205BA8"/>
              </w:rPr>
              <w:t>CEO and CSO</w:t>
            </w:r>
          </w:p>
        </w:tc>
        <w:tc>
          <w:tcPr>
            <w:tcW w:w="3100" w:type="dxa"/>
            <w:vAlign w:val="bottom"/>
          </w:tcPr>
          <w:p>
            <w:pPr>
              <w:ind w:left="140"/>
              <w:spacing w:after="0"/>
              <w:rPr>
                <w:sz w:val="20"/>
                <w:szCs w:val="20"/>
                <w:color w:val="auto"/>
              </w:rPr>
            </w:pPr>
            <w:r>
              <w:rPr>
                <w:rFonts w:ascii="Arial" w:cs="Arial" w:eastAsia="Arial" w:hAnsi="Arial"/>
                <w:sz w:val="11"/>
                <w:szCs w:val="11"/>
                <w:b w:val="1"/>
                <w:bCs w:val="1"/>
                <w:color w:val="205BA8"/>
              </w:rPr>
              <w:t>Other NEOs</w:t>
            </w:r>
          </w:p>
        </w:tc>
      </w:tr>
      <w:tr>
        <w:trPr>
          <w:trHeight w:val="174"/>
        </w:trPr>
        <w:tc>
          <w:tcPr>
            <w:tcW w:w="2960" w:type="dxa"/>
            <w:vAlign w:val="bottom"/>
            <w:tcBorders>
              <w:bottom w:val="single" w:sz="8" w:color="205BA8"/>
            </w:tcBorders>
          </w:tcPr>
          <w:p>
            <w:pPr>
              <w:spacing w:after="0"/>
              <w:rPr>
                <w:sz w:val="20"/>
                <w:szCs w:val="20"/>
                <w:color w:val="auto"/>
              </w:rPr>
            </w:pPr>
            <w:r>
              <w:rPr>
                <w:rFonts w:ascii="Arial" w:cs="Arial" w:eastAsia="Arial" w:hAnsi="Arial"/>
                <w:sz w:val="11"/>
                <w:szCs w:val="11"/>
                <w:b w:val="1"/>
                <w:bCs w:val="1"/>
                <w:color w:val="205BA8"/>
              </w:rPr>
              <w:t>Stock Ownership Requirements</w:t>
            </w:r>
          </w:p>
        </w:tc>
        <w:tc>
          <w:tcPr>
            <w:tcW w:w="3100" w:type="dxa"/>
            <w:vAlign w:val="bottom"/>
            <w:tcBorders>
              <w:bottom w:val="single" w:sz="8" w:color="205BA8"/>
            </w:tcBorders>
          </w:tcPr>
          <w:p>
            <w:pPr>
              <w:ind w:left="140"/>
              <w:spacing w:after="0"/>
              <w:rPr>
                <w:sz w:val="20"/>
                <w:szCs w:val="20"/>
                <w:color w:val="auto"/>
              </w:rPr>
            </w:pPr>
            <w:r>
              <w:rPr>
                <w:rFonts w:ascii="Arial" w:cs="Arial" w:eastAsia="Arial" w:hAnsi="Arial"/>
                <w:sz w:val="11"/>
                <w:szCs w:val="11"/>
                <w:b w:val="1"/>
                <w:bCs w:val="1"/>
                <w:color w:val="205BA8"/>
              </w:rPr>
              <w:t>Stock Ownership Requirements</w:t>
            </w:r>
          </w:p>
        </w:tc>
      </w:tr>
      <w:tr>
        <w:trPr>
          <w:trHeight w:val="172"/>
        </w:trPr>
        <w:tc>
          <w:tcPr>
            <w:tcW w:w="2960" w:type="dxa"/>
            <w:vAlign w:val="bottom"/>
          </w:tcPr>
          <w:p>
            <w:pPr>
              <w:spacing w:after="0"/>
              <w:rPr>
                <w:sz w:val="20"/>
                <w:szCs w:val="20"/>
                <w:color w:val="auto"/>
              </w:rPr>
            </w:pPr>
            <w:r>
              <w:rPr>
                <w:rFonts w:ascii="Arial" w:cs="Arial" w:eastAsia="Arial" w:hAnsi="Arial"/>
                <w:sz w:val="13"/>
                <w:szCs w:val="13"/>
                <w:color w:val="auto"/>
              </w:rPr>
              <w:t>Must own shares with a value at least 6-times their</w:t>
            </w:r>
          </w:p>
        </w:tc>
        <w:tc>
          <w:tcPr>
            <w:tcW w:w="3100" w:type="dxa"/>
            <w:vAlign w:val="bottom"/>
          </w:tcPr>
          <w:p>
            <w:pPr>
              <w:ind w:left="140"/>
              <w:spacing w:after="0"/>
              <w:rPr>
                <w:sz w:val="20"/>
                <w:szCs w:val="20"/>
                <w:color w:val="auto"/>
              </w:rPr>
            </w:pPr>
            <w:r>
              <w:rPr>
                <w:rFonts w:ascii="Arial" w:cs="Arial" w:eastAsia="Arial" w:hAnsi="Arial"/>
                <w:sz w:val="13"/>
                <w:szCs w:val="13"/>
                <w:color w:val="auto"/>
              </w:rPr>
              <w:t>Must own shares with a value at least 2-times their</w:t>
            </w:r>
          </w:p>
        </w:tc>
      </w:tr>
      <w:tr>
        <w:trPr>
          <w:trHeight w:val="159"/>
        </w:trPr>
        <w:tc>
          <w:tcPr>
            <w:tcW w:w="2960" w:type="dxa"/>
            <w:vAlign w:val="bottom"/>
            <w:tcBorders>
              <w:bottom w:val="single" w:sz="8" w:color="205BA8"/>
            </w:tcBorders>
          </w:tcPr>
          <w:p>
            <w:pPr>
              <w:spacing w:after="0"/>
              <w:rPr>
                <w:sz w:val="20"/>
                <w:szCs w:val="20"/>
                <w:color w:val="auto"/>
              </w:rPr>
            </w:pPr>
            <w:r>
              <w:rPr>
                <w:rFonts w:ascii="Arial" w:cs="Arial" w:eastAsia="Arial" w:hAnsi="Arial"/>
                <w:sz w:val="13"/>
                <w:szCs w:val="13"/>
                <w:color w:val="auto"/>
              </w:rPr>
              <w:t>respective base salaries.</w:t>
            </w:r>
          </w:p>
        </w:tc>
        <w:tc>
          <w:tcPr>
            <w:tcW w:w="3100" w:type="dxa"/>
            <w:vAlign w:val="bottom"/>
            <w:tcBorders>
              <w:bottom w:val="single" w:sz="8" w:color="205BA8"/>
            </w:tcBorders>
          </w:tcPr>
          <w:p>
            <w:pPr>
              <w:ind w:left="140"/>
              <w:spacing w:after="0"/>
              <w:rPr>
                <w:sz w:val="20"/>
                <w:szCs w:val="20"/>
                <w:color w:val="auto"/>
              </w:rPr>
            </w:pPr>
            <w:r>
              <w:rPr>
                <w:rFonts w:ascii="Arial" w:cs="Arial" w:eastAsia="Arial" w:hAnsi="Arial"/>
                <w:sz w:val="13"/>
                <w:szCs w:val="13"/>
                <w:color w:val="auto"/>
              </w:rPr>
              <w:t>respective base salaries.</w:t>
            </w:r>
          </w:p>
        </w:tc>
      </w:tr>
    </w:tbl>
    <w:p>
      <w:pPr>
        <w:spacing w:after="0" w:line="206" w:lineRule="exact"/>
        <w:rPr>
          <w:sz w:val="20"/>
          <w:szCs w:val="20"/>
          <w:color w:val="auto"/>
        </w:rPr>
      </w:pPr>
    </w:p>
    <w:p>
      <w:pPr>
        <w:ind w:left="229" w:right="680" w:hanging="229"/>
        <w:spacing w:after="0" w:line="225" w:lineRule="auto"/>
        <w:tabs>
          <w:tab w:leader="none" w:pos="229" w:val="left"/>
        </w:tabs>
        <w:numPr>
          <w:ilvl w:val="0"/>
          <w:numId w:val="85"/>
        </w:numPr>
        <w:rPr>
          <w:rFonts w:ascii="Arial" w:cs="Arial" w:eastAsia="Arial" w:hAnsi="Arial"/>
          <w:sz w:val="15"/>
          <w:szCs w:val="15"/>
          <w:color w:val="205BA8"/>
        </w:rPr>
      </w:pPr>
      <w:r>
        <w:rPr>
          <w:rFonts w:ascii="Arial" w:cs="Arial" w:eastAsia="Arial" w:hAnsi="Arial"/>
          <w:sz w:val="15"/>
          <w:szCs w:val="15"/>
          <w:color w:val="auto"/>
        </w:rPr>
        <w:t>We have a recoupment (clawback) policy that enables us to reduce or recoup equity and other incentive compensation for compliance violations by NEOs and other covered officers and employees; importantly, the policy covers both financial and non-financial violations.</w:t>
      </w:r>
    </w:p>
    <w:p>
      <w:pPr>
        <w:spacing w:after="0" w:line="47" w:lineRule="exact"/>
        <w:rPr>
          <w:rFonts w:ascii="Arial" w:cs="Arial" w:eastAsia="Arial" w:hAnsi="Arial"/>
          <w:sz w:val="15"/>
          <w:szCs w:val="15"/>
          <w:color w:val="205BA8"/>
        </w:rPr>
      </w:pPr>
    </w:p>
    <w:p>
      <w:pPr>
        <w:ind w:left="229" w:right="900" w:hanging="229"/>
        <w:spacing w:after="0" w:line="229" w:lineRule="auto"/>
        <w:tabs>
          <w:tab w:leader="none" w:pos="229" w:val="left"/>
        </w:tabs>
        <w:numPr>
          <w:ilvl w:val="0"/>
          <w:numId w:val="85"/>
        </w:numPr>
        <w:rPr>
          <w:rFonts w:ascii="Arial" w:cs="Arial" w:eastAsia="Arial" w:hAnsi="Arial"/>
          <w:sz w:val="15"/>
          <w:szCs w:val="15"/>
          <w:color w:val="205BA8"/>
        </w:rPr>
      </w:pPr>
      <w:r>
        <w:rPr>
          <w:rFonts w:ascii="Arial" w:cs="Arial" w:eastAsia="Arial" w:hAnsi="Arial"/>
          <w:sz w:val="15"/>
          <w:szCs w:val="15"/>
          <w:color w:val="auto"/>
        </w:rPr>
        <w:t>We prohibit our NEOs from hedging or pledging Regeneron securities they hold, including those acquired through employee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46863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11" w:space="720"/>
            <w:col w:w="7889"/>
          </w:cols>
          <w:pgMar w:left="240" w:top="396" w:right="239" w:bottom="1440" w:gutter="0" w:footer="0" w:header="0"/>
          <w:type w:val="continuous"/>
        </w:sectPr>
      </w:pPr>
    </w:p>
    <w:p>
      <w:pPr>
        <w:spacing w:after="0" w:line="19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205BA8"/>
        </w:rPr>
        <w:t>Annual stock option awards</w:t>
      </w:r>
    </w:p>
    <w:p>
      <w:pPr>
        <w:spacing w:after="0" w:line="210" w:lineRule="exact"/>
        <w:rPr>
          <w:sz w:val="20"/>
          <w:szCs w:val="20"/>
          <w:color w:val="auto"/>
        </w:rPr>
      </w:pPr>
    </w:p>
    <w:p>
      <w:pPr>
        <w:ind w:left="3540" w:right="640"/>
        <w:spacing w:after="0" w:line="223" w:lineRule="auto"/>
        <w:rPr>
          <w:sz w:val="20"/>
          <w:szCs w:val="20"/>
          <w:color w:val="auto"/>
        </w:rPr>
      </w:pPr>
      <w:r>
        <w:rPr>
          <w:rFonts w:ascii="Arial" w:cs="Arial" w:eastAsia="Arial" w:hAnsi="Arial"/>
          <w:sz w:val="15"/>
          <w:szCs w:val="15"/>
          <w:b w:val="1"/>
          <w:bCs w:val="1"/>
          <w:color w:val="auto"/>
        </w:rPr>
        <w:t xml:space="preserve">Option grants are performance-based. </w:t>
      </w:r>
      <w:r>
        <w:rPr>
          <w:rFonts w:ascii="Arial" w:cs="Arial" w:eastAsia="Arial" w:hAnsi="Arial"/>
          <w:sz w:val="15"/>
          <w:szCs w:val="15"/>
          <w:color w:val="auto"/>
        </w:rPr>
        <w:t>Stock options are the principal form of annual equity award granted to</w:t>
      </w:r>
      <w:r>
        <w:rPr>
          <w:rFonts w:ascii="Arial" w:cs="Arial" w:eastAsia="Arial" w:hAnsi="Arial"/>
          <w:sz w:val="15"/>
          <w:szCs w:val="15"/>
          <w:b w:val="1"/>
          <w:bCs w:val="1"/>
          <w:color w:val="auto"/>
        </w:rPr>
        <w:t xml:space="preserve"> </w:t>
      </w:r>
      <w:r>
        <w:rPr>
          <w:rFonts w:ascii="Arial" w:cs="Arial" w:eastAsia="Arial" w:hAnsi="Arial"/>
          <w:sz w:val="15"/>
          <w:szCs w:val="15"/>
          <w:color w:val="auto"/>
        </w:rPr>
        <w:t>NEOs because they are inherently performance-based, requiring stock price appreciation before there is any real value earned, while remaining simple. No amount of time will make a stock option deliver any value unless the company’s stock price increases. This is why we have favored options over full-value equity awards (such as performance stock units or restricted shares), as full-value awards provide value to employees even when shareholders get nominal or negative returns. In addition, stock options reward our NEOs for increasing shareholder value over the entire 10-year option term, which we believe is consistent with the drug-discovery/development cycle.</w:t>
      </w:r>
    </w:p>
    <w:p>
      <w:pPr>
        <w:spacing w:after="0" w:line="139"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Factors considered in establishing 2018 NEO grants included:</w:t>
      </w:r>
    </w:p>
    <w:p>
      <w:pPr>
        <w:spacing w:after="0" w:line="139" w:lineRule="exact"/>
        <w:rPr>
          <w:sz w:val="20"/>
          <w:szCs w:val="20"/>
          <w:color w:val="auto"/>
        </w:rPr>
      </w:pPr>
    </w:p>
    <w:p>
      <w:pPr>
        <w:ind w:left="3760" w:right="720" w:hanging="229"/>
        <w:spacing w:after="0" w:line="229" w:lineRule="auto"/>
        <w:tabs>
          <w:tab w:leader="none" w:pos="3760" w:val="left"/>
        </w:tabs>
        <w:numPr>
          <w:ilvl w:val="0"/>
          <w:numId w:val="86"/>
        </w:numPr>
        <w:rPr>
          <w:rFonts w:ascii="Arial" w:cs="Arial" w:eastAsia="Arial" w:hAnsi="Arial"/>
          <w:sz w:val="15"/>
          <w:szCs w:val="15"/>
          <w:color w:val="205BA8"/>
        </w:rPr>
      </w:pPr>
      <w:r>
        <w:rPr>
          <w:rFonts w:ascii="Arial" w:cs="Arial" w:eastAsia="Arial" w:hAnsi="Arial"/>
          <w:sz w:val="15"/>
          <w:szCs w:val="15"/>
          <w:color w:val="auto"/>
        </w:rPr>
        <w:t>Our assessment of performance against the goals the Committee establishes for the CEO and the goals the Committee and the CEO establish for the other NEOs.</w:t>
      </w:r>
    </w:p>
    <w:p>
      <w:pPr>
        <w:spacing w:after="0" w:line="47" w:lineRule="exact"/>
        <w:rPr>
          <w:rFonts w:ascii="Arial" w:cs="Arial" w:eastAsia="Arial" w:hAnsi="Arial"/>
          <w:sz w:val="15"/>
          <w:szCs w:val="15"/>
          <w:color w:val="205BA8"/>
        </w:rPr>
      </w:pPr>
    </w:p>
    <w:p>
      <w:pPr>
        <w:ind w:left="3760" w:right="540" w:hanging="229"/>
        <w:spacing w:after="0" w:line="225" w:lineRule="auto"/>
        <w:tabs>
          <w:tab w:leader="none" w:pos="3760" w:val="left"/>
        </w:tabs>
        <w:numPr>
          <w:ilvl w:val="0"/>
          <w:numId w:val="86"/>
        </w:numPr>
        <w:rPr>
          <w:rFonts w:ascii="Arial" w:cs="Arial" w:eastAsia="Arial" w:hAnsi="Arial"/>
          <w:sz w:val="15"/>
          <w:szCs w:val="15"/>
          <w:color w:val="205BA8"/>
        </w:rPr>
      </w:pPr>
      <w:r>
        <w:rPr>
          <w:rFonts w:ascii="Arial" w:cs="Arial" w:eastAsia="Arial" w:hAnsi="Arial"/>
          <w:sz w:val="15"/>
          <w:szCs w:val="15"/>
          <w:color w:val="auto"/>
        </w:rPr>
        <w:t>Our assessment of Regeneron’s corporate accomplishments for 2018, particularly as they relate to our product pipeline (as summarized under 1 through 4 in the subsection “Compensation Discussion and Analysis — Components of Executive Pay: What We Pay and Why We Pay It — Annual Cash Incentive”).</w:t>
      </w:r>
    </w:p>
    <w:p>
      <w:pPr>
        <w:spacing w:after="0" w:line="47" w:lineRule="exact"/>
        <w:rPr>
          <w:rFonts w:ascii="Arial" w:cs="Arial" w:eastAsia="Arial" w:hAnsi="Arial"/>
          <w:sz w:val="15"/>
          <w:szCs w:val="15"/>
          <w:color w:val="205BA8"/>
        </w:rPr>
      </w:pPr>
    </w:p>
    <w:p>
      <w:pPr>
        <w:ind w:left="3760" w:right="540" w:hanging="229"/>
        <w:spacing w:after="0" w:line="221" w:lineRule="auto"/>
        <w:tabs>
          <w:tab w:leader="none" w:pos="3760" w:val="left"/>
        </w:tabs>
        <w:numPr>
          <w:ilvl w:val="0"/>
          <w:numId w:val="86"/>
        </w:numPr>
        <w:rPr>
          <w:rFonts w:ascii="Arial" w:cs="Arial" w:eastAsia="Arial" w:hAnsi="Arial"/>
          <w:sz w:val="15"/>
          <w:szCs w:val="15"/>
          <w:color w:val="205BA8"/>
        </w:rPr>
      </w:pPr>
      <w:r>
        <w:rPr>
          <w:rFonts w:ascii="Arial" w:cs="Arial" w:eastAsia="Arial" w:hAnsi="Arial"/>
          <w:sz w:val="15"/>
          <w:szCs w:val="15"/>
          <w:color w:val="auto"/>
        </w:rPr>
        <w:t>Our evaluation of the awards as a percentage of the total basic shares outstanding compared to Peer Group and survey data. This enables us to evaluate grants on a consistent basis regardless of stock price fluctuations of our or our Peer Group’s stock prices. Focusing on the number of shares also avoids an outcome where NEOs are provided larger grants following stock price declines or penalizing high performance with smaller grants.</w:t>
      </w:r>
    </w:p>
    <w:p>
      <w:pPr>
        <w:spacing w:after="0" w:line="50" w:lineRule="exact"/>
        <w:rPr>
          <w:rFonts w:ascii="Arial" w:cs="Arial" w:eastAsia="Arial" w:hAnsi="Arial"/>
          <w:sz w:val="15"/>
          <w:szCs w:val="15"/>
          <w:color w:val="205BA8"/>
        </w:rPr>
      </w:pPr>
    </w:p>
    <w:p>
      <w:pPr>
        <w:ind w:left="3760" w:hanging="229"/>
        <w:spacing w:after="0"/>
        <w:tabs>
          <w:tab w:leader="none" w:pos="3760" w:val="left"/>
        </w:tabs>
        <w:numPr>
          <w:ilvl w:val="0"/>
          <w:numId w:val="86"/>
        </w:numPr>
        <w:rPr>
          <w:rFonts w:ascii="Arial" w:cs="Arial" w:eastAsia="Arial" w:hAnsi="Arial"/>
          <w:sz w:val="15"/>
          <w:szCs w:val="15"/>
          <w:color w:val="205BA8"/>
        </w:rPr>
      </w:pPr>
      <w:r>
        <w:rPr>
          <w:rFonts w:ascii="Arial" w:cs="Arial" w:eastAsia="Arial" w:hAnsi="Arial"/>
          <w:sz w:val="15"/>
          <w:szCs w:val="15"/>
          <w:color w:val="auto"/>
        </w:rPr>
        <w:t>Our evaluation of each NEO’s grant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89535</wp:posOffset>
            </wp:positionV>
            <wp:extent cx="66001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95" w:lineRule="exact"/>
        <w:rPr>
          <w:sz w:val="20"/>
          <w:szCs w:val="20"/>
          <w:color w:val="auto"/>
        </w:rPr>
      </w:pPr>
    </w:p>
    <w:p>
      <w:pPr>
        <w:ind w:left="720" w:right="860" w:hanging="203"/>
        <w:spacing w:after="0" w:line="237" w:lineRule="auto"/>
        <w:tabs>
          <w:tab w:leader="none" w:pos="720" w:val="left"/>
        </w:tabs>
        <w:numPr>
          <w:ilvl w:val="0"/>
          <w:numId w:val="87"/>
        </w:numPr>
        <w:rPr>
          <w:rFonts w:ascii="Arial" w:cs="Arial" w:eastAsia="Arial" w:hAnsi="Arial"/>
          <w:sz w:val="14"/>
          <w:szCs w:val="14"/>
          <w:b w:val="1"/>
          <w:bCs w:val="1"/>
          <w:color w:val="205BA8"/>
        </w:rPr>
      </w:pPr>
      <w:r>
        <w:rPr>
          <w:rFonts w:ascii="Arial" w:cs="Arial" w:eastAsia="Arial" w:hAnsi="Arial"/>
          <w:sz w:val="14"/>
          <w:szCs w:val="14"/>
          <w:color w:val="auto"/>
        </w:rPr>
        <w:t>In the case of our CEO, this is subject to the terms of his employment agreement. See the subsection “Compensation Dashboard – 2018 Compensation Tables – Post-Employment Compensation – Leonard S. Schleifer, M.D., Ph.D. Employment Agreement.” In the case of our CSO, any unvested time-based stock options granted to him in December 2018 will continue to vest following his qualified retirement (as defined in the applicable Company policy).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67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3" w:lineRule="exact"/>
        <w:rPr>
          <w:sz w:val="20"/>
          <w:szCs w:val="20"/>
          <w:color w:val="auto"/>
        </w:rPr>
      </w:pPr>
    </w:p>
    <w:p>
      <w:pPr>
        <w:ind w:left="3020" w:right="20"/>
        <w:spacing w:after="0" w:line="225" w:lineRule="auto"/>
        <w:rPr>
          <w:sz w:val="20"/>
          <w:szCs w:val="20"/>
          <w:color w:val="auto"/>
        </w:rPr>
      </w:pPr>
      <w:r>
        <w:rPr>
          <w:rFonts w:ascii="Arial" w:cs="Arial" w:eastAsia="Arial" w:hAnsi="Arial"/>
          <w:sz w:val="15"/>
          <w:szCs w:val="15"/>
          <w:color w:val="auto"/>
        </w:rPr>
        <w:t>The number of year-end stock options granted in 2018 to our NEOs was 7.5% lower compared to the 2017 awards and had a grant date fair value nearly 3% lower than in 2017 (other than with respect to the awards to Mr. Landry and Ms. McCourt, as described below).</w:t>
      </w:r>
    </w:p>
    <w:p>
      <w:pPr>
        <w:spacing w:after="0" w:line="180" w:lineRule="exact"/>
        <w:rPr>
          <w:sz w:val="20"/>
          <w:szCs w:val="20"/>
          <w:color w:val="auto"/>
        </w:rPr>
      </w:pPr>
    </w:p>
    <w:tbl>
      <w:tblPr>
        <w:tblLayout w:type="fixed"/>
        <w:tblInd w:w="3020" w:type="dxa"/>
        <w:tblCellMar>
          <w:top w:w="0" w:type="dxa"/>
          <w:left w:w="0" w:type="dxa"/>
          <w:bottom w:w="0" w:type="dxa"/>
          <w:right w:w="0" w:type="dxa"/>
        </w:tblCellMar>
      </w:tblPr>
      <w:tr>
        <w:trPr>
          <w:trHeight w:val="130"/>
        </w:trPr>
        <w:tc>
          <w:tcPr>
            <w:tcW w:w="210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Stock</w:t>
            </w:r>
          </w:p>
        </w:tc>
        <w:tc>
          <w:tcPr>
            <w:tcW w:w="1400" w:type="dxa"/>
            <w:vAlign w:val="bottom"/>
          </w:tcPr>
          <w:p>
            <w:pPr>
              <w:jc w:val="center"/>
              <w:spacing w:after="0"/>
              <w:rPr>
                <w:sz w:val="20"/>
                <w:szCs w:val="20"/>
                <w:color w:val="auto"/>
              </w:rPr>
            </w:pPr>
            <w:r>
              <w:rPr>
                <w:rFonts w:ascii="Arial" w:cs="Arial" w:eastAsia="Arial" w:hAnsi="Arial"/>
                <w:sz w:val="11"/>
                <w:szCs w:val="11"/>
                <w:b w:val="1"/>
                <w:bCs w:val="1"/>
                <w:color w:val="205BA8"/>
              </w:rPr>
              <w:t>Year-over-Year Change</w:t>
            </w:r>
          </w:p>
        </w:tc>
        <w:tc>
          <w:tcPr>
            <w:tcW w:w="146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205BA8"/>
              </w:rPr>
              <w:t>Change in Shares</w:t>
            </w:r>
          </w:p>
        </w:tc>
        <w:tc>
          <w:tcPr>
            <w:tcW w:w="0" w:type="dxa"/>
            <w:vAlign w:val="bottom"/>
          </w:tcPr>
          <w:p>
            <w:pPr>
              <w:spacing w:after="0"/>
              <w:rPr>
                <w:sz w:val="1"/>
                <w:szCs w:val="1"/>
                <w:color w:val="auto"/>
              </w:rPr>
            </w:pPr>
          </w:p>
        </w:tc>
      </w:tr>
      <w:tr>
        <w:trPr>
          <w:trHeight w:val="97"/>
        </w:trPr>
        <w:tc>
          <w:tcPr>
            <w:tcW w:w="2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in Shares Underlying</w:t>
            </w:r>
          </w:p>
        </w:tc>
        <w:tc>
          <w:tcPr>
            <w:tcW w:w="146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Year-over-Year Change</w:t>
            </w:r>
          </w:p>
        </w:tc>
        <w:tc>
          <w:tcPr>
            <w:tcW w:w="154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Underlying Option Award</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880" w:type="dxa"/>
            <w:vAlign w:val="bottom"/>
            <w:vMerge w:val="restart"/>
          </w:tcPr>
          <w:p>
            <w:pPr>
              <w:jc w:val="center"/>
              <w:spacing w:after="0" w:line="163" w:lineRule="exact"/>
              <w:rPr>
                <w:sz w:val="20"/>
                <w:szCs w:val="20"/>
                <w:color w:val="auto"/>
              </w:rPr>
            </w:pPr>
            <w:r>
              <w:rPr>
                <w:rFonts w:ascii="Arial" w:cs="Arial" w:eastAsia="Arial" w:hAnsi="Arial"/>
                <w:sz w:val="11"/>
                <w:szCs w:val="11"/>
                <w:b w:val="1"/>
                <w:bCs w:val="1"/>
                <w:color w:val="205BA8"/>
              </w:rPr>
              <w:t>Option Award</w:t>
            </w:r>
            <w:r>
              <w:rPr>
                <w:rFonts w:ascii="Arial" w:cs="Arial" w:eastAsia="Arial" w:hAnsi="Arial"/>
                <w:sz w:val="18"/>
                <w:szCs w:val="18"/>
                <w:b w:val="1"/>
                <w:bCs w:val="1"/>
                <w:color w:val="205BA8"/>
                <w:vertAlign w:val="superscript"/>
              </w:rPr>
              <w:t>1</w:t>
            </w:r>
          </w:p>
        </w:tc>
        <w:tc>
          <w:tcPr>
            <w:tcW w:w="140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205BA8"/>
              </w:rPr>
              <w:t>Option Award</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205BA8"/>
              </w:rPr>
              <w:t>in Grant Date Fair Value</w:t>
            </w:r>
          </w:p>
        </w:tc>
        <w:tc>
          <w:tcPr>
            <w:tcW w:w="1540" w:type="dxa"/>
            <w:vAlign w:val="bottom"/>
          </w:tcPr>
          <w:p>
            <w:pPr>
              <w:jc w:val="center"/>
              <w:spacing w:after="0"/>
              <w:rPr>
                <w:sz w:val="20"/>
                <w:szCs w:val="20"/>
                <w:color w:val="auto"/>
              </w:rPr>
            </w:pPr>
            <w:r>
              <w:rPr>
                <w:rFonts w:ascii="Arial" w:cs="Arial" w:eastAsia="Arial" w:hAnsi="Arial"/>
                <w:sz w:val="11"/>
                <w:szCs w:val="11"/>
                <w:b w:val="1"/>
                <w:bCs w:val="1"/>
                <w:color w:val="205BA8"/>
              </w:rPr>
              <w:t>Compared to 2012</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205BA8"/>
            </w:tcBorders>
          </w:tcPr>
          <w:p>
            <w:pPr>
              <w:ind w:left="20"/>
              <w:spacing w:after="0"/>
              <w:rPr>
                <w:sz w:val="20"/>
                <w:szCs w:val="20"/>
                <w:color w:val="auto"/>
              </w:rPr>
            </w:pPr>
            <w:r>
              <w:rPr>
                <w:rFonts w:ascii="Arial" w:cs="Arial" w:eastAsia="Arial" w:hAnsi="Arial"/>
                <w:sz w:val="11"/>
                <w:szCs w:val="11"/>
                <w:b w:val="1"/>
                <w:bCs w:val="1"/>
                <w:color w:val="205BA8"/>
              </w:rPr>
              <w:t>Named Executive Officer</w:t>
            </w:r>
          </w:p>
        </w:tc>
        <w:tc>
          <w:tcPr>
            <w:tcW w:w="8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400" w:type="dxa"/>
            <w:vAlign w:val="bottom"/>
            <w:tcBorders>
              <w:bottom w:val="single" w:sz="8" w:color="205BA8"/>
            </w:tcBorders>
          </w:tcPr>
          <w:p>
            <w:pPr>
              <w:jc w:val="right"/>
              <w:ind w:right="560"/>
              <w:spacing w:after="0"/>
              <w:rPr>
                <w:sz w:val="20"/>
                <w:szCs w:val="20"/>
                <w:color w:val="auto"/>
              </w:rPr>
            </w:pPr>
            <w:r>
              <w:rPr>
                <w:rFonts w:ascii="Arial" w:cs="Arial" w:eastAsia="Arial" w:hAnsi="Arial"/>
                <w:sz w:val="11"/>
                <w:szCs w:val="11"/>
                <w:b w:val="1"/>
                <w:bCs w:val="1"/>
                <w:color w:val="205BA8"/>
              </w:rPr>
              <w:t>(%)</w:t>
            </w:r>
          </w:p>
        </w:tc>
        <w:tc>
          <w:tcPr>
            <w:tcW w:w="146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5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Leonard S. Schleifer, M.D., Ph.D.</w:t>
            </w:r>
          </w:p>
        </w:tc>
        <w:tc>
          <w:tcPr>
            <w:tcW w:w="880" w:type="dxa"/>
            <w:vAlign w:val="bottom"/>
            <w:tcBorders>
              <w:bottom w:val="single" w:sz="8" w:color="58585A"/>
            </w:tcBorders>
          </w:tcPr>
          <w:p>
            <w:pPr>
              <w:jc w:val="right"/>
              <w:ind w:right="180"/>
              <w:spacing w:after="0"/>
              <w:rPr>
                <w:sz w:val="20"/>
                <w:szCs w:val="20"/>
                <w:color w:val="auto"/>
              </w:rPr>
            </w:pPr>
            <w:r>
              <w:rPr>
                <w:rFonts w:ascii="Arial" w:cs="Arial" w:eastAsia="Arial" w:hAnsi="Arial"/>
                <w:sz w:val="13"/>
                <w:szCs w:val="13"/>
                <w:color w:val="auto"/>
              </w:rPr>
              <w:t>129,013</w:t>
            </w:r>
          </w:p>
        </w:tc>
        <w:tc>
          <w:tcPr>
            <w:tcW w:w="1400" w:type="dxa"/>
            <w:vAlign w:val="bottom"/>
            <w:tcBorders>
              <w:bottom w:val="single" w:sz="8" w:color="58585A"/>
            </w:tcBorders>
          </w:tcPr>
          <w:p>
            <w:pPr>
              <w:jc w:val="right"/>
              <w:ind w:right="440"/>
              <w:spacing w:after="0"/>
              <w:rPr>
                <w:sz w:val="20"/>
                <w:szCs w:val="20"/>
                <w:color w:val="auto"/>
              </w:rPr>
            </w:pPr>
            <w:r>
              <w:rPr>
                <w:rFonts w:ascii="Arial" w:cs="Arial" w:eastAsia="Arial" w:hAnsi="Arial"/>
                <w:sz w:val="13"/>
                <w:szCs w:val="13"/>
                <w:color w:val="auto"/>
              </w:rPr>
              <w:t>-7.5%</w:t>
            </w:r>
          </w:p>
        </w:tc>
        <w:tc>
          <w:tcPr>
            <w:tcW w:w="1460" w:type="dxa"/>
            <w:vAlign w:val="bottom"/>
            <w:tcBorders>
              <w:bottom w:val="single" w:sz="8" w:color="58585A"/>
            </w:tcBorders>
          </w:tcPr>
          <w:p>
            <w:pPr>
              <w:jc w:val="right"/>
              <w:ind w:right="460"/>
              <w:spacing w:after="0"/>
              <w:rPr>
                <w:sz w:val="20"/>
                <w:szCs w:val="20"/>
                <w:color w:val="auto"/>
              </w:rPr>
            </w:pPr>
            <w:r>
              <w:rPr>
                <w:rFonts w:ascii="Arial" w:cs="Arial" w:eastAsia="Arial" w:hAnsi="Arial"/>
                <w:sz w:val="13"/>
                <w:szCs w:val="13"/>
                <w:color w:val="auto"/>
              </w:rPr>
              <w:t>-2.9%</w:t>
            </w:r>
          </w:p>
        </w:tc>
        <w:tc>
          <w:tcPr>
            <w:tcW w:w="1540" w:type="dxa"/>
            <w:vAlign w:val="bottom"/>
            <w:tcBorders>
              <w:bottom w:val="single" w:sz="8" w:color="58585A"/>
            </w:tcBorders>
          </w:tcPr>
          <w:p>
            <w:pPr>
              <w:jc w:val="right"/>
              <w:ind w:right="480"/>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58585A"/>
            </w:tcBorders>
            <w:shd w:val="clear" w:color="auto" w:fill="ECEDED"/>
          </w:tcPr>
          <w:p>
            <w:pPr>
              <w:ind w:left="20"/>
              <w:spacing w:after="0"/>
              <w:rPr>
                <w:sz w:val="20"/>
                <w:szCs w:val="20"/>
                <w:color w:val="auto"/>
              </w:rPr>
            </w:pPr>
            <w:r>
              <w:rPr>
                <w:rFonts w:ascii="Arial" w:cs="Arial" w:eastAsia="Arial" w:hAnsi="Arial"/>
                <w:sz w:val="12"/>
                <w:szCs w:val="12"/>
                <w:b w:val="1"/>
                <w:bCs w:val="1"/>
                <w:color w:val="D61C5A"/>
              </w:rPr>
              <w:t>George D. Yancopoulos, M.D., Ph.D.</w:t>
            </w:r>
          </w:p>
        </w:tc>
        <w:tc>
          <w:tcPr>
            <w:tcW w:w="880" w:type="dxa"/>
            <w:vAlign w:val="bottom"/>
            <w:tcBorders>
              <w:bottom w:val="single" w:sz="8" w:color="58585A"/>
            </w:tcBorders>
            <w:shd w:val="clear" w:color="auto" w:fill="ECEDED"/>
          </w:tcPr>
          <w:p>
            <w:pPr>
              <w:jc w:val="right"/>
              <w:ind w:right="180"/>
              <w:spacing w:after="0"/>
              <w:rPr>
                <w:sz w:val="20"/>
                <w:szCs w:val="20"/>
                <w:color w:val="auto"/>
              </w:rPr>
            </w:pPr>
            <w:r>
              <w:rPr>
                <w:rFonts w:ascii="Arial" w:cs="Arial" w:eastAsia="Arial" w:hAnsi="Arial"/>
                <w:sz w:val="13"/>
                <w:szCs w:val="13"/>
                <w:color w:val="auto"/>
              </w:rPr>
              <w:t>129,013</w:t>
            </w:r>
          </w:p>
        </w:tc>
        <w:tc>
          <w:tcPr>
            <w:tcW w:w="1400" w:type="dxa"/>
            <w:vAlign w:val="bottom"/>
            <w:tcBorders>
              <w:bottom w:val="single" w:sz="8" w:color="58585A"/>
            </w:tcBorders>
            <w:shd w:val="clear" w:color="auto" w:fill="ECEDED"/>
          </w:tcPr>
          <w:p>
            <w:pPr>
              <w:jc w:val="right"/>
              <w:ind w:right="440"/>
              <w:spacing w:after="0"/>
              <w:rPr>
                <w:sz w:val="20"/>
                <w:szCs w:val="20"/>
                <w:color w:val="auto"/>
              </w:rPr>
            </w:pPr>
            <w:r>
              <w:rPr>
                <w:rFonts w:ascii="Arial" w:cs="Arial" w:eastAsia="Arial" w:hAnsi="Arial"/>
                <w:sz w:val="13"/>
                <w:szCs w:val="13"/>
                <w:color w:val="auto"/>
              </w:rPr>
              <w:t>-7.5%</w:t>
            </w:r>
          </w:p>
        </w:tc>
        <w:tc>
          <w:tcPr>
            <w:tcW w:w="1460" w:type="dxa"/>
            <w:vAlign w:val="bottom"/>
            <w:tcBorders>
              <w:bottom w:val="single" w:sz="8" w:color="58585A"/>
            </w:tcBorders>
            <w:shd w:val="clear" w:color="auto" w:fill="ECEDED"/>
          </w:tcPr>
          <w:p>
            <w:pPr>
              <w:jc w:val="right"/>
              <w:ind w:right="460"/>
              <w:spacing w:after="0"/>
              <w:rPr>
                <w:sz w:val="20"/>
                <w:szCs w:val="20"/>
                <w:color w:val="auto"/>
              </w:rPr>
            </w:pPr>
            <w:r>
              <w:rPr>
                <w:rFonts w:ascii="Arial" w:cs="Arial" w:eastAsia="Arial" w:hAnsi="Arial"/>
                <w:sz w:val="13"/>
                <w:szCs w:val="13"/>
                <w:color w:val="auto"/>
              </w:rPr>
              <w:t>-2.9%</w:t>
            </w:r>
          </w:p>
        </w:tc>
        <w:tc>
          <w:tcPr>
            <w:tcW w:w="1540" w:type="dxa"/>
            <w:vAlign w:val="bottom"/>
            <w:tcBorders>
              <w:bottom w:val="single" w:sz="8" w:color="58585A"/>
            </w:tcBorders>
            <w:shd w:val="clear" w:color="auto" w:fill="ECEDED"/>
          </w:tcPr>
          <w:p>
            <w:pPr>
              <w:jc w:val="right"/>
              <w:ind w:right="48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221"/>
        </w:trPr>
        <w:tc>
          <w:tcPr>
            <w:tcW w:w="2100" w:type="dxa"/>
            <w:vAlign w:val="bottom"/>
            <w:tcBorders>
              <w:bottom w:val="single" w:sz="8" w:color="58585A"/>
            </w:tcBorders>
          </w:tcPr>
          <w:p>
            <w:pPr>
              <w:ind w:left="20"/>
              <w:spacing w:after="0"/>
              <w:rPr>
                <w:sz w:val="20"/>
                <w:szCs w:val="20"/>
                <w:color w:val="auto"/>
              </w:rPr>
            </w:pPr>
            <w:r>
              <w:rPr>
                <w:rFonts w:ascii="Arial" w:cs="Arial" w:eastAsia="Arial" w:hAnsi="Arial"/>
                <w:sz w:val="12"/>
                <w:szCs w:val="12"/>
                <w:b w:val="1"/>
                <w:bCs w:val="1"/>
                <w:color w:val="D61C5A"/>
              </w:rPr>
              <w:t>Robert E. Landry</w:t>
            </w:r>
          </w:p>
        </w:tc>
        <w:tc>
          <w:tcPr>
            <w:tcW w:w="880" w:type="dxa"/>
            <w:vAlign w:val="bottom"/>
            <w:tcBorders>
              <w:bottom w:val="single" w:sz="8" w:color="58585A"/>
            </w:tcBorders>
          </w:tcPr>
          <w:p>
            <w:pPr>
              <w:jc w:val="right"/>
              <w:ind w:right="180"/>
              <w:spacing w:after="0"/>
              <w:rPr>
                <w:sz w:val="20"/>
                <w:szCs w:val="20"/>
                <w:color w:val="auto"/>
              </w:rPr>
            </w:pPr>
            <w:r>
              <w:rPr>
                <w:rFonts w:ascii="Arial" w:cs="Arial" w:eastAsia="Arial" w:hAnsi="Arial"/>
                <w:sz w:val="13"/>
                <w:szCs w:val="13"/>
                <w:color w:val="auto"/>
              </w:rPr>
              <w:t>20,000</w:t>
            </w:r>
          </w:p>
        </w:tc>
        <w:tc>
          <w:tcPr>
            <w:tcW w:w="1400" w:type="dxa"/>
            <w:vAlign w:val="bottom"/>
            <w:tcBorders>
              <w:bottom w:val="single" w:sz="8" w:color="58585A"/>
            </w:tcBorders>
          </w:tcPr>
          <w:p>
            <w:pPr>
              <w:jc w:val="right"/>
              <w:ind w:right="380"/>
              <w:spacing w:after="0" w:line="221" w:lineRule="exact"/>
              <w:rPr>
                <w:sz w:val="20"/>
                <w:szCs w:val="20"/>
                <w:color w:val="auto"/>
              </w:rPr>
            </w:pPr>
            <w:r>
              <w:rPr>
                <w:rFonts w:ascii="Arial" w:cs="Arial" w:eastAsia="Arial" w:hAnsi="Arial"/>
                <w:sz w:val="13"/>
                <w:szCs w:val="13"/>
                <w:color w:val="auto"/>
              </w:rPr>
              <w:t>-14.3%</w:t>
            </w:r>
            <w:r>
              <w:rPr>
                <w:rFonts w:ascii="Arial" w:cs="Arial" w:eastAsia="Arial" w:hAnsi="Arial"/>
                <w:sz w:val="20"/>
                <w:szCs w:val="20"/>
                <w:color w:val="auto"/>
                <w:vertAlign w:val="superscript"/>
              </w:rPr>
              <w:t>2</w:t>
            </w:r>
          </w:p>
        </w:tc>
        <w:tc>
          <w:tcPr>
            <w:tcW w:w="1460" w:type="dxa"/>
            <w:vAlign w:val="bottom"/>
            <w:tcBorders>
              <w:bottom w:val="single" w:sz="8" w:color="58585A"/>
            </w:tcBorders>
          </w:tcPr>
          <w:p>
            <w:pPr>
              <w:jc w:val="right"/>
              <w:ind w:right="400"/>
              <w:spacing w:after="0" w:line="221" w:lineRule="exact"/>
              <w:rPr>
                <w:sz w:val="20"/>
                <w:szCs w:val="20"/>
                <w:color w:val="auto"/>
              </w:rPr>
            </w:pPr>
            <w:r>
              <w:rPr>
                <w:rFonts w:ascii="Arial" w:cs="Arial" w:eastAsia="Arial" w:hAnsi="Arial"/>
                <w:sz w:val="13"/>
                <w:szCs w:val="13"/>
                <w:color w:val="auto"/>
              </w:rPr>
              <w:t>-10.0%</w:t>
            </w:r>
            <w:r>
              <w:rPr>
                <w:rFonts w:ascii="Arial" w:cs="Arial" w:eastAsia="Arial" w:hAnsi="Arial"/>
                <w:sz w:val="20"/>
                <w:szCs w:val="20"/>
                <w:color w:val="auto"/>
                <w:vertAlign w:val="superscript"/>
              </w:rPr>
              <w:t>2</w:t>
            </w:r>
          </w:p>
        </w:tc>
        <w:tc>
          <w:tcPr>
            <w:tcW w:w="1540" w:type="dxa"/>
            <w:vAlign w:val="bottom"/>
            <w:tcBorders>
              <w:bottom w:val="single" w:sz="8" w:color="58585A"/>
            </w:tcBorders>
          </w:tcPr>
          <w:p>
            <w:pPr>
              <w:jc w:val="right"/>
              <w:ind w:right="480"/>
              <w:spacing w:after="0" w:line="221" w:lineRule="exact"/>
              <w:rPr>
                <w:sz w:val="20"/>
                <w:szCs w:val="20"/>
                <w:color w:val="auto"/>
              </w:rPr>
            </w:pPr>
            <w:r>
              <w:rPr>
                <w:rFonts w:ascii="Arial" w:cs="Arial" w:eastAsia="Arial" w:hAnsi="Arial"/>
                <w:sz w:val="13"/>
                <w:szCs w:val="13"/>
                <w:color w:val="auto"/>
              </w:rPr>
              <w:t>N/A</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81"/>
        </w:trPr>
        <w:tc>
          <w:tcPr>
            <w:tcW w:w="2100" w:type="dxa"/>
            <w:vAlign w:val="bottom"/>
            <w:tcBorders>
              <w:bottom w:val="single" w:sz="8" w:color="58585A"/>
            </w:tcBorders>
            <w:shd w:val="clear" w:color="auto" w:fill="ECEDED"/>
          </w:tcPr>
          <w:p>
            <w:pPr>
              <w:ind w:left="20"/>
              <w:spacing w:after="0"/>
              <w:rPr>
                <w:sz w:val="20"/>
                <w:szCs w:val="20"/>
                <w:color w:val="auto"/>
              </w:rPr>
            </w:pPr>
            <w:r>
              <w:rPr>
                <w:rFonts w:ascii="Arial" w:cs="Arial" w:eastAsia="Arial" w:hAnsi="Arial"/>
                <w:sz w:val="12"/>
                <w:szCs w:val="12"/>
                <w:b w:val="1"/>
                <w:bCs w:val="1"/>
                <w:color w:val="D61C5A"/>
              </w:rPr>
              <w:t>Daniel P. Van Plew</w:t>
            </w:r>
          </w:p>
        </w:tc>
        <w:tc>
          <w:tcPr>
            <w:tcW w:w="880" w:type="dxa"/>
            <w:vAlign w:val="bottom"/>
            <w:tcBorders>
              <w:bottom w:val="single" w:sz="8" w:color="58585A"/>
            </w:tcBorders>
            <w:shd w:val="clear" w:color="auto" w:fill="ECEDED"/>
          </w:tcPr>
          <w:p>
            <w:pPr>
              <w:jc w:val="right"/>
              <w:ind w:right="180"/>
              <w:spacing w:after="0"/>
              <w:rPr>
                <w:sz w:val="20"/>
                <w:szCs w:val="20"/>
                <w:color w:val="auto"/>
              </w:rPr>
            </w:pPr>
            <w:r>
              <w:rPr>
                <w:rFonts w:ascii="Arial" w:cs="Arial" w:eastAsia="Arial" w:hAnsi="Arial"/>
                <w:sz w:val="13"/>
                <w:szCs w:val="13"/>
                <w:color w:val="auto"/>
              </w:rPr>
              <w:t>46,250</w:t>
            </w:r>
          </w:p>
        </w:tc>
        <w:tc>
          <w:tcPr>
            <w:tcW w:w="1400" w:type="dxa"/>
            <w:vAlign w:val="bottom"/>
            <w:tcBorders>
              <w:bottom w:val="single" w:sz="8" w:color="58585A"/>
            </w:tcBorders>
            <w:shd w:val="clear" w:color="auto" w:fill="ECEDED"/>
          </w:tcPr>
          <w:p>
            <w:pPr>
              <w:jc w:val="right"/>
              <w:ind w:right="440"/>
              <w:spacing w:after="0"/>
              <w:rPr>
                <w:sz w:val="20"/>
                <w:szCs w:val="20"/>
                <w:color w:val="auto"/>
              </w:rPr>
            </w:pPr>
            <w:r>
              <w:rPr>
                <w:rFonts w:ascii="Arial" w:cs="Arial" w:eastAsia="Arial" w:hAnsi="Arial"/>
                <w:sz w:val="13"/>
                <w:szCs w:val="13"/>
                <w:color w:val="auto"/>
              </w:rPr>
              <w:t>-7.5%</w:t>
            </w:r>
          </w:p>
        </w:tc>
        <w:tc>
          <w:tcPr>
            <w:tcW w:w="1460" w:type="dxa"/>
            <w:vAlign w:val="bottom"/>
            <w:tcBorders>
              <w:bottom w:val="single" w:sz="8" w:color="58585A"/>
            </w:tcBorders>
            <w:shd w:val="clear" w:color="auto" w:fill="ECEDED"/>
          </w:tcPr>
          <w:p>
            <w:pPr>
              <w:jc w:val="right"/>
              <w:ind w:right="460"/>
              <w:spacing w:after="0"/>
              <w:rPr>
                <w:sz w:val="20"/>
                <w:szCs w:val="20"/>
                <w:color w:val="auto"/>
              </w:rPr>
            </w:pPr>
            <w:r>
              <w:rPr>
                <w:rFonts w:ascii="Arial" w:cs="Arial" w:eastAsia="Arial" w:hAnsi="Arial"/>
                <w:sz w:val="13"/>
                <w:szCs w:val="13"/>
                <w:color w:val="auto"/>
              </w:rPr>
              <w:t>-2.9%</w:t>
            </w:r>
          </w:p>
        </w:tc>
        <w:tc>
          <w:tcPr>
            <w:tcW w:w="1540" w:type="dxa"/>
            <w:vAlign w:val="bottom"/>
            <w:tcBorders>
              <w:bottom w:val="single" w:sz="8" w:color="58585A"/>
            </w:tcBorders>
            <w:shd w:val="clear" w:color="auto" w:fill="ECEDED"/>
          </w:tcPr>
          <w:p>
            <w:pPr>
              <w:jc w:val="right"/>
              <w:ind w:right="480"/>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221"/>
        </w:trPr>
        <w:tc>
          <w:tcPr>
            <w:tcW w:w="2100" w:type="dxa"/>
            <w:vAlign w:val="bottom"/>
            <w:tcBorders>
              <w:bottom w:val="single" w:sz="8" w:color="205BA8"/>
            </w:tcBorders>
          </w:tcPr>
          <w:p>
            <w:pPr>
              <w:ind w:left="20"/>
              <w:spacing w:after="0" w:line="221" w:lineRule="exact"/>
              <w:rPr>
                <w:sz w:val="20"/>
                <w:szCs w:val="20"/>
                <w:color w:val="auto"/>
              </w:rPr>
            </w:pPr>
            <w:r>
              <w:rPr>
                <w:rFonts w:ascii="Arial" w:cs="Arial" w:eastAsia="Arial" w:hAnsi="Arial"/>
                <w:sz w:val="12"/>
                <w:szCs w:val="12"/>
                <w:b w:val="1"/>
                <w:bCs w:val="1"/>
                <w:color w:val="D61C5A"/>
              </w:rPr>
              <w:t>Marion McCourt</w:t>
            </w:r>
            <w:r>
              <w:rPr>
                <w:rFonts w:ascii="Arial" w:cs="Arial" w:eastAsia="Arial" w:hAnsi="Arial"/>
                <w:sz w:val="20"/>
                <w:szCs w:val="20"/>
                <w:b w:val="1"/>
                <w:bCs w:val="1"/>
                <w:color w:val="D61C5A"/>
                <w:vertAlign w:val="superscript"/>
              </w:rPr>
              <w:t>4</w:t>
            </w:r>
          </w:p>
        </w:tc>
        <w:tc>
          <w:tcPr>
            <w:tcW w:w="880" w:type="dxa"/>
            <w:vAlign w:val="bottom"/>
            <w:tcBorders>
              <w:bottom w:val="single" w:sz="8" w:color="205BA8"/>
            </w:tcBorders>
          </w:tcPr>
          <w:p>
            <w:pPr>
              <w:jc w:val="right"/>
              <w:ind w:right="180"/>
              <w:spacing w:after="0"/>
              <w:rPr>
                <w:sz w:val="20"/>
                <w:szCs w:val="20"/>
                <w:color w:val="auto"/>
              </w:rPr>
            </w:pPr>
            <w:r>
              <w:rPr>
                <w:rFonts w:ascii="Arial" w:cs="Arial" w:eastAsia="Arial" w:hAnsi="Arial"/>
                <w:sz w:val="13"/>
                <w:szCs w:val="13"/>
                <w:color w:val="auto"/>
              </w:rPr>
              <w:t>10,000</w:t>
            </w:r>
          </w:p>
        </w:tc>
        <w:tc>
          <w:tcPr>
            <w:tcW w:w="1400" w:type="dxa"/>
            <w:vAlign w:val="bottom"/>
            <w:tcBorders>
              <w:bottom w:val="single" w:sz="8" w:color="205BA8"/>
            </w:tcBorders>
          </w:tcPr>
          <w:p>
            <w:pPr>
              <w:jc w:val="right"/>
              <w:ind w:right="440"/>
              <w:spacing w:after="0"/>
              <w:rPr>
                <w:sz w:val="20"/>
                <w:szCs w:val="20"/>
                <w:color w:val="auto"/>
              </w:rPr>
            </w:pPr>
            <w:r>
              <w:rPr>
                <w:rFonts w:ascii="Arial" w:cs="Arial" w:eastAsia="Arial" w:hAnsi="Arial"/>
                <w:sz w:val="13"/>
                <w:szCs w:val="13"/>
                <w:color w:val="auto"/>
              </w:rPr>
              <w:t>N/A</w:t>
            </w:r>
          </w:p>
        </w:tc>
        <w:tc>
          <w:tcPr>
            <w:tcW w:w="1460" w:type="dxa"/>
            <w:vAlign w:val="bottom"/>
            <w:tcBorders>
              <w:bottom w:val="single" w:sz="8" w:color="205BA8"/>
            </w:tcBorders>
          </w:tcPr>
          <w:p>
            <w:pPr>
              <w:jc w:val="right"/>
              <w:ind w:right="460"/>
              <w:spacing w:after="0"/>
              <w:rPr>
                <w:sz w:val="20"/>
                <w:szCs w:val="20"/>
                <w:color w:val="auto"/>
              </w:rPr>
            </w:pPr>
            <w:r>
              <w:rPr>
                <w:rFonts w:ascii="Arial" w:cs="Arial" w:eastAsia="Arial" w:hAnsi="Arial"/>
                <w:sz w:val="13"/>
                <w:szCs w:val="13"/>
                <w:color w:val="auto"/>
              </w:rPr>
              <w:t>N/A</w:t>
            </w:r>
          </w:p>
        </w:tc>
        <w:tc>
          <w:tcPr>
            <w:tcW w:w="1540" w:type="dxa"/>
            <w:vAlign w:val="bottom"/>
            <w:tcBorders>
              <w:bottom w:val="single" w:sz="8" w:color="205BA8"/>
            </w:tcBorders>
          </w:tcPr>
          <w:p>
            <w:pPr>
              <w:jc w:val="right"/>
              <w:ind w:right="4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160" w:right="120" w:hanging="149"/>
        <w:spacing w:after="0" w:line="256" w:lineRule="auto"/>
        <w:tabs>
          <w:tab w:leader="none" w:pos="3160" w:val="left"/>
        </w:tabs>
        <w:numPr>
          <w:ilvl w:val="0"/>
          <w:numId w:val="88"/>
        </w:numPr>
        <w:rPr>
          <w:rFonts w:ascii="Arial" w:cs="Arial" w:eastAsia="Arial" w:hAnsi="Arial"/>
          <w:sz w:val="13"/>
          <w:szCs w:val="13"/>
          <w:b w:val="1"/>
          <w:bCs w:val="1"/>
          <w:color w:val="205BA8"/>
        </w:rPr>
      </w:pPr>
      <w:r>
        <w:rPr>
          <w:rFonts w:ascii="Arial" w:cs="Arial" w:eastAsia="Arial" w:hAnsi="Arial"/>
          <w:sz w:val="13"/>
          <w:szCs w:val="13"/>
          <w:color w:val="auto"/>
        </w:rPr>
        <w:t>These stock options all have an exercise price of $381.40 per share, the average of the high and low sales price per share of our common stock as quoted on the NASDAQ Global Select Market on the date of grant. All of these grants consist of non-qualified stock options, which vest ratably over a period of four years. Except as set forth below in the subsection “Compensation Dashboard – 2018 Compensation Tables – Post-Employment Compensation,” stock option vesting ceases, and unvested stock options are forfeited, upon termination of employment.</w:t>
      </w:r>
    </w:p>
    <w:p>
      <w:pPr>
        <w:spacing w:after="0" w:line="60" w:lineRule="exact"/>
        <w:rPr>
          <w:sz w:val="20"/>
          <w:szCs w:val="20"/>
          <w:color w:val="auto"/>
        </w:rPr>
      </w:pPr>
    </w:p>
    <w:p>
      <w:pPr>
        <w:ind w:left="3160" w:right="80" w:hanging="149"/>
        <w:spacing w:after="0" w:line="239" w:lineRule="auto"/>
        <w:tabs>
          <w:tab w:leader="none" w:pos="3160" w:val="left"/>
        </w:tabs>
        <w:numPr>
          <w:ilvl w:val="0"/>
          <w:numId w:val="89"/>
        </w:numPr>
        <w:rPr>
          <w:rFonts w:ascii="Arial" w:cs="Arial" w:eastAsia="Arial" w:hAnsi="Arial"/>
          <w:sz w:val="14"/>
          <w:szCs w:val="14"/>
          <w:b w:val="1"/>
          <w:bCs w:val="1"/>
          <w:color w:val="205BA8"/>
        </w:rPr>
      </w:pPr>
      <w:r>
        <w:rPr>
          <w:rFonts w:ascii="Arial" w:cs="Arial" w:eastAsia="Arial" w:hAnsi="Arial"/>
          <w:sz w:val="14"/>
          <w:szCs w:val="14"/>
          <w:color w:val="auto"/>
        </w:rPr>
        <w:t>As discussed below, Mr. Landry also received a restricted stock award in 2018, which led to a greater reduction in his 2018 annual option award.</w:t>
      </w:r>
    </w:p>
    <w:p>
      <w:pPr>
        <w:spacing w:after="0" w:line="69" w:lineRule="exact"/>
        <w:rPr>
          <w:sz w:val="20"/>
          <w:szCs w:val="20"/>
          <w:color w:val="auto"/>
        </w:rPr>
      </w:pPr>
    </w:p>
    <w:p>
      <w:pPr>
        <w:ind w:left="3160" w:hanging="149"/>
        <w:spacing w:after="0"/>
        <w:tabs>
          <w:tab w:leader="none" w:pos="3160" w:val="left"/>
        </w:tabs>
        <w:numPr>
          <w:ilvl w:val="0"/>
          <w:numId w:val="90"/>
        </w:numPr>
        <w:rPr>
          <w:rFonts w:ascii="Arial" w:cs="Arial" w:eastAsia="Arial" w:hAnsi="Arial"/>
          <w:sz w:val="14"/>
          <w:szCs w:val="14"/>
          <w:b w:val="1"/>
          <w:bCs w:val="1"/>
          <w:color w:val="205BA8"/>
        </w:rPr>
      </w:pPr>
      <w:r>
        <w:rPr>
          <w:rFonts w:ascii="Arial" w:cs="Arial" w:eastAsia="Arial" w:hAnsi="Arial"/>
          <w:sz w:val="14"/>
          <w:szCs w:val="14"/>
          <w:color w:val="auto"/>
        </w:rPr>
        <w:t>Mr. Landry joined the Company in 2013.</w:t>
      </w:r>
    </w:p>
    <w:p>
      <w:pPr>
        <w:spacing w:after="0" w:line="73" w:lineRule="exact"/>
        <w:rPr>
          <w:sz w:val="20"/>
          <w:szCs w:val="20"/>
          <w:color w:val="auto"/>
        </w:rPr>
      </w:pPr>
    </w:p>
    <w:p>
      <w:pPr>
        <w:ind w:left="3160" w:right="80" w:hanging="149"/>
        <w:spacing w:after="0" w:line="235" w:lineRule="auto"/>
        <w:tabs>
          <w:tab w:leader="none" w:pos="3160" w:val="left"/>
        </w:tabs>
        <w:numPr>
          <w:ilvl w:val="0"/>
          <w:numId w:val="91"/>
        </w:numPr>
        <w:rPr>
          <w:rFonts w:ascii="Arial" w:cs="Arial" w:eastAsia="Arial" w:hAnsi="Arial"/>
          <w:sz w:val="14"/>
          <w:szCs w:val="14"/>
          <w:b w:val="1"/>
          <w:bCs w:val="1"/>
          <w:color w:val="205BA8"/>
        </w:rPr>
      </w:pPr>
      <w:r>
        <w:rPr>
          <w:rFonts w:ascii="Arial" w:cs="Arial" w:eastAsia="Arial" w:hAnsi="Arial"/>
          <w:sz w:val="14"/>
          <w:szCs w:val="14"/>
          <w:color w:val="auto"/>
        </w:rPr>
        <w:t>Ms. McCourt joined the Company in February 2018. In addition to the year-end award shown in this table, upon joining the Company Ms. McCourt received an award of 20,000 non-qualified stock options, which vest ratably over a period of four years and have an exercise price of $342.93 per share, the average of the high and low sales price per share of our common stock as quoted on the NASDAQ Global Select Market on the date of grant; and an award of 2,500 shares of restricted stock, which vest in full on the fifth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165100</wp:posOffset>
            </wp:positionV>
            <wp:extent cx="46863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2018 restricted stock awards to certain NEOs</w:t>
      </w:r>
    </w:p>
    <w:p>
      <w:pPr>
        <w:spacing w:after="0" w:line="228" w:lineRule="exact"/>
        <w:rPr>
          <w:sz w:val="20"/>
          <w:szCs w:val="20"/>
          <w:color w:val="auto"/>
        </w:rPr>
      </w:pPr>
    </w:p>
    <w:p>
      <w:pPr>
        <w:ind w:left="3020" w:right="100"/>
        <w:spacing w:after="0" w:line="221" w:lineRule="auto"/>
        <w:rPr>
          <w:sz w:val="20"/>
          <w:szCs w:val="20"/>
          <w:color w:val="auto"/>
        </w:rPr>
      </w:pPr>
      <w:r>
        <w:rPr>
          <w:rFonts w:ascii="Arial" w:cs="Arial" w:eastAsia="Arial" w:hAnsi="Arial"/>
          <w:sz w:val="15"/>
          <w:szCs w:val="15"/>
          <w:color w:val="auto"/>
        </w:rPr>
        <w:t>We supplemented our annual equity awards in 2018 by highly targeted grants of restricted stock to certain key employees to promote employee retention and reward performance. Each such restricted stock award only vests on the five-year anniversary of the grant date to promote long-term employment. This decision was based in part on an assessment conducted by management’s compensation consultant, Radford, as well as shareholder and employee feedback. Based on this assessment, in December 2018 Mr. Landry and Ms. McCourt received awards of 12,500 and 10,000 shares of restricted stock,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68  /  </w:t>
      </w:r>
      <w:r>
        <w:rPr>
          <w:sz w:val="1"/>
          <w:szCs w:val="1"/>
          <w:color w:val="auto"/>
        </w:rPr>
        <w:drawing>
          <wp:inline distT="0" distB="0" distL="0" distR="0">
            <wp:extent cx="717550" cy="8255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81" w:name="page82"/>
    <w:bookmarkEnd w:id="81"/>
    <w:p>
      <w:pPr>
        <w:ind w:left="43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368" w:lineRule="exact"/>
        <w:rPr>
          <w:sz w:val="20"/>
          <w:szCs w:val="20"/>
          <w:color w:val="auto"/>
        </w:rPr>
      </w:pPr>
    </w:p>
    <w:p>
      <w:pPr>
        <w:ind w:left="520"/>
        <w:spacing w:after="0"/>
        <w:rPr>
          <w:sz w:val="20"/>
          <w:szCs w:val="20"/>
          <w:color w:val="auto"/>
        </w:rPr>
      </w:pPr>
      <w:r>
        <w:rPr>
          <w:rFonts w:ascii="Arial" w:cs="Arial" w:eastAsia="Arial" w:hAnsi="Arial"/>
          <w:sz w:val="34"/>
          <w:szCs w:val="34"/>
          <w:b w:val="1"/>
          <w:bCs w:val="1"/>
          <w:color w:val="D61C5A"/>
        </w:rPr>
        <w:t>PERQUISITES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35"/>
          <w:szCs w:val="35"/>
          <w:b w:val="1"/>
          <w:bCs w:val="1"/>
          <w:color w:val="D61C5A"/>
        </w:rPr>
        <w:t>AND</w:t>
      </w:r>
    </w:p>
    <w:p>
      <w:pPr>
        <w:ind w:left="520"/>
        <w:spacing w:after="0"/>
        <w:rPr>
          <w:sz w:val="20"/>
          <w:szCs w:val="20"/>
          <w:color w:val="auto"/>
        </w:rPr>
      </w:pPr>
      <w:r>
        <w:rPr>
          <w:rFonts w:ascii="Arial" w:cs="Arial" w:eastAsia="Arial" w:hAnsi="Arial"/>
          <w:sz w:val="35"/>
          <w:szCs w:val="35"/>
          <w:b w:val="1"/>
          <w:bCs w:val="1"/>
          <w:color w:val="D61C5A"/>
        </w:rPr>
        <w:t>PERSONAL</w:t>
      </w:r>
    </w:p>
    <w:p>
      <w:pPr>
        <w:ind w:left="520"/>
        <w:spacing w:after="0"/>
        <w:rPr>
          <w:sz w:val="20"/>
          <w:szCs w:val="20"/>
          <w:color w:val="auto"/>
        </w:rPr>
      </w:pPr>
      <w:r>
        <w:rPr>
          <w:rFonts w:ascii="Arial" w:cs="Arial" w:eastAsia="Arial" w:hAnsi="Arial"/>
          <w:sz w:val="35"/>
          <w:szCs w:val="35"/>
          <w:b w:val="1"/>
          <w:bCs w:val="1"/>
          <w:color w:val="D61C5A"/>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1774825</wp:posOffset>
            </wp:positionV>
            <wp:extent cx="16497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520" w:right="160"/>
        <w:spacing w:after="0" w:line="268" w:lineRule="auto"/>
        <w:rPr>
          <w:sz w:val="20"/>
          <w:szCs w:val="20"/>
          <w:color w:val="auto"/>
        </w:rPr>
      </w:pPr>
      <w:r>
        <w:rPr>
          <w:rFonts w:ascii="Arial" w:cs="Arial" w:eastAsia="Arial" w:hAnsi="Arial"/>
          <w:sz w:val="34"/>
          <w:szCs w:val="34"/>
          <w:b w:val="1"/>
          <w:bCs w:val="1"/>
          <w:color w:val="D61C5A"/>
        </w:rPr>
        <w:t>POTENTIAL SEVERANCE PAYMENTS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9" w:right="560"/>
        <w:spacing w:after="0" w:line="221" w:lineRule="auto"/>
        <w:rPr>
          <w:sz w:val="20"/>
          <w:szCs w:val="20"/>
          <w:color w:val="auto"/>
        </w:rPr>
      </w:pPr>
      <w:r>
        <w:rPr>
          <w:rFonts w:ascii="Arial" w:cs="Arial" w:eastAsia="Arial" w:hAnsi="Arial"/>
          <w:sz w:val="15"/>
          <w:szCs w:val="15"/>
          <w:color w:val="auto"/>
        </w:rPr>
        <w:t>Similar to other employees, our NEOs may participate in Company-wide health, disability, life insurance, and other benefit plans, as well as our 401(k) Savings Plan. See details concerning the 401(k) Savings Plan in the subsection “Compensation Dashboard — Additional Compensation Information — Perquisites and Personal Benefits.” Our NEOs are eligible to receive a limited number of additional perquisites. These include financial and tax planning assistance, which are taxable benefits.</w:t>
      </w:r>
    </w:p>
    <w:p>
      <w:pPr>
        <w:spacing w:after="0" w:line="141" w:lineRule="exact"/>
        <w:rPr>
          <w:sz w:val="20"/>
          <w:szCs w:val="20"/>
          <w:color w:val="auto"/>
        </w:rPr>
      </w:pPr>
    </w:p>
    <w:p>
      <w:pPr>
        <w:ind w:left="9" w:right="540"/>
        <w:spacing w:after="0" w:line="225" w:lineRule="auto"/>
        <w:rPr>
          <w:sz w:val="20"/>
          <w:szCs w:val="20"/>
          <w:color w:val="auto"/>
        </w:rPr>
      </w:pPr>
      <w:r>
        <w:rPr>
          <w:rFonts w:ascii="Arial" w:cs="Arial" w:eastAsia="Arial" w:hAnsi="Arial"/>
          <w:sz w:val="15"/>
          <w:szCs w:val="15"/>
          <w:color w:val="auto"/>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spacing w:after="0" w:line="139" w:lineRule="exact"/>
        <w:rPr>
          <w:sz w:val="20"/>
          <w:szCs w:val="20"/>
          <w:color w:val="auto"/>
        </w:rPr>
      </w:pPr>
    </w:p>
    <w:p>
      <w:pPr>
        <w:ind w:left="9" w:right="540"/>
        <w:spacing w:after="0" w:line="221" w:lineRule="auto"/>
        <w:rPr>
          <w:sz w:val="20"/>
          <w:szCs w:val="20"/>
          <w:color w:val="auto"/>
        </w:rPr>
      </w:pPr>
      <w:r>
        <w:rPr>
          <w:rFonts w:ascii="Arial" w:cs="Arial" w:eastAsia="Arial" w:hAnsi="Arial"/>
          <w:sz w:val="15"/>
          <w:szCs w:val="15"/>
          <w:color w:val="auto"/>
        </w:rPr>
        <w:t>Our CEO and CSO are also eligible for various benefits under our Company security policy, which was approved by the board of directors in 2015 for the purpose of ensuring increased efficiencies and providing a more secure environment for these executives. Based on the recommendation of an independent, third-party security study, our security policy and related guidelines require our CEO and CSO (as well as their spouses and children when they accompany them) to use, as much as practicable, Company-provided aircraft for all business and personal air travel.</w:t>
      </w:r>
    </w:p>
    <w:p>
      <w:pPr>
        <w:spacing w:after="0" w:line="138" w:lineRule="exact"/>
        <w:rPr>
          <w:sz w:val="20"/>
          <w:szCs w:val="20"/>
          <w:color w:val="auto"/>
        </w:rPr>
      </w:pPr>
    </w:p>
    <w:p>
      <w:pPr>
        <w:ind w:left="9" w:right="580"/>
        <w:spacing w:after="0" w:line="221" w:lineRule="auto"/>
        <w:rPr>
          <w:sz w:val="20"/>
          <w:szCs w:val="20"/>
          <w:color w:val="auto"/>
        </w:rPr>
      </w:pPr>
      <w:r>
        <w:rPr>
          <w:rFonts w:ascii="Arial" w:cs="Arial" w:eastAsia="Arial" w:hAnsi="Arial"/>
          <w:sz w:val="15"/>
          <w:szCs w:val="15"/>
          <w:color w:val="auto"/>
        </w:rPr>
        <w:t>In 2018, we paid filing fees of $280,000 and $125,000 relating to the Hart-Scott-Rodino filings for our CEO and CSO, respectively, as well as an additional payment to each of our CEO and CSO to make them whole for income taxes imposed on account of such filing fee payments. The main rationale for the Company’s payment of these fees was that the filing obligations resulted from equity awards granted to these executives under the Company’s compensation program and the price appreciation in Regeneron stock over a period of time during which they made substantial contributions toward such appreciation.</w:t>
      </w:r>
    </w:p>
    <w:p>
      <w:pPr>
        <w:spacing w:after="0" w:line="138" w:lineRule="exact"/>
        <w:rPr>
          <w:sz w:val="20"/>
          <w:szCs w:val="20"/>
          <w:color w:val="auto"/>
        </w:rPr>
      </w:pPr>
    </w:p>
    <w:p>
      <w:pPr>
        <w:ind w:left="9" w:right="680"/>
        <w:spacing w:after="0" w:line="241" w:lineRule="auto"/>
        <w:rPr>
          <w:sz w:val="20"/>
          <w:szCs w:val="20"/>
          <w:color w:val="auto"/>
        </w:rPr>
      </w:pPr>
      <w:r>
        <w:rPr>
          <w:rFonts w:ascii="Arial" w:cs="Arial" w:eastAsia="Arial" w:hAnsi="Arial"/>
          <w:sz w:val="14"/>
          <w:szCs w:val="14"/>
          <w:color w:val="auto"/>
        </w:rPr>
        <w:t>Additional information regarding perquisites and other personal benefits provided to our NEOs in, or with respect to, 2018 is given in the applicable footnotes to the Summary Compensation Table and in the subsection “Compensation Dashboard — Additional Compensation Information — 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46863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14" w:lineRule="exact"/>
        <w:rPr>
          <w:sz w:val="20"/>
          <w:szCs w:val="20"/>
          <w:color w:val="auto"/>
        </w:rPr>
      </w:pPr>
    </w:p>
    <w:p>
      <w:pPr>
        <w:ind w:left="9" w:right="1100"/>
        <w:spacing w:after="0" w:line="229" w:lineRule="auto"/>
        <w:rPr>
          <w:sz w:val="20"/>
          <w:szCs w:val="20"/>
          <w:color w:val="auto"/>
        </w:rPr>
      </w:pPr>
      <w:r>
        <w:rPr>
          <w:rFonts w:ascii="Arial" w:cs="Arial" w:eastAsia="Arial" w:hAnsi="Arial"/>
          <w:sz w:val="15"/>
          <w:szCs w:val="15"/>
          <w:color w:val="auto"/>
        </w:rPr>
        <w:t>We believe the following three points are key to understanding our change-in-control and other severance provisions:</w:t>
      </w:r>
    </w:p>
    <w:p>
      <w:pPr>
        <w:spacing w:after="0" w:line="139" w:lineRule="exact"/>
        <w:rPr>
          <w:sz w:val="20"/>
          <w:szCs w:val="20"/>
          <w:color w:val="auto"/>
        </w:rPr>
      </w:pPr>
    </w:p>
    <w:p>
      <w:pPr>
        <w:ind w:left="229" w:right="560" w:hanging="229"/>
        <w:spacing w:after="0" w:line="239" w:lineRule="auto"/>
        <w:tabs>
          <w:tab w:leader="none" w:pos="229" w:val="left"/>
        </w:tabs>
        <w:numPr>
          <w:ilvl w:val="0"/>
          <w:numId w:val="92"/>
        </w:numPr>
        <w:rPr>
          <w:rFonts w:ascii="Arial" w:cs="Arial" w:eastAsia="Arial" w:hAnsi="Arial"/>
          <w:sz w:val="14"/>
          <w:szCs w:val="14"/>
          <w:color w:val="205BA8"/>
        </w:rPr>
      </w:pPr>
      <w:r>
        <w:rPr>
          <w:rFonts w:ascii="Arial" w:cs="Arial" w:eastAsia="Arial" w:hAnsi="Arial"/>
          <w:sz w:val="14"/>
          <w:szCs w:val="14"/>
          <w:color w:val="auto"/>
        </w:rPr>
        <w:t xml:space="preserve">Outstanding stock option agreements and restricted stock award agreements (with the exceptions and qualifications described in this section) for all employees other than Dr. Vagelos include a governance best-practice </w:t>
      </w:r>
      <w:r>
        <w:rPr>
          <w:rFonts w:ascii="Arial" w:cs="Arial" w:eastAsia="Arial" w:hAnsi="Arial"/>
          <w:sz w:val="14"/>
          <w:szCs w:val="14"/>
          <w:b w:val="1"/>
          <w:bCs w:val="1"/>
          <w:color w:val="auto"/>
        </w:rPr>
        <w:t>“double trigger”</w:t>
      </w:r>
      <w:r>
        <w:rPr>
          <w:rFonts w:ascii="Arial" w:cs="Arial" w:eastAsia="Arial" w:hAnsi="Arial"/>
          <w:sz w:val="14"/>
          <w:szCs w:val="14"/>
          <w:color w:val="auto"/>
        </w:rPr>
        <w:t xml:space="preserve"> provision for the acceleration of vesting of unvested stock options or restricted stock only upon a without-cause termination by the Company within two years of a change in control.</w:t>
      </w:r>
    </w:p>
    <w:p>
      <w:pPr>
        <w:spacing w:after="0" w:line="29" w:lineRule="exact"/>
        <w:rPr>
          <w:rFonts w:ascii="Arial" w:cs="Arial" w:eastAsia="Arial" w:hAnsi="Arial"/>
          <w:sz w:val="14"/>
          <w:szCs w:val="14"/>
          <w:color w:val="205BA8"/>
        </w:rPr>
      </w:pPr>
    </w:p>
    <w:p>
      <w:pPr>
        <w:ind w:left="229" w:right="560" w:hanging="229"/>
        <w:spacing w:after="0" w:line="255" w:lineRule="auto"/>
        <w:tabs>
          <w:tab w:leader="none" w:pos="229" w:val="left"/>
        </w:tabs>
        <w:numPr>
          <w:ilvl w:val="0"/>
          <w:numId w:val="92"/>
        </w:numPr>
        <w:rPr>
          <w:rFonts w:ascii="Arial" w:cs="Arial" w:eastAsia="Arial" w:hAnsi="Arial"/>
          <w:sz w:val="14"/>
          <w:szCs w:val="14"/>
          <w:color w:val="205BA8"/>
        </w:rPr>
      </w:pPr>
      <w:r>
        <w:rPr>
          <w:rFonts w:ascii="Arial" w:cs="Arial" w:eastAsia="Arial" w:hAnsi="Arial"/>
          <w:sz w:val="14"/>
          <w:szCs w:val="14"/>
          <w:color w:val="auto"/>
        </w:rPr>
        <w:t xml:space="preserve">We have a </w:t>
      </w:r>
      <w:r>
        <w:rPr>
          <w:rFonts w:ascii="Arial" w:cs="Arial" w:eastAsia="Arial" w:hAnsi="Arial"/>
          <w:sz w:val="14"/>
          <w:szCs w:val="14"/>
          <w:b w:val="1"/>
          <w:bCs w:val="1"/>
          <w:color w:val="auto"/>
        </w:rPr>
        <w:t>policy against excise tax gross-up provisions</w:t>
      </w:r>
      <w:r>
        <w:rPr>
          <w:rFonts w:ascii="Arial" w:cs="Arial" w:eastAsia="Arial" w:hAnsi="Arial"/>
          <w:sz w:val="14"/>
          <w:szCs w:val="14"/>
          <w:color w:val="auto"/>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19" w:lineRule="exact"/>
        <w:rPr>
          <w:rFonts w:ascii="Arial" w:cs="Arial" w:eastAsia="Arial" w:hAnsi="Arial"/>
          <w:sz w:val="14"/>
          <w:szCs w:val="14"/>
          <w:color w:val="205BA8"/>
        </w:rPr>
      </w:pPr>
    </w:p>
    <w:p>
      <w:pPr>
        <w:ind w:left="229" w:right="660" w:hanging="229"/>
        <w:spacing w:after="0" w:line="243" w:lineRule="auto"/>
        <w:tabs>
          <w:tab w:leader="none" w:pos="229" w:val="left"/>
        </w:tabs>
        <w:numPr>
          <w:ilvl w:val="0"/>
          <w:numId w:val="92"/>
        </w:numPr>
        <w:rPr>
          <w:rFonts w:ascii="Arial" w:cs="Arial" w:eastAsia="Arial" w:hAnsi="Arial"/>
          <w:sz w:val="15"/>
          <w:szCs w:val="15"/>
          <w:color w:val="205BA8"/>
        </w:rPr>
      </w:pPr>
      <w:r>
        <w:rPr>
          <w:rFonts w:ascii="Arial" w:cs="Arial" w:eastAsia="Arial" w:hAnsi="Arial"/>
          <w:sz w:val="15"/>
          <w:szCs w:val="15"/>
          <w:color w:val="auto"/>
        </w:rPr>
        <w:t xml:space="preserve">Regeneron has </w:t>
      </w:r>
      <w:r>
        <w:rPr>
          <w:rFonts w:ascii="Arial" w:cs="Arial" w:eastAsia="Arial" w:hAnsi="Arial"/>
          <w:sz w:val="15"/>
          <w:szCs w:val="15"/>
          <w:b w:val="1"/>
          <w:bCs w:val="1"/>
          <w:color w:val="auto"/>
        </w:rPr>
        <w:t>no pension, deferred compensation, or retirement plans</w:t>
      </w:r>
      <w:r>
        <w:rPr>
          <w:rFonts w:ascii="Arial" w:cs="Arial" w:eastAsia="Arial" w:hAnsi="Arial"/>
          <w:sz w:val="15"/>
          <w:szCs w:val="15"/>
          <w:color w:val="auto"/>
        </w:rPr>
        <w:t xml:space="preserve"> for U.S.-based employees other than our 401(k) Savings Plan described above.</w:t>
      </w:r>
    </w:p>
    <w:p>
      <w:pPr>
        <w:spacing w:after="0" w:line="136" w:lineRule="exact"/>
        <w:rPr>
          <w:sz w:val="20"/>
          <w:szCs w:val="20"/>
          <w:color w:val="auto"/>
        </w:rPr>
      </w:pPr>
    </w:p>
    <w:p>
      <w:pPr>
        <w:ind w:left="9" w:right="680"/>
        <w:spacing w:after="0" w:line="229" w:lineRule="auto"/>
        <w:rPr>
          <w:sz w:val="20"/>
          <w:szCs w:val="20"/>
          <w:color w:val="auto"/>
        </w:rPr>
      </w:pPr>
      <w:r>
        <w:rPr>
          <w:rFonts w:ascii="Arial" w:cs="Arial" w:eastAsia="Arial" w:hAnsi="Arial"/>
          <w:sz w:val="15"/>
          <w:szCs w:val="15"/>
          <w:color w:val="auto"/>
        </w:rPr>
        <w:t>For additional details, see the subsection “Compensation Dashboard — Additional Compensation Information — Potential Severance Payments.”</w:t>
      </w:r>
    </w:p>
    <w:p>
      <w:pPr>
        <w:spacing w:after="0" w:line="168" w:lineRule="exact"/>
        <w:rPr>
          <w:sz w:val="20"/>
          <w:szCs w:val="20"/>
          <w:color w:val="auto"/>
        </w:rPr>
      </w:pPr>
    </w:p>
    <w:p>
      <w:pPr>
        <w:sectPr>
          <w:pgSz w:w="11900" w:h="16838" w:orient="portrait"/>
          <w:cols w:equalWidth="0" w:num="2">
            <w:col w:w="2840" w:space="691"/>
            <w:col w:w="7889"/>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69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46"/>
          <w:szCs w:val="46"/>
          <w:b w:val="1"/>
          <w:bCs w:val="1"/>
          <w:color w:val="auto"/>
        </w:rPr>
        <w:t>OUR COMPENSATION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6600190" cy="165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wp:posOffset>
            </wp:positionV>
            <wp:extent cx="66001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OUR</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color w:val="D61C5A"/>
        </w:rPr>
        <w:t>COMPENSATION</w:t>
      </w:r>
    </w:p>
    <w:p>
      <w:pPr>
        <w:spacing w:after="0" w:line="11"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2302510</wp:posOffset>
            </wp:positionV>
            <wp:extent cx="16497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 xml:space="preserve">The Compensation Committee is responsible for overseeing the Company’s general compensation objectives and programs. The Compensation Committee evaluates the performance of our NEOs and approves their compensation — 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4"/>
          <w:szCs w:val="14"/>
          <w:b w:val="1"/>
          <w:bCs w:val="1"/>
          <w:color w:val="auto"/>
        </w:rPr>
        <w:t>www.regeneron.com</w:t>
      </w:r>
      <w:r>
        <w:rPr>
          <w:rFonts w:ascii="Arial" w:cs="Arial" w:eastAsia="Arial" w:hAnsi="Arial"/>
          <w:sz w:val="14"/>
          <w:szCs w:val="14"/>
          <w:color w:val="auto"/>
        </w:rPr>
        <w:t xml:space="preserve"> under the “Corporate Governance” heading on the “Investors &amp; Media” page.</w:t>
      </w:r>
    </w:p>
    <w:p>
      <w:pPr>
        <w:spacing w:after="0" w:line="141" w:lineRule="exact"/>
        <w:rPr>
          <w:sz w:val="20"/>
          <w:szCs w:val="20"/>
          <w:color w:val="auto"/>
        </w:rPr>
      </w:pPr>
    </w:p>
    <w:p>
      <w:pPr>
        <w:ind w:right="20"/>
        <w:spacing w:after="0" w:line="221" w:lineRule="auto"/>
        <w:rPr>
          <w:sz w:val="20"/>
          <w:szCs w:val="20"/>
          <w:color w:val="auto"/>
        </w:rPr>
      </w:pPr>
      <w:r>
        <w:rPr>
          <w:rFonts w:ascii="Arial" w:cs="Arial" w:eastAsia="Arial" w:hAnsi="Arial"/>
          <w:sz w:val="15"/>
          <w:szCs w:val="15"/>
          <w:color w:val="auto"/>
        </w:rPr>
        <w:t>Annual salaries for the following year and year-end cash incentives and stock option awards or other year-end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w:t>
      </w:r>
    </w:p>
    <w:p>
      <w:pPr>
        <w:spacing w:after="0" w:line="138"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We make our annual equity awards on a regular, pre-set schedule. The meetings at which such grants are approved are generally scheduled well in advance of the grant date, without regard to the timing of earnings or other major announcements. We generally grant annual equity awards to eligible employees whose performance is determined to merit an annual grant, including the NEOs, at a meeting held during December.</w:t>
      </w:r>
    </w:p>
    <w:p>
      <w:pPr>
        <w:spacing w:after="0" w:line="138" w:lineRule="exact"/>
        <w:rPr>
          <w:sz w:val="20"/>
          <w:szCs w:val="20"/>
          <w:color w:val="auto"/>
        </w:rPr>
      </w:pPr>
    </w:p>
    <w:p>
      <w:pPr>
        <w:ind w:right="20"/>
        <w:spacing w:after="0" w:line="221" w:lineRule="auto"/>
        <w:rPr>
          <w:sz w:val="20"/>
          <w:szCs w:val="20"/>
          <w:color w:val="auto"/>
        </w:rPr>
      </w:pPr>
      <w:r>
        <w:rPr>
          <w:rFonts w:ascii="Arial" w:cs="Arial" w:eastAsia="Arial" w:hAnsi="Arial"/>
          <w:sz w:val="15"/>
          <w:szCs w:val="15"/>
          <w:color w:val="auto"/>
        </w:rPr>
        <w:t>Pursuant to the terms of the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141" w:lineRule="exact"/>
        <w:rPr>
          <w:sz w:val="20"/>
          <w:szCs w:val="20"/>
          <w:color w:val="auto"/>
        </w:rPr>
      </w:pPr>
    </w:p>
    <w:p>
      <w:pPr>
        <w:ind w:right="680"/>
        <w:spacing w:after="0" w:line="225" w:lineRule="auto"/>
        <w:rPr>
          <w:sz w:val="20"/>
          <w:szCs w:val="20"/>
          <w:color w:val="auto"/>
        </w:rPr>
      </w:pPr>
      <w:r>
        <w:rPr>
          <w:rFonts w:ascii="Arial" w:cs="Arial" w:eastAsia="Arial" w:hAnsi="Arial"/>
          <w:sz w:val="15"/>
          <w:szCs w:val="15"/>
          <w:color w:val="auto"/>
        </w:rPr>
        <w:t>We periodically evaluate the personal benefits and perquisites afforded to our NEOs. The Compensation Committee also regularly meets in executive session to discuss any of the matters that fall within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46863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74" w:lineRule="exact"/>
        <w:rPr>
          <w:sz w:val="20"/>
          <w:szCs w:val="20"/>
          <w:color w:val="auto"/>
        </w:rPr>
      </w:pPr>
    </w:p>
    <w:p>
      <w:pPr>
        <w:ind w:right="40"/>
        <w:spacing w:after="0" w:line="220" w:lineRule="auto"/>
        <w:rPr>
          <w:sz w:val="20"/>
          <w:szCs w:val="20"/>
          <w:color w:val="auto"/>
        </w:rPr>
      </w:pPr>
      <w:r>
        <w:rPr>
          <w:rFonts w:ascii="Arial" w:cs="Arial" w:eastAsia="Arial" w:hAnsi="Arial"/>
          <w:sz w:val="15"/>
          <w:szCs w:val="15"/>
          <w:color w:val="auto"/>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For our NEOs (other than our CEO), recommendations to the Compensation Committee regarding their compensation are made by, or with the approval of, our CEO, who also evaluates their performance. Our CEO’s performance is evaluated directly by the Compensation Committee based on the Company’s overall corporate performance against annual goals that are approved by the board of directors at the beginning of each year, as discussed above.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396" w:right="739" w:bottom="1440" w:gutter="0" w:footer="0" w:header="0"/>
          <w:type w:val="continuous"/>
        </w:sectPr>
      </w:pPr>
    </w:p>
    <w:bookmarkStart w:id="83" w:name="page84"/>
    <w:bookmarkEnd w:id="83"/>
    <w:p>
      <w:pPr>
        <w:ind w:left="43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381" w:lineRule="exact"/>
        <w:rPr>
          <w:sz w:val="20"/>
          <w:szCs w:val="20"/>
          <w:color w:val="auto"/>
        </w:rPr>
      </w:pPr>
    </w:p>
    <w:p>
      <w:pPr>
        <w:ind w:left="520" w:right="300"/>
        <w:spacing w:after="0" w:line="273" w:lineRule="auto"/>
        <w:rPr>
          <w:sz w:val="20"/>
          <w:szCs w:val="20"/>
          <w:color w:val="auto"/>
        </w:rPr>
      </w:pPr>
      <w:r>
        <w:rPr>
          <w:rFonts w:ascii="Arial" w:cs="Arial" w:eastAsia="Arial" w:hAnsi="Arial"/>
          <w:sz w:val="25"/>
          <w:szCs w:val="25"/>
          <w:b w:val="1"/>
          <w:bCs w:val="1"/>
          <w:color w:val="D61C5A"/>
        </w:rPr>
        <w:t>SHAREHOLDER INPUT AND OUTREACH</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600"/>
        <w:spacing w:after="0" w:line="223" w:lineRule="auto"/>
        <w:rPr>
          <w:sz w:val="20"/>
          <w:szCs w:val="20"/>
          <w:color w:val="auto"/>
        </w:rPr>
      </w:pPr>
      <w:r>
        <w:rPr>
          <w:rFonts w:ascii="Arial" w:cs="Arial" w:eastAsia="Arial" w:hAnsi="Arial"/>
          <w:sz w:val="15"/>
          <w:szCs w:val="15"/>
          <w:color w:val="auto"/>
        </w:rPr>
        <w:t>We believe in casting a broad net for information. We place particular importance on reaching out to our shareholders for ideas, input, and honest feedback. We do this formally through our triennial say-on-pay votes, and informally through regular investor relations channels, governance engagements, meetings with stakeholders focused on environmental and social issues, and informal exchanges in other settings.</w:t>
      </w:r>
    </w:p>
    <w:p>
      <w:pPr>
        <w:spacing w:after="0" w:line="120" w:lineRule="exact"/>
        <w:rPr>
          <w:sz w:val="20"/>
          <w:szCs w:val="20"/>
          <w:color w:val="auto"/>
        </w:rPr>
      </w:pPr>
    </w:p>
    <w:p>
      <w:pPr>
        <w:ind w:right="560"/>
        <w:spacing w:after="0" w:line="238" w:lineRule="auto"/>
        <w:rPr>
          <w:sz w:val="20"/>
          <w:szCs w:val="20"/>
          <w:color w:val="auto"/>
        </w:rPr>
      </w:pPr>
      <w:r>
        <w:rPr>
          <w:rFonts w:ascii="Arial" w:cs="Arial" w:eastAsia="Arial" w:hAnsi="Arial"/>
          <w:sz w:val="14"/>
          <w:szCs w:val="14"/>
          <w:b w:val="1"/>
          <w:bCs w:val="1"/>
          <w:color w:val="D61C5A"/>
        </w:rPr>
        <w:t xml:space="preserve">Say-on-pay vote. </w:t>
      </w:r>
      <w:r>
        <w:rPr>
          <w:rFonts w:ascii="Arial" w:cs="Arial" w:eastAsia="Arial" w:hAnsi="Arial"/>
          <w:sz w:val="14"/>
          <w:szCs w:val="14"/>
          <w:color w:val="000000"/>
        </w:rPr>
        <w:t>Our shareholders are provided with an opportunity to cast a non-binding, advisory vote every</w:t>
      </w:r>
      <w:r>
        <w:rPr>
          <w:rFonts w:ascii="Arial" w:cs="Arial" w:eastAsia="Arial" w:hAnsi="Arial"/>
          <w:sz w:val="14"/>
          <w:szCs w:val="14"/>
          <w:b w:val="1"/>
          <w:bCs w:val="1"/>
          <w:color w:val="D61C5A"/>
        </w:rPr>
        <w:t xml:space="preserve"> </w:t>
      </w:r>
      <w:r>
        <w:rPr>
          <w:rFonts w:ascii="Arial" w:cs="Arial" w:eastAsia="Arial" w:hAnsi="Arial"/>
          <w:sz w:val="14"/>
          <w:szCs w:val="14"/>
          <w:color w:val="000000"/>
        </w:rPr>
        <w:t>three years on our executive compensation program. Our most recent advisory say-on-pay vote was held at our 2017 annual shareholder meeting, at which this advisory proposal was approved by 67% of the votes cast. As has been the case with previous say-on-pay votes, management and the Compensation Committee carefully considered the results of this say-on-pay vote and subsequently solicited further feedback from our key shareholders on compensation and governance matters. In the last several years, following our two most recent advisory say-on-pay votes, we implemented several changes to our executive compensation program and continued the implementation of our existing compensation and governance initiatives. These and other recent changes are summarized in the table below following the description of our shareholder outreach.</w:t>
      </w:r>
    </w:p>
    <w:p>
      <w:pPr>
        <w:spacing w:after="0" w:line="122" w:lineRule="exact"/>
        <w:rPr>
          <w:sz w:val="20"/>
          <w:szCs w:val="20"/>
          <w:color w:val="auto"/>
        </w:rPr>
      </w:pPr>
    </w:p>
    <w:p>
      <w:pPr>
        <w:ind w:right="580"/>
        <w:spacing w:after="0" w:line="226" w:lineRule="auto"/>
        <w:rPr>
          <w:sz w:val="20"/>
          <w:szCs w:val="20"/>
          <w:color w:val="auto"/>
        </w:rPr>
      </w:pPr>
      <w:r>
        <w:rPr>
          <w:rFonts w:ascii="Arial" w:cs="Arial" w:eastAsia="Arial" w:hAnsi="Arial"/>
          <w:sz w:val="15"/>
          <w:szCs w:val="15"/>
          <w:b w:val="1"/>
          <w:bCs w:val="1"/>
          <w:color w:val="D61C5A"/>
        </w:rPr>
        <w:t xml:space="preserve">Shareholder outreach. </w:t>
      </w:r>
      <w:r>
        <w:rPr>
          <w:rFonts w:ascii="Arial" w:cs="Arial" w:eastAsia="Arial" w:hAnsi="Arial"/>
          <w:sz w:val="15"/>
          <w:szCs w:val="15"/>
          <w:color w:val="000000"/>
        </w:rPr>
        <w:t>In addition to the more formal input of the say-on-pay vote discussed above, we maintain</w:t>
      </w:r>
      <w:r>
        <w:rPr>
          <w:rFonts w:ascii="Arial" w:cs="Arial" w:eastAsia="Arial" w:hAnsi="Arial"/>
          <w:sz w:val="15"/>
          <w:szCs w:val="15"/>
          <w:b w:val="1"/>
          <w:bCs w:val="1"/>
          <w:color w:val="D61C5A"/>
        </w:rPr>
        <w:t xml:space="preserve"> </w:t>
      </w:r>
      <w:r>
        <w:rPr>
          <w:rFonts w:ascii="Arial" w:cs="Arial" w:eastAsia="Arial" w:hAnsi="Arial"/>
          <w:sz w:val="15"/>
          <w:szCs w:val="15"/>
          <w:color w:val="000000"/>
        </w:rPr>
        <w:t>an ongoing shareholder outreach program (both in connection with our annual shareholder meetings and in the “off-season”) through which we seek input from shareholders and environmental, social, and governance (“ESG”)-focused groups regarding our executive compensation and other governance practices, and implement appropriate changes based on this input.</w:t>
      </w:r>
    </w:p>
    <w:p>
      <w:pPr>
        <w:spacing w:after="0" w:line="141" w:lineRule="exact"/>
        <w:rPr>
          <w:sz w:val="20"/>
          <w:szCs w:val="20"/>
          <w:color w:val="auto"/>
        </w:rPr>
      </w:pPr>
    </w:p>
    <w:p>
      <w:pPr>
        <w:ind w:right="680"/>
        <w:spacing w:after="0" w:line="236" w:lineRule="auto"/>
        <w:rPr>
          <w:sz w:val="20"/>
          <w:szCs w:val="20"/>
          <w:color w:val="auto"/>
        </w:rPr>
      </w:pPr>
      <w:r>
        <w:rPr>
          <w:rFonts w:ascii="Arial" w:cs="Arial" w:eastAsia="Arial" w:hAnsi="Arial"/>
          <w:sz w:val="14"/>
          <w:szCs w:val="14"/>
          <w:color w:val="auto"/>
        </w:rPr>
        <w:t>In 2018, we engaged in direct one-on-one discussions with shareholders collectively representing almost 50% of the shares of common stock outstanding as of December 31, 2018 (excluding shares held by our directors and executive officers and Sanofi). Our 2018 outreach discussions focused on, among other matters, human capital management, and we built on an active outreach program in prior years. Depending on the topic, shareholder feedback is relayed for consideration to the appropriate committee of the board of directors (typically the Compensation Committee or the Corporate Governance and Compliance Committee), the full board, or both.</w:t>
      </w:r>
    </w:p>
    <w:p>
      <w:pPr>
        <w:spacing w:after="0" w:line="141" w:lineRule="exact"/>
        <w:rPr>
          <w:sz w:val="20"/>
          <w:szCs w:val="20"/>
          <w:color w:val="auto"/>
        </w:rPr>
      </w:pPr>
    </w:p>
    <w:p>
      <w:pPr>
        <w:ind w:right="740"/>
        <w:spacing w:after="0" w:line="229" w:lineRule="auto"/>
        <w:rPr>
          <w:sz w:val="20"/>
          <w:szCs w:val="20"/>
          <w:color w:val="auto"/>
        </w:rPr>
      </w:pPr>
      <w:r>
        <w:rPr>
          <w:rFonts w:ascii="Arial" w:cs="Arial" w:eastAsia="Arial" w:hAnsi="Arial"/>
          <w:sz w:val="15"/>
          <w:szCs w:val="15"/>
          <w:color w:val="auto"/>
        </w:rPr>
        <w:t>Changes we have adopted in recent years in response to shareholder feedback, which we believe demonstrate our continued commitment to good governance, include the following.</w:t>
      </w:r>
    </w:p>
    <w:p>
      <w:pPr>
        <w:spacing w:after="0" w:line="168" w:lineRule="exact"/>
        <w:rPr>
          <w:sz w:val="20"/>
          <w:szCs w:val="20"/>
          <w:color w:val="auto"/>
        </w:rPr>
      </w:pPr>
    </w:p>
    <w:p>
      <w:pPr>
        <w:sectPr>
          <w:pgSz w:w="11900" w:h="16838" w:orient="portrait"/>
          <w:cols w:equalWidth="0" w:num="2">
            <w:col w:w="2820" w:space="72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71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D61C5A"/>
        </w:rPr>
        <w:t>Recent Changes Adopted Based on Shareholder Feedback</w:t>
      </w:r>
    </w:p>
    <w:p>
      <w:pPr>
        <w:spacing w:after="0" w:line="219" w:lineRule="exact"/>
        <w:rPr>
          <w:sz w:val="20"/>
          <w:szCs w:val="20"/>
          <w:color w:val="auto"/>
        </w:rPr>
      </w:pPr>
    </w:p>
    <w:tbl>
      <w:tblPr>
        <w:tblLayout w:type="fixed"/>
        <w:tblInd w:w="3020" w:type="dxa"/>
        <w:tblCellMar>
          <w:top w:w="0" w:type="dxa"/>
          <w:left w:w="0" w:type="dxa"/>
          <w:bottom w:w="0" w:type="dxa"/>
          <w:right w:w="0" w:type="dxa"/>
        </w:tblCellMar>
      </w:tblPr>
      <w:tr>
        <w:trPr>
          <w:trHeight w:val="188"/>
        </w:trPr>
        <w:tc>
          <w:tcPr>
            <w:tcW w:w="1860" w:type="dxa"/>
            <w:vAlign w:val="bottom"/>
          </w:tcPr>
          <w:p>
            <w:pPr>
              <w:ind w:left="40"/>
              <w:spacing w:after="0"/>
              <w:rPr>
                <w:sz w:val="20"/>
                <w:szCs w:val="20"/>
                <w:color w:val="auto"/>
              </w:rPr>
            </w:pPr>
            <w:r>
              <w:rPr>
                <w:rFonts w:ascii="Arial" w:cs="Arial" w:eastAsia="Arial" w:hAnsi="Arial"/>
                <w:sz w:val="11"/>
                <w:szCs w:val="11"/>
                <w:b w:val="1"/>
                <w:bCs w:val="1"/>
                <w:color w:val="205BA8"/>
              </w:rPr>
              <w:t>What We Heard</w:t>
            </w:r>
          </w:p>
        </w:tc>
        <w:tc>
          <w:tcPr>
            <w:tcW w:w="3820" w:type="dxa"/>
            <w:vAlign w:val="bottom"/>
            <w:shd w:val="clear" w:color="auto" w:fill="205BA8"/>
          </w:tcPr>
          <w:p>
            <w:pPr>
              <w:ind w:left="40"/>
              <w:spacing w:after="0"/>
              <w:rPr>
                <w:sz w:val="20"/>
                <w:szCs w:val="20"/>
                <w:color w:val="auto"/>
              </w:rPr>
            </w:pPr>
            <w:r>
              <w:rPr>
                <w:rFonts w:ascii="Arial" w:cs="Arial" w:eastAsia="Arial" w:hAnsi="Arial"/>
                <w:sz w:val="11"/>
                <w:szCs w:val="11"/>
                <w:b w:val="1"/>
                <w:bCs w:val="1"/>
                <w:color w:val="FFFFFF"/>
              </w:rPr>
              <w:t>What We Did</w:t>
            </w:r>
          </w:p>
        </w:tc>
        <w:tc>
          <w:tcPr>
            <w:tcW w:w="1700" w:type="dxa"/>
            <w:vAlign w:val="bottom"/>
          </w:tcPr>
          <w:p>
            <w:pPr>
              <w:ind w:left="140"/>
              <w:spacing w:after="0"/>
              <w:rPr>
                <w:sz w:val="20"/>
                <w:szCs w:val="20"/>
                <w:color w:val="auto"/>
              </w:rPr>
            </w:pPr>
            <w:r>
              <w:rPr>
                <w:rFonts w:ascii="Arial" w:cs="Arial" w:eastAsia="Arial" w:hAnsi="Arial"/>
                <w:sz w:val="11"/>
                <w:szCs w:val="11"/>
                <w:b w:val="1"/>
                <w:bCs w:val="1"/>
                <w:color w:val="205BA8"/>
              </w:rPr>
              <w:t>When We Did It</w:t>
            </w:r>
          </w:p>
        </w:tc>
      </w:tr>
      <w:tr>
        <w:trPr>
          <w:trHeight w:val="52"/>
        </w:trPr>
        <w:tc>
          <w:tcPr>
            <w:tcW w:w="1860" w:type="dxa"/>
            <w:vAlign w:val="bottom"/>
            <w:tcBorders>
              <w:bottom w:val="single" w:sz="8" w:color="205BA8"/>
            </w:tcBorders>
          </w:tcPr>
          <w:p>
            <w:pPr>
              <w:spacing w:after="0"/>
              <w:rPr>
                <w:sz w:val="4"/>
                <w:szCs w:val="4"/>
                <w:color w:val="auto"/>
              </w:rPr>
            </w:pPr>
          </w:p>
        </w:tc>
        <w:tc>
          <w:tcPr>
            <w:tcW w:w="3820" w:type="dxa"/>
            <w:vAlign w:val="bottom"/>
            <w:tcBorders>
              <w:bottom w:val="single" w:sz="8" w:color="205BA8"/>
            </w:tcBorders>
            <w:shd w:val="clear" w:color="auto" w:fill="205BA8"/>
          </w:tcPr>
          <w:p>
            <w:pPr>
              <w:spacing w:after="0"/>
              <w:rPr>
                <w:sz w:val="4"/>
                <w:szCs w:val="4"/>
                <w:color w:val="auto"/>
              </w:rPr>
            </w:pPr>
          </w:p>
        </w:tc>
        <w:tc>
          <w:tcPr>
            <w:tcW w:w="1700" w:type="dxa"/>
            <w:vAlign w:val="bottom"/>
            <w:tcBorders>
              <w:bottom w:val="single" w:sz="8" w:color="205BA8"/>
            </w:tcBorders>
          </w:tcPr>
          <w:p>
            <w:pPr>
              <w:spacing w:after="0"/>
              <w:rPr>
                <w:sz w:val="4"/>
                <w:szCs w:val="4"/>
                <w:color w:val="auto"/>
              </w:rPr>
            </w:pPr>
          </w:p>
        </w:tc>
      </w:tr>
      <w:tr>
        <w:trPr>
          <w:trHeight w:val="208"/>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Concern about size of NEO</w:t>
            </w: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rPr>
              <w:t>Implemented six consecutive reductions in the number of shares</w:t>
            </w:r>
          </w:p>
        </w:tc>
        <w:tc>
          <w:tcPr>
            <w:tcW w:w="1700" w:type="dxa"/>
            <w:vAlign w:val="bottom"/>
          </w:tcPr>
          <w:p>
            <w:pPr>
              <w:ind w:left="140"/>
              <w:spacing w:after="0"/>
              <w:rPr>
                <w:sz w:val="20"/>
                <w:szCs w:val="20"/>
                <w:color w:val="auto"/>
              </w:rPr>
            </w:pPr>
            <w:r>
              <w:rPr>
                <w:rFonts w:ascii="Arial" w:cs="Arial" w:eastAsia="Arial" w:hAnsi="Arial"/>
                <w:sz w:val="13"/>
                <w:szCs w:val="13"/>
                <w:color w:val="auto"/>
              </w:rPr>
              <w:t>December 2013, 2014,</w:t>
            </w:r>
          </w:p>
        </w:tc>
      </w:tr>
      <w:tr>
        <w:trPr>
          <w:trHeight w:val="159"/>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equity awards</w:t>
            </w: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rPr>
              <w:t>underlying the annual stock option awards to most of our NEOs</w:t>
            </w:r>
          </w:p>
        </w:tc>
        <w:tc>
          <w:tcPr>
            <w:tcW w:w="1700" w:type="dxa"/>
            <w:vAlign w:val="bottom"/>
          </w:tcPr>
          <w:p>
            <w:pPr>
              <w:ind w:left="140"/>
              <w:spacing w:after="0"/>
              <w:rPr>
                <w:sz w:val="20"/>
                <w:szCs w:val="20"/>
                <w:color w:val="auto"/>
              </w:rPr>
            </w:pPr>
            <w:r>
              <w:rPr>
                <w:rFonts w:ascii="Arial" w:cs="Arial" w:eastAsia="Arial" w:hAnsi="Arial"/>
                <w:sz w:val="13"/>
                <w:szCs w:val="13"/>
                <w:color w:val="auto"/>
              </w:rPr>
              <w:t>2015, 2016, 2017, and</w:t>
            </w:r>
          </w:p>
        </w:tc>
      </w:tr>
      <w:tr>
        <w:trPr>
          <w:trHeight w:val="150"/>
        </w:trPr>
        <w:tc>
          <w:tcPr>
            <w:tcW w:w="1860" w:type="dxa"/>
            <w:vAlign w:val="bottom"/>
          </w:tcPr>
          <w:p>
            <w:pPr>
              <w:spacing w:after="0"/>
              <w:rPr>
                <w:sz w:val="13"/>
                <w:szCs w:val="13"/>
                <w:color w:val="auto"/>
              </w:rPr>
            </w:pPr>
          </w:p>
        </w:tc>
        <w:tc>
          <w:tcPr>
            <w:tcW w:w="3820" w:type="dxa"/>
            <w:vAlign w:val="bottom"/>
            <w:shd w:val="clear" w:color="auto" w:fill="EDF4FE"/>
          </w:tcPr>
          <w:p>
            <w:pPr>
              <w:spacing w:after="0"/>
              <w:rPr>
                <w:sz w:val="13"/>
                <w:szCs w:val="13"/>
                <w:color w:val="auto"/>
              </w:rPr>
            </w:pPr>
          </w:p>
        </w:tc>
        <w:tc>
          <w:tcPr>
            <w:tcW w:w="1700" w:type="dxa"/>
            <w:vAlign w:val="bottom"/>
          </w:tcPr>
          <w:p>
            <w:pPr>
              <w:ind w:left="140"/>
              <w:spacing w:after="0"/>
              <w:rPr>
                <w:sz w:val="20"/>
                <w:szCs w:val="20"/>
                <w:color w:val="auto"/>
              </w:rPr>
            </w:pPr>
            <w:r>
              <w:rPr>
                <w:rFonts w:ascii="Arial" w:cs="Arial" w:eastAsia="Arial" w:hAnsi="Arial"/>
                <w:sz w:val="13"/>
                <w:szCs w:val="13"/>
                <w:color w:val="auto"/>
              </w:rPr>
              <w:t>2018</w:t>
            </w:r>
          </w:p>
        </w:tc>
      </w:tr>
      <w:tr>
        <w:trPr>
          <w:trHeight w:val="68"/>
        </w:trPr>
        <w:tc>
          <w:tcPr>
            <w:tcW w:w="1860" w:type="dxa"/>
            <w:vAlign w:val="bottom"/>
            <w:tcBorders>
              <w:bottom w:val="single" w:sz="8" w:color="58585A"/>
            </w:tcBorders>
          </w:tcPr>
          <w:p>
            <w:pPr>
              <w:spacing w:after="0"/>
              <w:rPr>
                <w:sz w:val="5"/>
                <w:szCs w:val="5"/>
                <w:color w:val="auto"/>
              </w:rPr>
            </w:pPr>
          </w:p>
        </w:tc>
        <w:tc>
          <w:tcPr>
            <w:tcW w:w="3820" w:type="dxa"/>
            <w:vAlign w:val="bottom"/>
            <w:tcBorders>
              <w:bottom w:val="single" w:sz="8" w:color="58585A"/>
            </w:tcBorders>
            <w:shd w:val="clear" w:color="auto" w:fill="EDF4FE"/>
          </w:tcPr>
          <w:p>
            <w:pPr>
              <w:spacing w:after="0"/>
              <w:rPr>
                <w:sz w:val="5"/>
                <w:szCs w:val="5"/>
                <w:color w:val="auto"/>
              </w:rPr>
            </w:pPr>
          </w:p>
        </w:tc>
        <w:tc>
          <w:tcPr>
            <w:tcW w:w="1700" w:type="dxa"/>
            <w:vAlign w:val="bottom"/>
            <w:tcBorders>
              <w:bottom w:val="single" w:sz="8" w:color="58585A"/>
            </w:tcBorders>
          </w:tcPr>
          <w:p>
            <w:pPr>
              <w:spacing w:after="0"/>
              <w:rPr>
                <w:sz w:val="5"/>
                <w:szCs w:val="5"/>
                <w:color w:val="auto"/>
              </w:rPr>
            </w:pPr>
          </w:p>
        </w:tc>
      </w:tr>
      <w:tr>
        <w:trPr>
          <w:trHeight w:val="217"/>
        </w:trPr>
        <w:tc>
          <w:tcPr>
            <w:tcW w:w="1860" w:type="dxa"/>
            <w:vAlign w:val="bottom"/>
            <w:shd w:val="clear" w:color="auto" w:fill="E7E7E8"/>
          </w:tcPr>
          <w:p>
            <w:pPr>
              <w:ind w:left="40"/>
              <w:spacing w:after="0"/>
              <w:rPr>
                <w:sz w:val="20"/>
                <w:szCs w:val="20"/>
                <w:color w:val="auto"/>
              </w:rPr>
            </w:pPr>
            <w:r>
              <w:rPr>
                <w:rFonts w:ascii="Arial" w:cs="Arial" w:eastAsia="Arial" w:hAnsi="Arial"/>
                <w:sz w:val="13"/>
                <w:szCs w:val="13"/>
                <w:b w:val="1"/>
                <w:bCs w:val="1"/>
                <w:color w:val="auto"/>
              </w:rPr>
              <w:t>Concern about burn rate</w:t>
            </w:r>
          </w:p>
        </w:tc>
        <w:tc>
          <w:tcPr>
            <w:tcW w:w="3820" w:type="dxa"/>
            <w:vAlign w:val="bottom"/>
            <w:shd w:val="clear" w:color="auto" w:fill="D6DBED"/>
          </w:tcPr>
          <w:p>
            <w:pPr>
              <w:ind w:left="40"/>
              <w:spacing w:after="0"/>
              <w:rPr>
                <w:sz w:val="20"/>
                <w:szCs w:val="20"/>
                <w:color w:val="auto"/>
              </w:rPr>
            </w:pPr>
            <w:r>
              <w:rPr>
                <w:rFonts w:ascii="Arial" w:cs="Arial" w:eastAsia="Arial" w:hAnsi="Arial"/>
                <w:sz w:val="13"/>
                <w:szCs w:val="13"/>
                <w:color w:val="auto"/>
                <w:w w:val="98"/>
              </w:rPr>
              <w:t>Implemented across-the-board reductions in the number of shares</w:t>
            </w:r>
          </w:p>
        </w:tc>
        <w:tc>
          <w:tcPr>
            <w:tcW w:w="1700" w:type="dxa"/>
            <w:vAlign w:val="bottom"/>
            <w:shd w:val="clear" w:color="auto" w:fill="E7E7E8"/>
          </w:tcPr>
          <w:p>
            <w:pPr>
              <w:ind w:left="140"/>
              <w:spacing w:after="0"/>
              <w:rPr>
                <w:sz w:val="20"/>
                <w:szCs w:val="20"/>
                <w:color w:val="auto"/>
              </w:rPr>
            </w:pPr>
            <w:r>
              <w:rPr>
                <w:rFonts w:ascii="Arial" w:cs="Arial" w:eastAsia="Arial" w:hAnsi="Arial"/>
                <w:sz w:val="13"/>
                <w:szCs w:val="13"/>
                <w:color w:val="auto"/>
              </w:rPr>
              <w:t>December 2013, 2014,</w:t>
            </w:r>
          </w:p>
        </w:tc>
      </w:tr>
      <w:tr>
        <w:trPr>
          <w:trHeight w:val="143"/>
        </w:trPr>
        <w:tc>
          <w:tcPr>
            <w:tcW w:w="1860" w:type="dxa"/>
            <w:vAlign w:val="bottom"/>
            <w:shd w:val="clear" w:color="auto" w:fill="E7E7E8"/>
          </w:tcPr>
          <w:p>
            <w:pPr>
              <w:spacing w:after="0"/>
              <w:rPr>
                <w:sz w:val="12"/>
                <w:szCs w:val="12"/>
                <w:color w:val="auto"/>
              </w:rPr>
            </w:pPr>
          </w:p>
        </w:tc>
        <w:tc>
          <w:tcPr>
            <w:tcW w:w="3820" w:type="dxa"/>
            <w:vAlign w:val="bottom"/>
            <w:shd w:val="clear" w:color="auto" w:fill="D6DBED"/>
          </w:tcPr>
          <w:p>
            <w:pPr>
              <w:ind w:left="40"/>
              <w:spacing w:after="0" w:line="143" w:lineRule="exact"/>
              <w:rPr>
                <w:sz w:val="20"/>
                <w:szCs w:val="20"/>
                <w:color w:val="auto"/>
              </w:rPr>
            </w:pPr>
            <w:r>
              <w:rPr>
                <w:rFonts w:ascii="Arial" w:cs="Arial" w:eastAsia="Arial" w:hAnsi="Arial"/>
                <w:sz w:val="13"/>
                <w:szCs w:val="13"/>
                <w:color w:val="auto"/>
                <w:w w:val="99"/>
              </w:rPr>
              <w:t>underlying employee annual stock option awards as noted above;</w:t>
            </w:r>
          </w:p>
        </w:tc>
        <w:tc>
          <w:tcPr>
            <w:tcW w:w="1700" w:type="dxa"/>
            <w:vAlign w:val="bottom"/>
            <w:shd w:val="clear" w:color="auto" w:fill="E7E7E8"/>
          </w:tcPr>
          <w:p>
            <w:pPr>
              <w:ind w:left="140"/>
              <w:spacing w:after="0" w:line="143" w:lineRule="exact"/>
              <w:rPr>
                <w:sz w:val="20"/>
                <w:szCs w:val="20"/>
                <w:color w:val="auto"/>
              </w:rPr>
            </w:pPr>
            <w:r>
              <w:rPr>
                <w:rFonts w:ascii="Arial" w:cs="Arial" w:eastAsia="Arial" w:hAnsi="Arial"/>
                <w:sz w:val="13"/>
                <w:szCs w:val="13"/>
                <w:color w:val="auto"/>
              </w:rPr>
              <w:t>2015, 2016, 2017, and</w:t>
            </w:r>
          </w:p>
        </w:tc>
      </w:tr>
      <w:tr>
        <w:trPr>
          <w:trHeight w:val="143"/>
        </w:trPr>
        <w:tc>
          <w:tcPr>
            <w:tcW w:w="1860" w:type="dxa"/>
            <w:vAlign w:val="bottom"/>
            <w:shd w:val="clear" w:color="auto" w:fill="E7E7E8"/>
          </w:tcPr>
          <w:p>
            <w:pPr>
              <w:spacing w:after="0"/>
              <w:rPr>
                <w:sz w:val="12"/>
                <w:szCs w:val="12"/>
                <w:color w:val="auto"/>
              </w:rPr>
            </w:pPr>
          </w:p>
        </w:tc>
        <w:tc>
          <w:tcPr>
            <w:tcW w:w="3820" w:type="dxa"/>
            <w:vAlign w:val="bottom"/>
            <w:shd w:val="clear" w:color="auto" w:fill="D6DBED"/>
          </w:tcPr>
          <w:p>
            <w:pPr>
              <w:ind w:left="40"/>
              <w:spacing w:after="0" w:line="143" w:lineRule="exact"/>
              <w:rPr>
                <w:sz w:val="20"/>
                <w:szCs w:val="20"/>
                <w:color w:val="auto"/>
              </w:rPr>
            </w:pPr>
            <w:r>
              <w:rPr>
                <w:rFonts w:ascii="Arial" w:cs="Arial" w:eastAsia="Arial" w:hAnsi="Arial"/>
                <w:sz w:val="13"/>
                <w:szCs w:val="13"/>
                <w:color w:val="auto"/>
              </w:rPr>
              <w:t>maintained relatively stable burn rate despite a 279% increase in</w:t>
            </w:r>
          </w:p>
        </w:tc>
        <w:tc>
          <w:tcPr>
            <w:tcW w:w="1700" w:type="dxa"/>
            <w:vAlign w:val="bottom"/>
            <w:shd w:val="clear" w:color="auto" w:fill="E7E7E8"/>
          </w:tcPr>
          <w:p>
            <w:pPr>
              <w:ind w:left="140"/>
              <w:spacing w:after="0" w:line="143" w:lineRule="exact"/>
              <w:rPr>
                <w:sz w:val="20"/>
                <w:szCs w:val="20"/>
                <w:color w:val="auto"/>
              </w:rPr>
            </w:pPr>
            <w:r>
              <w:rPr>
                <w:rFonts w:ascii="Arial" w:cs="Arial" w:eastAsia="Arial" w:hAnsi="Arial"/>
                <w:sz w:val="13"/>
                <w:szCs w:val="13"/>
                <w:color w:val="auto"/>
              </w:rPr>
              <w:t>2018</w:t>
            </w:r>
          </w:p>
        </w:tc>
      </w:tr>
      <w:tr>
        <w:trPr>
          <w:trHeight w:val="150"/>
        </w:trPr>
        <w:tc>
          <w:tcPr>
            <w:tcW w:w="1860" w:type="dxa"/>
            <w:vAlign w:val="bottom"/>
            <w:shd w:val="clear" w:color="auto" w:fill="E7E7E8"/>
          </w:tcPr>
          <w:p>
            <w:pPr>
              <w:spacing w:after="0"/>
              <w:rPr>
                <w:sz w:val="13"/>
                <w:szCs w:val="13"/>
                <w:color w:val="auto"/>
              </w:rPr>
            </w:pPr>
          </w:p>
        </w:tc>
        <w:tc>
          <w:tcPr>
            <w:tcW w:w="3820" w:type="dxa"/>
            <w:vAlign w:val="bottom"/>
            <w:shd w:val="clear" w:color="auto" w:fill="D6DBED"/>
          </w:tcPr>
          <w:p>
            <w:pPr>
              <w:ind w:left="40"/>
              <w:spacing w:after="0"/>
              <w:rPr>
                <w:sz w:val="20"/>
                <w:szCs w:val="20"/>
                <w:color w:val="auto"/>
              </w:rPr>
            </w:pPr>
            <w:r>
              <w:rPr>
                <w:rFonts w:ascii="Arial" w:cs="Arial" w:eastAsia="Arial" w:hAnsi="Arial"/>
                <w:sz w:val="13"/>
                <w:szCs w:val="13"/>
                <w:color w:val="auto"/>
              </w:rPr>
              <w:t>the number of employees from 2012 to 2018</w:t>
            </w:r>
          </w:p>
        </w:tc>
        <w:tc>
          <w:tcPr>
            <w:tcW w:w="1700" w:type="dxa"/>
            <w:vAlign w:val="bottom"/>
            <w:shd w:val="clear" w:color="auto" w:fill="E7E7E8"/>
          </w:tcPr>
          <w:p>
            <w:pPr>
              <w:spacing w:after="0"/>
              <w:rPr>
                <w:sz w:val="13"/>
                <w:szCs w:val="13"/>
                <w:color w:val="auto"/>
              </w:rPr>
            </w:pPr>
          </w:p>
        </w:tc>
      </w:tr>
      <w:tr>
        <w:trPr>
          <w:trHeight w:val="68"/>
        </w:trPr>
        <w:tc>
          <w:tcPr>
            <w:tcW w:w="1860" w:type="dxa"/>
            <w:vAlign w:val="bottom"/>
            <w:tcBorders>
              <w:bottom w:val="single" w:sz="8" w:color="58585A"/>
            </w:tcBorders>
            <w:shd w:val="clear" w:color="auto" w:fill="E7E7E8"/>
          </w:tcPr>
          <w:p>
            <w:pPr>
              <w:spacing w:after="0"/>
              <w:rPr>
                <w:sz w:val="5"/>
                <w:szCs w:val="5"/>
                <w:color w:val="auto"/>
              </w:rPr>
            </w:pPr>
          </w:p>
        </w:tc>
        <w:tc>
          <w:tcPr>
            <w:tcW w:w="3820" w:type="dxa"/>
            <w:vAlign w:val="bottom"/>
            <w:tcBorders>
              <w:bottom w:val="single" w:sz="8" w:color="58585A"/>
            </w:tcBorders>
            <w:shd w:val="clear" w:color="auto" w:fill="D6DBED"/>
          </w:tcPr>
          <w:p>
            <w:pPr>
              <w:spacing w:after="0"/>
              <w:rPr>
                <w:sz w:val="5"/>
                <w:szCs w:val="5"/>
                <w:color w:val="auto"/>
              </w:rPr>
            </w:pPr>
          </w:p>
        </w:tc>
        <w:tc>
          <w:tcPr>
            <w:tcW w:w="1700" w:type="dxa"/>
            <w:vAlign w:val="bottom"/>
            <w:tcBorders>
              <w:bottom w:val="single" w:sz="8" w:color="58585A"/>
            </w:tcBorders>
            <w:shd w:val="clear" w:color="auto" w:fill="E7E7E8"/>
          </w:tcPr>
          <w:p>
            <w:pPr>
              <w:spacing w:after="0"/>
              <w:rPr>
                <w:sz w:val="5"/>
                <w:szCs w:val="5"/>
                <w:color w:val="auto"/>
              </w:rPr>
            </w:pPr>
          </w:p>
        </w:tc>
      </w:tr>
      <w:tr>
        <w:trPr>
          <w:trHeight w:val="201"/>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Preference for using</w:t>
            </w: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rPr>
              <w:t>Adopted majority voting standard in the election of directors and</w:t>
            </w:r>
          </w:p>
        </w:tc>
        <w:tc>
          <w:tcPr>
            <w:tcW w:w="1700" w:type="dxa"/>
            <w:vAlign w:val="bottom"/>
          </w:tcPr>
          <w:p>
            <w:pPr>
              <w:ind w:left="140"/>
              <w:spacing w:after="0"/>
              <w:rPr>
                <w:sz w:val="20"/>
                <w:szCs w:val="20"/>
                <w:color w:val="auto"/>
              </w:rPr>
            </w:pPr>
            <w:r>
              <w:rPr>
                <w:rFonts w:ascii="Arial" w:cs="Arial" w:eastAsia="Arial" w:hAnsi="Arial"/>
                <w:sz w:val="13"/>
                <w:szCs w:val="13"/>
                <w:color w:val="auto"/>
              </w:rPr>
              <w:t>January 2014 (director</w:t>
            </w: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majority voting in the</w:t>
            </w:r>
          </w:p>
        </w:tc>
        <w:tc>
          <w:tcPr>
            <w:tcW w:w="3820" w:type="dxa"/>
            <w:vAlign w:val="bottom"/>
            <w:shd w:val="clear" w:color="auto" w:fill="EDF4FE"/>
          </w:tcPr>
          <w:p>
            <w:pPr>
              <w:ind w:left="40"/>
              <w:spacing w:after="0" w:line="143" w:lineRule="exact"/>
              <w:rPr>
                <w:sz w:val="20"/>
                <w:szCs w:val="20"/>
                <w:color w:val="auto"/>
              </w:rPr>
            </w:pPr>
            <w:r>
              <w:rPr>
                <w:rFonts w:ascii="Arial" w:cs="Arial" w:eastAsia="Arial" w:hAnsi="Arial"/>
                <w:sz w:val="13"/>
                <w:szCs w:val="13"/>
                <w:color w:val="auto"/>
              </w:rPr>
              <w:t>director resignation policy</w:t>
            </w:r>
          </w:p>
        </w:tc>
        <w:tc>
          <w:tcPr>
            <w:tcW w:w="1700" w:type="dxa"/>
            <w:vAlign w:val="bottom"/>
          </w:tcPr>
          <w:p>
            <w:pPr>
              <w:ind w:left="140"/>
              <w:spacing w:after="0" w:line="143" w:lineRule="exact"/>
              <w:rPr>
                <w:sz w:val="20"/>
                <w:szCs w:val="20"/>
                <w:color w:val="auto"/>
              </w:rPr>
            </w:pPr>
            <w:r>
              <w:rPr>
                <w:rFonts w:ascii="Arial" w:cs="Arial" w:eastAsia="Arial" w:hAnsi="Arial"/>
                <w:sz w:val="13"/>
                <w:szCs w:val="13"/>
                <w:color w:val="auto"/>
              </w:rPr>
              <w:t>resignation policy) and</w:t>
            </w:r>
          </w:p>
        </w:tc>
      </w:tr>
      <w:tr>
        <w:trPr>
          <w:trHeight w:val="159"/>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election of directors</w:t>
            </w:r>
          </w:p>
        </w:tc>
        <w:tc>
          <w:tcPr>
            <w:tcW w:w="3820" w:type="dxa"/>
            <w:vAlign w:val="bottom"/>
            <w:shd w:val="clear" w:color="auto" w:fill="EDF4FE"/>
          </w:tcPr>
          <w:p>
            <w:pPr>
              <w:spacing w:after="0"/>
              <w:rPr>
                <w:sz w:val="13"/>
                <w:szCs w:val="13"/>
                <w:color w:val="auto"/>
              </w:rPr>
            </w:pPr>
          </w:p>
        </w:tc>
        <w:tc>
          <w:tcPr>
            <w:tcW w:w="1700" w:type="dxa"/>
            <w:vAlign w:val="bottom"/>
          </w:tcPr>
          <w:p>
            <w:pPr>
              <w:ind w:left="140"/>
              <w:spacing w:after="0"/>
              <w:rPr>
                <w:sz w:val="20"/>
                <w:szCs w:val="20"/>
                <w:color w:val="auto"/>
              </w:rPr>
            </w:pPr>
            <w:r>
              <w:rPr>
                <w:rFonts w:ascii="Arial" w:cs="Arial" w:eastAsia="Arial" w:hAnsi="Arial"/>
                <w:sz w:val="13"/>
                <w:szCs w:val="13"/>
                <w:color w:val="auto"/>
              </w:rPr>
              <w:t>January 2016 (majority</w:t>
            </w:r>
          </w:p>
        </w:tc>
      </w:tr>
      <w:tr>
        <w:trPr>
          <w:trHeight w:val="150"/>
        </w:trPr>
        <w:tc>
          <w:tcPr>
            <w:tcW w:w="1860" w:type="dxa"/>
            <w:vAlign w:val="bottom"/>
          </w:tcPr>
          <w:p>
            <w:pPr>
              <w:spacing w:after="0"/>
              <w:rPr>
                <w:sz w:val="13"/>
                <w:szCs w:val="13"/>
                <w:color w:val="auto"/>
              </w:rPr>
            </w:pPr>
          </w:p>
        </w:tc>
        <w:tc>
          <w:tcPr>
            <w:tcW w:w="3820" w:type="dxa"/>
            <w:vAlign w:val="bottom"/>
            <w:shd w:val="clear" w:color="auto" w:fill="EDF4FE"/>
          </w:tcPr>
          <w:p>
            <w:pPr>
              <w:spacing w:after="0"/>
              <w:rPr>
                <w:sz w:val="13"/>
                <w:szCs w:val="13"/>
                <w:color w:val="auto"/>
              </w:rPr>
            </w:pPr>
          </w:p>
        </w:tc>
        <w:tc>
          <w:tcPr>
            <w:tcW w:w="1700" w:type="dxa"/>
            <w:vAlign w:val="bottom"/>
          </w:tcPr>
          <w:p>
            <w:pPr>
              <w:ind w:left="140"/>
              <w:spacing w:after="0"/>
              <w:rPr>
                <w:sz w:val="20"/>
                <w:szCs w:val="20"/>
                <w:color w:val="auto"/>
              </w:rPr>
            </w:pPr>
            <w:r>
              <w:rPr>
                <w:rFonts w:ascii="Arial" w:cs="Arial" w:eastAsia="Arial" w:hAnsi="Arial"/>
                <w:sz w:val="13"/>
                <w:szCs w:val="13"/>
                <w:color w:val="auto"/>
              </w:rPr>
              <w:t>voting)</w:t>
            </w:r>
          </w:p>
        </w:tc>
      </w:tr>
      <w:tr>
        <w:trPr>
          <w:trHeight w:val="68"/>
        </w:trPr>
        <w:tc>
          <w:tcPr>
            <w:tcW w:w="1860" w:type="dxa"/>
            <w:vAlign w:val="bottom"/>
            <w:tcBorders>
              <w:bottom w:val="single" w:sz="8" w:color="58585A"/>
            </w:tcBorders>
          </w:tcPr>
          <w:p>
            <w:pPr>
              <w:spacing w:after="0"/>
              <w:rPr>
                <w:sz w:val="5"/>
                <w:szCs w:val="5"/>
                <w:color w:val="auto"/>
              </w:rPr>
            </w:pPr>
          </w:p>
        </w:tc>
        <w:tc>
          <w:tcPr>
            <w:tcW w:w="3820" w:type="dxa"/>
            <w:vAlign w:val="bottom"/>
            <w:tcBorders>
              <w:bottom w:val="single" w:sz="8" w:color="58585A"/>
            </w:tcBorders>
            <w:shd w:val="clear" w:color="auto" w:fill="EDF4FE"/>
          </w:tcPr>
          <w:p>
            <w:pPr>
              <w:spacing w:after="0"/>
              <w:rPr>
                <w:sz w:val="5"/>
                <w:szCs w:val="5"/>
                <w:color w:val="auto"/>
              </w:rPr>
            </w:pPr>
          </w:p>
        </w:tc>
        <w:tc>
          <w:tcPr>
            <w:tcW w:w="1700" w:type="dxa"/>
            <w:vAlign w:val="bottom"/>
            <w:tcBorders>
              <w:bottom w:val="single" w:sz="8" w:color="58585A"/>
            </w:tcBorders>
          </w:tcPr>
          <w:p>
            <w:pPr>
              <w:spacing w:after="0"/>
              <w:rPr>
                <w:sz w:val="5"/>
                <w:szCs w:val="5"/>
                <w:color w:val="auto"/>
              </w:rPr>
            </w:pPr>
          </w:p>
        </w:tc>
      </w:tr>
      <w:tr>
        <w:trPr>
          <w:trHeight w:val="201"/>
        </w:trPr>
        <w:tc>
          <w:tcPr>
            <w:tcW w:w="1860" w:type="dxa"/>
            <w:vAlign w:val="bottom"/>
            <w:shd w:val="clear" w:color="auto" w:fill="E7E7E8"/>
          </w:tcPr>
          <w:p>
            <w:pPr>
              <w:ind w:left="40"/>
              <w:spacing w:after="0"/>
              <w:rPr>
                <w:sz w:val="20"/>
                <w:szCs w:val="20"/>
                <w:color w:val="auto"/>
              </w:rPr>
            </w:pPr>
            <w:r>
              <w:rPr>
                <w:rFonts w:ascii="Arial" w:cs="Arial" w:eastAsia="Arial" w:hAnsi="Arial"/>
                <w:sz w:val="13"/>
                <w:szCs w:val="13"/>
                <w:b w:val="1"/>
                <w:bCs w:val="1"/>
                <w:color w:val="auto"/>
              </w:rPr>
              <w:t>Concern about executive</w:t>
            </w:r>
          </w:p>
        </w:tc>
        <w:tc>
          <w:tcPr>
            <w:tcW w:w="3820" w:type="dxa"/>
            <w:vAlign w:val="bottom"/>
            <w:shd w:val="clear" w:color="auto" w:fill="D6DBED"/>
          </w:tcPr>
          <w:p>
            <w:pPr>
              <w:ind w:left="40"/>
              <w:spacing w:after="0"/>
              <w:rPr>
                <w:sz w:val="20"/>
                <w:szCs w:val="20"/>
                <w:color w:val="auto"/>
              </w:rPr>
            </w:pPr>
            <w:r>
              <w:rPr>
                <w:rFonts w:ascii="Arial" w:cs="Arial" w:eastAsia="Arial" w:hAnsi="Arial"/>
                <w:sz w:val="13"/>
                <w:szCs w:val="13"/>
                <w:color w:val="auto"/>
              </w:rPr>
              <w:t>Eliminated certain CEO non-business perquisites, including a tax</w:t>
            </w:r>
          </w:p>
        </w:tc>
        <w:tc>
          <w:tcPr>
            <w:tcW w:w="1700" w:type="dxa"/>
            <w:vAlign w:val="bottom"/>
            <w:shd w:val="clear" w:color="auto" w:fill="E7E7E8"/>
          </w:tcPr>
          <w:p>
            <w:pPr>
              <w:ind w:left="140"/>
              <w:spacing w:after="0"/>
              <w:rPr>
                <w:sz w:val="20"/>
                <w:szCs w:val="20"/>
                <w:color w:val="auto"/>
              </w:rPr>
            </w:pPr>
            <w:r>
              <w:rPr>
                <w:rFonts w:ascii="Arial" w:cs="Arial" w:eastAsia="Arial" w:hAnsi="Arial"/>
                <w:sz w:val="13"/>
                <w:szCs w:val="13"/>
                <w:color w:val="auto"/>
              </w:rPr>
              <w:t>December 2014</w:t>
            </w:r>
          </w:p>
        </w:tc>
      </w:tr>
      <w:tr>
        <w:trPr>
          <w:trHeight w:val="159"/>
        </w:trPr>
        <w:tc>
          <w:tcPr>
            <w:tcW w:w="1860" w:type="dxa"/>
            <w:vAlign w:val="bottom"/>
            <w:shd w:val="clear" w:color="auto" w:fill="E7E7E8"/>
          </w:tcPr>
          <w:p>
            <w:pPr>
              <w:ind w:left="40"/>
              <w:spacing w:after="0"/>
              <w:rPr>
                <w:sz w:val="20"/>
                <w:szCs w:val="20"/>
                <w:color w:val="auto"/>
              </w:rPr>
            </w:pPr>
            <w:r>
              <w:rPr>
                <w:rFonts w:ascii="Arial" w:cs="Arial" w:eastAsia="Arial" w:hAnsi="Arial"/>
                <w:sz w:val="13"/>
                <w:szCs w:val="13"/>
                <w:b w:val="1"/>
                <w:bCs w:val="1"/>
                <w:color w:val="auto"/>
              </w:rPr>
              <w:t>perquisites</w:t>
            </w:r>
          </w:p>
        </w:tc>
        <w:tc>
          <w:tcPr>
            <w:tcW w:w="3820" w:type="dxa"/>
            <w:vAlign w:val="bottom"/>
            <w:shd w:val="clear" w:color="auto" w:fill="D6DBED"/>
          </w:tcPr>
          <w:p>
            <w:pPr>
              <w:ind w:left="40"/>
              <w:spacing w:after="0"/>
              <w:rPr>
                <w:sz w:val="20"/>
                <w:szCs w:val="20"/>
                <w:color w:val="auto"/>
              </w:rPr>
            </w:pPr>
            <w:r>
              <w:rPr>
                <w:rFonts w:ascii="Arial" w:cs="Arial" w:eastAsia="Arial" w:hAnsi="Arial"/>
                <w:sz w:val="13"/>
                <w:szCs w:val="13"/>
                <w:color w:val="auto"/>
              </w:rPr>
              <w:t>gross-up related to legal, tax, and financial planning advisory</w:t>
            </w:r>
          </w:p>
        </w:tc>
        <w:tc>
          <w:tcPr>
            <w:tcW w:w="1700" w:type="dxa"/>
            <w:vAlign w:val="bottom"/>
            <w:shd w:val="clear" w:color="auto" w:fill="E7E7E8"/>
          </w:tcPr>
          <w:p>
            <w:pPr>
              <w:spacing w:after="0"/>
              <w:rPr>
                <w:sz w:val="13"/>
                <w:szCs w:val="13"/>
                <w:color w:val="auto"/>
              </w:rPr>
            </w:pPr>
          </w:p>
        </w:tc>
      </w:tr>
      <w:tr>
        <w:trPr>
          <w:trHeight w:val="150"/>
        </w:trPr>
        <w:tc>
          <w:tcPr>
            <w:tcW w:w="1860" w:type="dxa"/>
            <w:vAlign w:val="bottom"/>
            <w:shd w:val="clear" w:color="auto" w:fill="E7E7E8"/>
          </w:tcPr>
          <w:p>
            <w:pPr>
              <w:spacing w:after="0"/>
              <w:rPr>
                <w:sz w:val="13"/>
                <w:szCs w:val="13"/>
                <w:color w:val="auto"/>
              </w:rPr>
            </w:pPr>
          </w:p>
        </w:tc>
        <w:tc>
          <w:tcPr>
            <w:tcW w:w="3820" w:type="dxa"/>
            <w:vAlign w:val="bottom"/>
            <w:shd w:val="clear" w:color="auto" w:fill="D6DBED"/>
          </w:tcPr>
          <w:p>
            <w:pPr>
              <w:ind w:left="40"/>
              <w:spacing w:after="0"/>
              <w:rPr>
                <w:sz w:val="20"/>
                <w:szCs w:val="20"/>
                <w:color w:val="auto"/>
              </w:rPr>
            </w:pPr>
            <w:r>
              <w:rPr>
                <w:rFonts w:ascii="Arial" w:cs="Arial" w:eastAsia="Arial" w:hAnsi="Arial"/>
                <w:sz w:val="13"/>
                <w:szCs w:val="13"/>
                <w:color w:val="auto"/>
              </w:rPr>
              <w:t>services</w:t>
            </w:r>
          </w:p>
        </w:tc>
        <w:tc>
          <w:tcPr>
            <w:tcW w:w="1700" w:type="dxa"/>
            <w:vAlign w:val="bottom"/>
            <w:shd w:val="clear" w:color="auto" w:fill="E7E7E8"/>
          </w:tcPr>
          <w:p>
            <w:pPr>
              <w:spacing w:after="0"/>
              <w:rPr>
                <w:sz w:val="13"/>
                <w:szCs w:val="13"/>
                <w:color w:val="auto"/>
              </w:rPr>
            </w:pPr>
          </w:p>
        </w:tc>
      </w:tr>
      <w:tr>
        <w:trPr>
          <w:trHeight w:val="68"/>
        </w:trPr>
        <w:tc>
          <w:tcPr>
            <w:tcW w:w="1860" w:type="dxa"/>
            <w:vAlign w:val="bottom"/>
            <w:tcBorders>
              <w:bottom w:val="single" w:sz="8" w:color="58585A"/>
            </w:tcBorders>
            <w:shd w:val="clear" w:color="auto" w:fill="E7E7E8"/>
          </w:tcPr>
          <w:p>
            <w:pPr>
              <w:spacing w:after="0"/>
              <w:rPr>
                <w:sz w:val="5"/>
                <w:szCs w:val="5"/>
                <w:color w:val="auto"/>
              </w:rPr>
            </w:pPr>
          </w:p>
        </w:tc>
        <w:tc>
          <w:tcPr>
            <w:tcW w:w="3820" w:type="dxa"/>
            <w:vAlign w:val="bottom"/>
            <w:tcBorders>
              <w:bottom w:val="single" w:sz="8" w:color="58585A"/>
            </w:tcBorders>
            <w:shd w:val="clear" w:color="auto" w:fill="D6DBED"/>
          </w:tcPr>
          <w:p>
            <w:pPr>
              <w:spacing w:after="0"/>
              <w:rPr>
                <w:sz w:val="5"/>
                <w:szCs w:val="5"/>
                <w:color w:val="auto"/>
              </w:rPr>
            </w:pPr>
          </w:p>
        </w:tc>
        <w:tc>
          <w:tcPr>
            <w:tcW w:w="1700" w:type="dxa"/>
            <w:vAlign w:val="bottom"/>
            <w:tcBorders>
              <w:bottom w:val="single" w:sz="8" w:color="58585A"/>
            </w:tcBorders>
            <w:shd w:val="clear" w:color="auto" w:fill="E7E7E8"/>
          </w:tcPr>
          <w:p>
            <w:pPr>
              <w:spacing w:after="0"/>
              <w:rPr>
                <w:sz w:val="5"/>
                <w:szCs w:val="5"/>
                <w:color w:val="auto"/>
              </w:rPr>
            </w:pPr>
          </w:p>
        </w:tc>
      </w:tr>
      <w:tr>
        <w:trPr>
          <w:trHeight w:val="201"/>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Payments contingent on</w:t>
            </w: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rPr>
              <w:t>Adopted a new policy against including excise tax gross-up</w:t>
            </w:r>
          </w:p>
        </w:tc>
        <w:tc>
          <w:tcPr>
            <w:tcW w:w="1700" w:type="dxa"/>
            <w:vAlign w:val="bottom"/>
          </w:tcPr>
          <w:p>
            <w:pPr>
              <w:ind w:left="140"/>
              <w:spacing w:after="0"/>
              <w:rPr>
                <w:sz w:val="20"/>
                <w:szCs w:val="20"/>
                <w:color w:val="auto"/>
              </w:rPr>
            </w:pPr>
            <w:r>
              <w:rPr>
                <w:rFonts w:ascii="Arial" w:cs="Arial" w:eastAsia="Arial" w:hAnsi="Arial"/>
                <w:sz w:val="13"/>
                <w:szCs w:val="13"/>
                <w:color w:val="auto"/>
              </w:rPr>
              <w:t>November 2014</w:t>
            </w: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change in control should</w:t>
            </w:r>
          </w:p>
        </w:tc>
        <w:tc>
          <w:tcPr>
            <w:tcW w:w="3820" w:type="dxa"/>
            <w:vAlign w:val="bottom"/>
            <w:shd w:val="clear" w:color="auto" w:fill="EDF4FE"/>
          </w:tcPr>
          <w:p>
            <w:pPr>
              <w:ind w:left="40"/>
              <w:spacing w:after="0" w:line="143" w:lineRule="exact"/>
              <w:rPr>
                <w:sz w:val="20"/>
                <w:szCs w:val="20"/>
                <w:color w:val="auto"/>
              </w:rPr>
            </w:pPr>
            <w:r>
              <w:rPr>
                <w:rFonts w:ascii="Arial" w:cs="Arial" w:eastAsia="Arial" w:hAnsi="Arial"/>
                <w:sz w:val="13"/>
                <w:szCs w:val="13"/>
                <w:color w:val="auto"/>
              </w:rPr>
              <w:t>provisions with respect to payments contingent upon a change in</w:t>
            </w:r>
          </w:p>
        </w:tc>
        <w:tc>
          <w:tcPr>
            <w:tcW w:w="1700" w:type="dxa"/>
            <w:vAlign w:val="bottom"/>
          </w:tcPr>
          <w:p>
            <w:pPr>
              <w:spacing w:after="0"/>
              <w:rPr>
                <w:sz w:val="12"/>
                <w:szCs w:val="12"/>
                <w:color w:val="auto"/>
              </w:rPr>
            </w:pP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not benefit from excise tax</w:t>
            </w:r>
          </w:p>
        </w:tc>
        <w:tc>
          <w:tcPr>
            <w:tcW w:w="3820" w:type="dxa"/>
            <w:vAlign w:val="bottom"/>
            <w:shd w:val="clear" w:color="auto" w:fill="EDF4FE"/>
          </w:tcPr>
          <w:p>
            <w:pPr>
              <w:ind w:left="40"/>
              <w:spacing w:after="0" w:line="143" w:lineRule="exact"/>
              <w:rPr>
                <w:sz w:val="20"/>
                <w:szCs w:val="20"/>
                <w:color w:val="auto"/>
              </w:rPr>
            </w:pPr>
            <w:r>
              <w:rPr>
                <w:rFonts w:ascii="Arial" w:cs="Arial" w:eastAsia="Arial" w:hAnsi="Arial"/>
                <w:sz w:val="13"/>
                <w:szCs w:val="13"/>
                <w:color w:val="auto"/>
              </w:rPr>
              <w:t>control of Regeneron in contracts, compensatory plans, or other</w:t>
            </w:r>
          </w:p>
        </w:tc>
        <w:tc>
          <w:tcPr>
            <w:tcW w:w="1700" w:type="dxa"/>
            <w:vAlign w:val="bottom"/>
          </w:tcPr>
          <w:p>
            <w:pPr>
              <w:spacing w:after="0"/>
              <w:rPr>
                <w:sz w:val="12"/>
                <w:szCs w:val="12"/>
                <w:color w:val="auto"/>
              </w:rPr>
            </w:pPr>
          </w:p>
        </w:tc>
      </w:tr>
      <w:tr>
        <w:trPr>
          <w:trHeight w:val="159"/>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gross-ups</w:t>
            </w: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w w:val="98"/>
              </w:rPr>
              <w:t>arrangements with the Company’s executive officers, including the</w:t>
            </w:r>
          </w:p>
        </w:tc>
        <w:tc>
          <w:tcPr>
            <w:tcW w:w="1700" w:type="dxa"/>
            <w:vAlign w:val="bottom"/>
          </w:tcPr>
          <w:p>
            <w:pPr>
              <w:spacing w:after="0"/>
              <w:rPr>
                <w:sz w:val="13"/>
                <w:szCs w:val="13"/>
                <w:color w:val="auto"/>
              </w:rPr>
            </w:pPr>
          </w:p>
        </w:tc>
      </w:tr>
      <w:tr>
        <w:trPr>
          <w:trHeight w:val="143"/>
        </w:trPr>
        <w:tc>
          <w:tcPr>
            <w:tcW w:w="1860" w:type="dxa"/>
            <w:vAlign w:val="bottom"/>
          </w:tcPr>
          <w:p>
            <w:pPr>
              <w:spacing w:after="0"/>
              <w:rPr>
                <w:sz w:val="12"/>
                <w:szCs w:val="12"/>
                <w:color w:val="auto"/>
              </w:rPr>
            </w:pPr>
          </w:p>
        </w:tc>
        <w:tc>
          <w:tcPr>
            <w:tcW w:w="3820" w:type="dxa"/>
            <w:vAlign w:val="bottom"/>
            <w:shd w:val="clear" w:color="auto" w:fill="EDF4FE"/>
          </w:tcPr>
          <w:p>
            <w:pPr>
              <w:ind w:left="40"/>
              <w:spacing w:after="0" w:line="143" w:lineRule="exact"/>
              <w:rPr>
                <w:sz w:val="20"/>
                <w:szCs w:val="20"/>
                <w:color w:val="auto"/>
              </w:rPr>
            </w:pPr>
            <w:r>
              <w:rPr>
                <w:rFonts w:ascii="Arial" w:cs="Arial" w:eastAsia="Arial" w:hAnsi="Arial"/>
                <w:sz w:val="13"/>
                <w:szCs w:val="13"/>
                <w:color w:val="auto"/>
                <w:w w:val="98"/>
              </w:rPr>
              <w:t>NEOs (grandfathered the CEO employment agreement, which has</w:t>
            </w:r>
          </w:p>
        </w:tc>
        <w:tc>
          <w:tcPr>
            <w:tcW w:w="1700" w:type="dxa"/>
            <w:vAlign w:val="bottom"/>
          </w:tcPr>
          <w:p>
            <w:pPr>
              <w:spacing w:after="0"/>
              <w:rPr>
                <w:sz w:val="12"/>
                <w:szCs w:val="12"/>
                <w:color w:val="auto"/>
              </w:rPr>
            </w:pPr>
          </w:p>
        </w:tc>
      </w:tr>
      <w:tr>
        <w:trPr>
          <w:trHeight w:val="150"/>
        </w:trPr>
        <w:tc>
          <w:tcPr>
            <w:tcW w:w="1860" w:type="dxa"/>
            <w:vAlign w:val="bottom"/>
          </w:tcPr>
          <w:p>
            <w:pPr>
              <w:spacing w:after="0"/>
              <w:rPr>
                <w:sz w:val="13"/>
                <w:szCs w:val="13"/>
                <w:color w:val="auto"/>
              </w:rPr>
            </w:pP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rPr>
              <w:t>not been amended since)</w:t>
            </w:r>
          </w:p>
        </w:tc>
        <w:tc>
          <w:tcPr>
            <w:tcW w:w="1700" w:type="dxa"/>
            <w:vAlign w:val="bottom"/>
          </w:tcPr>
          <w:p>
            <w:pPr>
              <w:spacing w:after="0"/>
              <w:rPr>
                <w:sz w:val="13"/>
                <w:szCs w:val="13"/>
                <w:color w:val="auto"/>
              </w:rPr>
            </w:pPr>
          </w:p>
        </w:tc>
      </w:tr>
      <w:tr>
        <w:trPr>
          <w:trHeight w:val="68"/>
        </w:trPr>
        <w:tc>
          <w:tcPr>
            <w:tcW w:w="1860" w:type="dxa"/>
            <w:vAlign w:val="bottom"/>
            <w:tcBorders>
              <w:bottom w:val="single" w:sz="8" w:color="58585A"/>
            </w:tcBorders>
          </w:tcPr>
          <w:p>
            <w:pPr>
              <w:spacing w:after="0"/>
              <w:rPr>
                <w:sz w:val="5"/>
                <w:szCs w:val="5"/>
                <w:color w:val="auto"/>
              </w:rPr>
            </w:pPr>
          </w:p>
        </w:tc>
        <w:tc>
          <w:tcPr>
            <w:tcW w:w="3820" w:type="dxa"/>
            <w:vAlign w:val="bottom"/>
            <w:tcBorders>
              <w:bottom w:val="single" w:sz="8" w:color="58585A"/>
            </w:tcBorders>
            <w:shd w:val="clear" w:color="auto" w:fill="EDF4FE"/>
          </w:tcPr>
          <w:p>
            <w:pPr>
              <w:spacing w:after="0"/>
              <w:rPr>
                <w:sz w:val="5"/>
                <w:szCs w:val="5"/>
                <w:color w:val="auto"/>
              </w:rPr>
            </w:pPr>
          </w:p>
        </w:tc>
        <w:tc>
          <w:tcPr>
            <w:tcW w:w="1700" w:type="dxa"/>
            <w:vAlign w:val="bottom"/>
            <w:tcBorders>
              <w:bottom w:val="single" w:sz="8" w:color="58585A"/>
            </w:tcBorders>
          </w:tcPr>
          <w:p>
            <w:pPr>
              <w:spacing w:after="0"/>
              <w:rPr>
                <w:sz w:val="5"/>
                <w:szCs w:val="5"/>
                <w:color w:val="auto"/>
              </w:rPr>
            </w:pPr>
          </w:p>
        </w:tc>
      </w:tr>
      <w:tr>
        <w:trPr>
          <w:trHeight w:val="201"/>
        </w:trPr>
        <w:tc>
          <w:tcPr>
            <w:tcW w:w="1860" w:type="dxa"/>
            <w:vAlign w:val="bottom"/>
            <w:shd w:val="clear" w:color="auto" w:fill="E7E7E8"/>
          </w:tcPr>
          <w:p>
            <w:pPr>
              <w:ind w:left="40"/>
              <w:spacing w:after="0"/>
              <w:rPr>
                <w:sz w:val="20"/>
                <w:szCs w:val="20"/>
                <w:color w:val="auto"/>
              </w:rPr>
            </w:pPr>
            <w:r>
              <w:rPr>
                <w:rFonts w:ascii="Arial" w:cs="Arial" w:eastAsia="Arial" w:hAnsi="Arial"/>
                <w:sz w:val="13"/>
                <w:szCs w:val="13"/>
                <w:b w:val="1"/>
                <w:bCs w:val="1"/>
                <w:color w:val="auto"/>
              </w:rPr>
              <w:t>The Company should be</w:t>
            </w:r>
          </w:p>
        </w:tc>
        <w:tc>
          <w:tcPr>
            <w:tcW w:w="3820" w:type="dxa"/>
            <w:vAlign w:val="bottom"/>
            <w:shd w:val="clear" w:color="auto" w:fill="D6DBED"/>
          </w:tcPr>
          <w:p>
            <w:pPr>
              <w:ind w:left="40"/>
              <w:spacing w:after="0"/>
              <w:rPr>
                <w:sz w:val="20"/>
                <w:szCs w:val="20"/>
                <w:color w:val="auto"/>
              </w:rPr>
            </w:pPr>
            <w:r>
              <w:rPr>
                <w:rFonts w:ascii="Arial" w:cs="Arial" w:eastAsia="Arial" w:hAnsi="Arial"/>
                <w:sz w:val="13"/>
                <w:szCs w:val="13"/>
                <w:color w:val="auto"/>
              </w:rPr>
              <w:t>Adopted a recoupment (clawback) policy covering both financial</w:t>
            </w:r>
          </w:p>
        </w:tc>
        <w:tc>
          <w:tcPr>
            <w:tcW w:w="1700" w:type="dxa"/>
            <w:vAlign w:val="bottom"/>
            <w:shd w:val="clear" w:color="auto" w:fill="E7E7E8"/>
          </w:tcPr>
          <w:p>
            <w:pPr>
              <w:ind w:left="140"/>
              <w:spacing w:after="0"/>
              <w:rPr>
                <w:sz w:val="20"/>
                <w:szCs w:val="20"/>
                <w:color w:val="auto"/>
              </w:rPr>
            </w:pPr>
            <w:r>
              <w:rPr>
                <w:rFonts w:ascii="Arial" w:cs="Arial" w:eastAsia="Arial" w:hAnsi="Arial"/>
                <w:sz w:val="13"/>
                <w:szCs w:val="13"/>
                <w:color w:val="auto"/>
              </w:rPr>
              <w:t>January 2014</w:t>
            </w:r>
          </w:p>
        </w:tc>
      </w:tr>
      <w:tr>
        <w:trPr>
          <w:trHeight w:val="143"/>
        </w:trPr>
        <w:tc>
          <w:tcPr>
            <w:tcW w:w="1860" w:type="dxa"/>
            <w:vAlign w:val="bottom"/>
            <w:shd w:val="clear" w:color="auto" w:fill="E7E7E8"/>
          </w:tcPr>
          <w:p>
            <w:pPr>
              <w:ind w:left="40"/>
              <w:spacing w:after="0" w:line="143" w:lineRule="exact"/>
              <w:rPr>
                <w:sz w:val="20"/>
                <w:szCs w:val="20"/>
                <w:color w:val="auto"/>
              </w:rPr>
            </w:pPr>
            <w:r>
              <w:rPr>
                <w:rFonts w:ascii="Arial" w:cs="Arial" w:eastAsia="Arial" w:hAnsi="Arial"/>
                <w:sz w:val="13"/>
                <w:szCs w:val="13"/>
                <w:b w:val="1"/>
                <w:bCs w:val="1"/>
                <w:color w:val="auto"/>
              </w:rPr>
              <w:t>able to claw back incentive</w:t>
            </w:r>
          </w:p>
        </w:tc>
        <w:tc>
          <w:tcPr>
            <w:tcW w:w="3820" w:type="dxa"/>
            <w:vAlign w:val="bottom"/>
            <w:shd w:val="clear" w:color="auto" w:fill="D6DBED"/>
          </w:tcPr>
          <w:p>
            <w:pPr>
              <w:ind w:left="40"/>
              <w:spacing w:after="0" w:line="143" w:lineRule="exact"/>
              <w:rPr>
                <w:sz w:val="20"/>
                <w:szCs w:val="20"/>
                <w:color w:val="auto"/>
              </w:rPr>
            </w:pPr>
            <w:r>
              <w:rPr>
                <w:rFonts w:ascii="Arial" w:cs="Arial" w:eastAsia="Arial" w:hAnsi="Arial"/>
                <w:sz w:val="13"/>
                <w:szCs w:val="13"/>
                <w:color w:val="auto"/>
              </w:rPr>
              <w:t>and non-financial misconduct</w:t>
            </w:r>
          </w:p>
        </w:tc>
        <w:tc>
          <w:tcPr>
            <w:tcW w:w="1700" w:type="dxa"/>
            <w:vAlign w:val="bottom"/>
            <w:shd w:val="clear" w:color="auto" w:fill="E7E7E8"/>
          </w:tcPr>
          <w:p>
            <w:pPr>
              <w:spacing w:after="0"/>
              <w:rPr>
                <w:sz w:val="12"/>
                <w:szCs w:val="12"/>
                <w:color w:val="auto"/>
              </w:rPr>
            </w:pPr>
          </w:p>
        </w:tc>
      </w:tr>
      <w:tr>
        <w:trPr>
          <w:trHeight w:val="143"/>
        </w:trPr>
        <w:tc>
          <w:tcPr>
            <w:tcW w:w="1860" w:type="dxa"/>
            <w:vAlign w:val="bottom"/>
            <w:shd w:val="clear" w:color="auto" w:fill="E7E7E8"/>
          </w:tcPr>
          <w:p>
            <w:pPr>
              <w:ind w:left="40"/>
              <w:spacing w:after="0" w:line="143" w:lineRule="exact"/>
              <w:rPr>
                <w:sz w:val="20"/>
                <w:szCs w:val="20"/>
                <w:color w:val="auto"/>
              </w:rPr>
            </w:pPr>
            <w:r>
              <w:rPr>
                <w:rFonts w:ascii="Arial" w:cs="Arial" w:eastAsia="Arial" w:hAnsi="Arial"/>
                <w:sz w:val="13"/>
                <w:szCs w:val="13"/>
                <w:b w:val="1"/>
                <w:bCs w:val="1"/>
                <w:color w:val="auto"/>
              </w:rPr>
              <w:t>compensation in case of</w:t>
            </w:r>
          </w:p>
        </w:tc>
        <w:tc>
          <w:tcPr>
            <w:tcW w:w="3820" w:type="dxa"/>
            <w:vAlign w:val="bottom"/>
            <w:shd w:val="clear" w:color="auto" w:fill="D6DBED"/>
          </w:tcPr>
          <w:p>
            <w:pPr>
              <w:spacing w:after="0"/>
              <w:rPr>
                <w:sz w:val="12"/>
                <w:szCs w:val="12"/>
                <w:color w:val="auto"/>
              </w:rPr>
            </w:pPr>
          </w:p>
        </w:tc>
        <w:tc>
          <w:tcPr>
            <w:tcW w:w="1700" w:type="dxa"/>
            <w:vAlign w:val="bottom"/>
            <w:shd w:val="clear" w:color="auto" w:fill="E7E7E8"/>
          </w:tcPr>
          <w:p>
            <w:pPr>
              <w:spacing w:after="0"/>
              <w:rPr>
                <w:sz w:val="12"/>
                <w:szCs w:val="12"/>
                <w:color w:val="auto"/>
              </w:rPr>
            </w:pPr>
          </w:p>
        </w:tc>
      </w:tr>
      <w:tr>
        <w:trPr>
          <w:trHeight w:val="166"/>
        </w:trPr>
        <w:tc>
          <w:tcPr>
            <w:tcW w:w="1860" w:type="dxa"/>
            <w:vAlign w:val="bottom"/>
            <w:shd w:val="clear" w:color="auto" w:fill="E7E7E8"/>
          </w:tcPr>
          <w:p>
            <w:pPr>
              <w:ind w:left="40"/>
              <w:spacing w:after="0"/>
              <w:rPr>
                <w:sz w:val="20"/>
                <w:szCs w:val="20"/>
                <w:color w:val="auto"/>
              </w:rPr>
            </w:pPr>
            <w:r>
              <w:rPr>
                <w:rFonts w:ascii="Arial" w:cs="Arial" w:eastAsia="Arial" w:hAnsi="Arial"/>
                <w:sz w:val="13"/>
                <w:szCs w:val="13"/>
                <w:b w:val="1"/>
                <w:bCs w:val="1"/>
                <w:color w:val="auto"/>
              </w:rPr>
              <w:t>employee misconduct</w:t>
            </w:r>
          </w:p>
        </w:tc>
        <w:tc>
          <w:tcPr>
            <w:tcW w:w="3820" w:type="dxa"/>
            <w:vAlign w:val="bottom"/>
            <w:shd w:val="clear" w:color="auto" w:fill="D6DBED"/>
          </w:tcPr>
          <w:p>
            <w:pPr>
              <w:spacing w:after="0"/>
              <w:rPr>
                <w:sz w:val="14"/>
                <w:szCs w:val="14"/>
                <w:color w:val="auto"/>
              </w:rPr>
            </w:pPr>
          </w:p>
        </w:tc>
        <w:tc>
          <w:tcPr>
            <w:tcW w:w="1700" w:type="dxa"/>
            <w:vAlign w:val="bottom"/>
            <w:shd w:val="clear" w:color="auto" w:fill="E7E7E8"/>
          </w:tcPr>
          <w:p>
            <w:pPr>
              <w:spacing w:after="0"/>
              <w:rPr>
                <w:sz w:val="14"/>
                <w:szCs w:val="14"/>
                <w:color w:val="auto"/>
              </w:rPr>
            </w:pPr>
          </w:p>
        </w:tc>
      </w:tr>
      <w:tr>
        <w:trPr>
          <w:trHeight w:val="68"/>
        </w:trPr>
        <w:tc>
          <w:tcPr>
            <w:tcW w:w="1860" w:type="dxa"/>
            <w:vAlign w:val="bottom"/>
            <w:tcBorders>
              <w:bottom w:val="single" w:sz="8" w:color="58585A"/>
            </w:tcBorders>
            <w:shd w:val="clear" w:color="auto" w:fill="E7E7E8"/>
          </w:tcPr>
          <w:p>
            <w:pPr>
              <w:spacing w:after="0"/>
              <w:rPr>
                <w:sz w:val="5"/>
                <w:szCs w:val="5"/>
                <w:color w:val="auto"/>
              </w:rPr>
            </w:pPr>
          </w:p>
        </w:tc>
        <w:tc>
          <w:tcPr>
            <w:tcW w:w="3820" w:type="dxa"/>
            <w:vAlign w:val="bottom"/>
            <w:tcBorders>
              <w:bottom w:val="single" w:sz="8" w:color="58585A"/>
            </w:tcBorders>
            <w:shd w:val="clear" w:color="auto" w:fill="D6DBED"/>
          </w:tcPr>
          <w:p>
            <w:pPr>
              <w:spacing w:after="0"/>
              <w:rPr>
                <w:sz w:val="5"/>
                <w:szCs w:val="5"/>
                <w:color w:val="auto"/>
              </w:rPr>
            </w:pPr>
          </w:p>
        </w:tc>
        <w:tc>
          <w:tcPr>
            <w:tcW w:w="1700" w:type="dxa"/>
            <w:vAlign w:val="bottom"/>
            <w:tcBorders>
              <w:bottom w:val="single" w:sz="8" w:color="58585A"/>
            </w:tcBorders>
            <w:shd w:val="clear" w:color="auto" w:fill="E7E7E8"/>
          </w:tcPr>
          <w:p>
            <w:pPr>
              <w:spacing w:after="0"/>
              <w:rPr>
                <w:sz w:val="5"/>
                <w:szCs w:val="5"/>
                <w:color w:val="auto"/>
              </w:rPr>
            </w:pPr>
          </w:p>
        </w:tc>
      </w:tr>
      <w:tr>
        <w:trPr>
          <w:trHeight w:val="201"/>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Need to communicate more</w:t>
            </w:r>
          </w:p>
        </w:tc>
        <w:tc>
          <w:tcPr>
            <w:tcW w:w="3820" w:type="dxa"/>
            <w:vAlign w:val="bottom"/>
            <w:shd w:val="clear" w:color="auto" w:fill="EDF4FE"/>
          </w:tcPr>
          <w:p>
            <w:pPr>
              <w:ind w:left="40"/>
              <w:spacing w:after="0"/>
              <w:rPr>
                <w:sz w:val="20"/>
                <w:szCs w:val="20"/>
                <w:color w:val="auto"/>
              </w:rPr>
            </w:pPr>
            <w:r>
              <w:rPr>
                <w:rFonts w:ascii="Arial" w:cs="Arial" w:eastAsia="Arial" w:hAnsi="Arial"/>
                <w:sz w:val="13"/>
                <w:szCs w:val="13"/>
                <w:color w:val="auto"/>
              </w:rPr>
              <w:t>Substantially revised CD&amp;A section of proxy statement and</w:t>
            </w:r>
          </w:p>
        </w:tc>
        <w:tc>
          <w:tcPr>
            <w:tcW w:w="1700" w:type="dxa"/>
            <w:vAlign w:val="bottom"/>
          </w:tcPr>
          <w:p>
            <w:pPr>
              <w:ind w:left="140"/>
              <w:spacing w:after="0"/>
              <w:rPr>
                <w:sz w:val="20"/>
                <w:szCs w:val="20"/>
                <w:color w:val="auto"/>
              </w:rPr>
            </w:pPr>
            <w:r>
              <w:rPr>
                <w:rFonts w:ascii="Arial" w:cs="Arial" w:eastAsia="Arial" w:hAnsi="Arial"/>
                <w:sz w:val="13"/>
                <w:szCs w:val="13"/>
                <w:color w:val="auto"/>
              </w:rPr>
              <w:t>Each proxy season since</w:t>
            </w: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clearly about</w:t>
            </w:r>
          </w:p>
        </w:tc>
        <w:tc>
          <w:tcPr>
            <w:tcW w:w="3820" w:type="dxa"/>
            <w:vAlign w:val="bottom"/>
            <w:shd w:val="clear" w:color="auto" w:fill="EDF4FE"/>
          </w:tcPr>
          <w:p>
            <w:pPr>
              <w:ind w:left="40"/>
              <w:spacing w:after="0" w:line="143" w:lineRule="exact"/>
              <w:rPr>
                <w:sz w:val="20"/>
                <w:szCs w:val="20"/>
                <w:color w:val="auto"/>
              </w:rPr>
            </w:pPr>
            <w:r>
              <w:rPr>
                <w:rFonts w:ascii="Arial" w:cs="Arial" w:eastAsia="Arial" w:hAnsi="Arial"/>
                <w:sz w:val="13"/>
                <w:szCs w:val="13"/>
                <w:color w:val="auto"/>
                <w:w w:val="99"/>
              </w:rPr>
              <w:t>provided additional information regarding compensation decisions</w:t>
            </w:r>
          </w:p>
        </w:tc>
        <w:tc>
          <w:tcPr>
            <w:tcW w:w="1700" w:type="dxa"/>
            <w:vAlign w:val="bottom"/>
          </w:tcPr>
          <w:p>
            <w:pPr>
              <w:ind w:left="140"/>
              <w:spacing w:after="0" w:line="143" w:lineRule="exact"/>
              <w:rPr>
                <w:sz w:val="20"/>
                <w:szCs w:val="20"/>
                <w:color w:val="auto"/>
              </w:rPr>
            </w:pPr>
            <w:r>
              <w:rPr>
                <w:rFonts w:ascii="Arial" w:cs="Arial" w:eastAsia="Arial" w:hAnsi="Arial"/>
                <w:sz w:val="13"/>
                <w:szCs w:val="13"/>
                <w:color w:val="auto"/>
              </w:rPr>
              <w:t>2014</w:t>
            </w: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compensation matters and</w:t>
            </w:r>
          </w:p>
        </w:tc>
        <w:tc>
          <w:tcPr>
            <w:tcW w:w="3820" w:type="dxa"/>
            <w:vAlign w:val="bottom"/>
            <w:shd w:val="clear" w:color="auto" w:fill="EDF4FE"/>
          </w:tcPr>
          <w:p>
            <w:pPr>
              <w:ind w:left="40"/>
              <w:spacing w:after="0" w:line="143" w:lineRule="exact"/>
              <w:rPr>
                <w:sz w:val="20"/>
                <w:szCs w:val="20"/>
                <w:color w:val="auto"/>
              </w:rPr>
            </w:pPr>
            <w:r>
              <w:rPr>
                <w:rFonts w:ascii="Arial" w:cs="Arial" w:eastAsia="Arial" w:hAnsi="Arial"/>
                <w:sz w:val="13"/>
                <w:szCs w:val="13"/>
                <w:color w:val="auto"/>
              </w:rPr>
              <w:t>and our compensation philosophy</w:t>
            </w:r>
          </w:p>
        </w:tc>
        <w:tc>
          <w:tcPr>
            <w:tcW w:w="1700" w:type="dxa"/>
            <w:vAlign w:val="bottom"/>
          </w:tcPr>
          <w:p>
            <w:pPr>
              <w:spacing w:after="0"/>
              <w:rPr>
                <w:sz w:val="12"/>
                <w:szCs w:val="12"/>
                <w:color w:val="auto"/>
              </w:rPr>
            </w:pP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link to Regeneron’s</w:t>
            </w:r>
          </w:p>
        </w:tc>
        <w:tc>
          <w:tcPr>
            <w:tcW w:w="3820" w:type="dxa"/>
            <w:vAlign w:val="bottom"/>
            <w:shd w:val="clear" w:color="auto" w:fill="EDF4FE"/>
          </w:tcPr>
          <w:p>
            <w:pPr>
              <w:spacing w:after="0"/>
              <w:rPr>
                <w:sz w:val="12"/>
                <w:szCs w:val="12"/>
                <w:color w:val="auto"/>
              </w:rPr>
            </w:pPr>
          </w:p>
        </w:tc>
        <w:tc>
          <w:tcPr>
            <w:tcW w:w="1700" w:type="dxa"/>
            <w:vAlign w:val="bottom"/>
          </w:tcPr>
          <w:p>
            <w:pPr>
              <w:spacing w:after="0"/>
              <w:rPr>
                <w:sz w:val="12"/>
                <w:szCs w:val="12"/>
                <w:color w:val="auto"/>
              </w:rPr>
            </w:pP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business model and</w:t>
            </w:r>
          </w:p>
        </w:tc>
        <w:tc>
          <w:tcPr>
            <w:tcW w:w="3820" w:type="dxa"/>
            <w:vAlign w:val="bottom"/>
            <w:shd w:val="clear" w:color="auto" w:fill="EDF4FE"/>
          </w:tcPr>
          <w:p>
            <w:pPr>
              <w:spacing w:after="0"/>
              <w:rPr>
                <w:sz w:val="12"/>
                <w:szCs w:val="12"/>
                <w:color w:val="auto"/>
              </w:rPr>
            </w:pPr>
          </w:p>
        </w:tc>
        <w:tc>
          <w:tcPr>
            <w:tcW w:w="1700" w:type="dxa"/>
            <w:vAlign w:val="bottom"/>
          </w:tcPr>
          <w:p>
            <w:pPr>
              <w:spacing w:after="0"/>
              <w:rPr>
                <w:sz w:val="12"/>
                <w:szCs w:val="12"/>
                <w:color w:val="auto"/>
              </w:rPr>
            </w:pPr>
          </w:p>
        </w:tc>
      </w:tr>
      <w:tr>
        <w:trPr>
          <w:trHeight w:val="166"/>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performance</w:t>
            </w:r>
          </w:p>
        </w:tc>
        <w:tc>
          <w:tcPr>
            <w:tcW w:w="3820" w:type="dxa"/>
            <w:vAlign w:val="bottom"/>
            <w:shd w:val="clear" w:color="auto" w:fill="EDF4FE"/>
          </w:tcPr>
          <w:p>
            <w:pPr>
              <w:spacing w:after="0"/>
              <w:rPr>
                <w:sz w:val="14"/>
                <w:szCs w:val="14"/>
                <w:color w:val="auto"/>
              </w:rPr>
            </w:pPr>
          </w:p>
        </w:tc>
        <w:tc>
          <w:tcPr>
            <w:tcW w:w="1700" w:type="dxa"/>
            <w:vAlign w:val="bottom"/>
          </w:tcPr>
          <w:p>
            <w:pPr>
              <w:spacing w:after="0"/>
              <w:rPr>
                <w:sz w:val="14"/>
                <w:szCs w:val="14"/>
                <w:color w:val="auto"/>
              </w:rPr>
            </w:pPr>
          </w:p>
        </w:tc>
      </w:tr>
      <w:tr>
        <w:trPr>
          <w:trHeight w:val="68"/>
        </w:trPr>
        <w:tc>
          <w:tcPr>
            <w:tcW w:w="1860" w:type="dxa"/>
            <w:vAlign w:val="bottom"/>
            <w:tcBorders>
              <w:bottom w:val="single" w:sz="8" w:color="58585A"/>
            </w:tcBorders>
          </w:tcPr>
          <w:p>
            <w:pPr>
              <w:spacing w:after="0"/>
              <w:rPr>
                <w:sz w:val="5"/>
                <w:szCs w:val="5"/>
                <w:color w:val="auto"/>
              </w:rPr>
            </w:pPr>
          </w:p>
        </w:tc>
        <w:tc>
          <w:tcPr>
            <w:tcW w:w="3820" w:type="dxa"/>
            <w:vAlign w:val="bottom"/>
            <w:tcBorders>
              <w:bottom w:val="single" w:sz="8" w:color="58585A"/>
            </w:tcBorders>
            <w:shd w:val="clear" w:color="auto" w:fill="EDF4FE"/>
          </w:tcPr>
          <w:p>
            <w:pPr>
              <w:spacing w:after="0"/>
              <w:rPr>
                <w:sz w:val="5"/>
                <w:szCs w:val="5"/>
                <w:color w:val="auto"/>
              </w:rPr>
            </w:pPr>
          </w:p>
        </w:tc>
        <w:tc>
          <w:tcPr>
            <w:tcW w:w="1700" w:type="dxa"/>
            <w:vAlign w:val="bottom"/>
            <w:tcBorders>
              <w:bottom w:val="single" w:sz="8" w:color="58585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-7620</wp:posOffset>
            </wp:positionV>
            <wp:extent cx="4686300" cy="12376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686300" cy="123761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65"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Requests for additional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2"/>
          <w:szCs w:val="12"/>
          <w:b w:val="1"/>
          <w:bCs w:val="1"/>
          <w:color w:val="auto"/>
        </w:rPr>
        <w:t>information with respect to</w:t>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ESG matters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Conducted ESG audit in 2017 to identify potential gaps with</w:t>
            </w:r>
          </w:p>
        </w:tc>
        <w:tc>
          <w:tcPr>
            <w:tcW w:w="1520" w:type="dxa"/>
            <w:vAlign w:val="bottom"/>
          </w:tcPr>
          <w:p>
            <w:pPr>
              <w:ind w:left="300"/>
              <w:spacing w:after="0"/>
              <w:rPr>
                <w:sz w:val="20"/>
                <w:szCs w:val="20"/>
                <w:color w:val="auto"/>
              </w:rPr>
            </w:pPr>
            <w:r>
              <w:rPr>
                <w:rFonts w:ascii="Arial" w:cs="Arial" w:eastAsia="Arial" w:hAnsi="Arial"/>
                <w:sz w:val="13"/>
                <w:szCs w:val="13"/>
                <w:color w:val="auto"/>
                <w:w w:val="94"/>
              </w:rPr>
              <w:t>2017, 2018, and 2019</w:t>
            </w:r>
          </w:p>
        </w:tc>
      </w:tr>
    </w:tbl>
    <w:p>
      <w:pPr>
        <w:spacing w:after="0"/>
        <w:rPr>
          <w:sz w:val="20"/>
          <w:szCs w:val="20"/>
          <w:color w:val="auto"/>
        </w:rPr>
      </w:pPr>
      <w:r>
        <w:rPr>
          <w:rFonts w:ascii="Arial" w:cs="Arial" w:eastAsia="Arial" w:hAnsi="Arial"/>
          <w:sz w:val="13"/>
          <w:szCs w:val="13"/>
          <w:color w:val="auto"/>
        </w:rPr>
        <w:t>respect to ESG matters.</w:t>
      </w:r>
    </w:p>
    <w:p>
      <w:pPr>
        <w:spacing w:after="0" w:line="136" w:lineRule="exact"/>
        <w:rPr>
          <w:sz w:val="20"/>
          <w:szCs w:val="20"/>
          <w:color w:val="auto"/>
        </w:rPr>
      </w:pPr>
    </w:p>
    <w:p>
      <w:pPr>
        <w:ind w:right="1840"/>
        <w:spacing w:after="0" w:line="231" w:lineRule="auto"/>
        <w:rPr>
          <w:sz w:val="20"/>
          <w:szCs w:val="20"/>
          <w:color w:val="auto"/>
        </w:rPr>
      </w:pPr>
      <w:r>
        <w:rPr>
          <w:rFonts w:ascii="Arial" w:cs="Arial" w:eastAsia="Arial" w:hAnsi="Arial"/>
          <w:sz w:val="13"/>
          <w:szCs w:val="13"/>
          <w:color w:val="auto"/>
        </w:rPr>
        <w:t>Increased the breadth and depth of ESG data collection and reporting, including introducing first comprehensive Responsibility Report in 2018, and actively engaged with various ESG ratings agencies in 2018 and 2019 to date, resulting in significant improvements to several ESG scores.</w:t>
      </w:r>
    </w:p>
    <w:p>
      <w:pPr>
        <w:spacing w:after="0" w:line="138" w:lineRule="exact"/>
        <w:rPr>
          <w:sz w:val="20"/>
          <w:szCs w:val="20"/>
          <w:color w:val="auto"/>
        </w:rPr>
      </w:pPr>
    </w:p>
    <w:p>
      <w:pPr>
        <w:ind w:right="1800"/>
        <w:spacing w:after="0" w:line="258" w:lineRule="auto"/>
        <w:rPr>
          <w:sz w:val="20"/>
          <w:szCs w:val="20"/>
          <w:color w:val="auto"/>
        </w:rPr>
      </w:pPr>
      <w:r>
        <w:rPr>
          <w:rFonts w:ascii="Arial" w:cs="Arial" w:eastAsia="Arial" w:hAnsi="Arial"/>
          <w:sz w:val="12"/>
          <w:szCs w:val="12"/>
          <w:color w:val="auto"/>
        </w:rPr>
        <w:t>Built an ESG strategy operational structure, including by instituting board-level oversight and establishing a cross-functional responsibility committee comprised of management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78105</wp:posOffset>
            </wp:positionV>
            <wp:extent cx="46863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240"/>
            <w:col w:w="5480"/>
          </w:cols>
          <w:pgMar w:left="760" w:top="396" w:right="739" w:bottom="1440" w:gutter="0" w:footer="0" w:header="0"/>
          <w:type w:val="continuous"/>
        </w:sectPr>
      </w:pPr>
    </w:p>
    <w:p>
      <w:pPr>
        <w:spacing w:after="0" w:line="90" w:lineRule="exact"/>
        <w:rPr>
          <w:sz w:val="20"/>
          <w:szCs w:val="20"/>
          <w:color w:val="auto"/>
        </w:rPr>
      </w:pPr>
    </w:p>
    <w:p>
      <w:pPr>
        <w:ind w:left="3020" w:right="60"/>
        <w:spacing w:after="0" w:line="229" w:lineRule="auto"/>
        <w:rPr>
          <w:sz w:val="20"/>
          <w:szCs w:val="20"/>
          <w:color w:val="auto"/>
        </w:rPr>
      </w:pPr>
      <w:r>
        <w:rPr>
          <w:rFonts w:ascii="Arial" w:cs="Arial" w:eastAsia="Arial" w:hAnsi="Arial"/>
          <w:sz w:val="15"/>
          <w:szCs w:val="15"/>
          <w:color w:val="auto"/>
        </w:rPr>
        <w:t>We also provide all shareholders and others a means to contact us at any time. That information is included in this proxy statement — see “Shareholders — Shareholder Communications.” We welcome your input.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72  /  </w:t>
      </w:r>
      <w:r>
        <w:rPr>
          <w:sz w:val="1"/>
          <w:szCs w:val="1"/>
          <w:color w:val="auto"/>
        </w:rPr>
        <w:drawing>
          <wp:inline distT="0" distB="0" distL="0" distR="0">
            <wp:extent cx="717550" cy="8255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type w:val="continuous"/>
        </w:sectPr>
      </w:pPr>
    </w:p>
    <w:bookmarkStart w:id="85" w:name="page86"/>
    <w:bookmarkEnd w:id="85"/>
    <w:p>
      <w:pPr>
        <w:ind w:left="43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381" w:lineRule="exact"/>
        <w:rPr>
          <w:sz w:val="20"/>
          <w:szCs w:val="20"/>
          <w:color w:val="auto"/>
        </w:rPr>
      </w:pPr>
    </w:p>
    <w:p>
      <w:pPr>
        <w:ind w:left="520" w:right="191"/>
        <w:spacing w:after="0" w:line="273" w:lineRule="auto"/>
        <w:rPr>
          <w:sz w:val="20"/>
          <w:szCs w:val="20"/>
          <w:color w:val="auto"/>
        </w:rPr>
      </w:pPr>
      <w:r>
        <w:rPr>
          <w:rFonts w:ascii="Arial" w:cs="Arial" w:eastAsia="Arial" w:hAnsi="Arial"/>
          <w:sz w:val="25"/>
          <w:szCs w:val="25"/>
          <w:b w:val="1"/>
          <w:bCs w:val="1"/>
          <w:color w:val="D61C5A"/>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3267710</wp:posOffset>
            </wp:positionV>
            <wp:extent cx="16497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PEER DATA</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9" w:right="520"/>
        <w:spacing w:after="0" w:line="219" w:lineRule="auto"/>
        <w:rPr>
          <w:sz w:val="20"/>
          <w:szCs w:val="20"/>
          <w:color w:val="auto"/>
        </w:rPr>
      </w:pPr>
      <w:r>
        <w:rPr>
          <w:rFonts w:ascii="Arial" w:cs="Arial" w:eastAsia="Arial" w:hAnsi="Arial"/>
          <w:sz w:val="15"/>
          <w:szCs w:val="15"/>
          <w:color w:val="auto"/>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In 2018, the Compensation Committee (and, as discussed above with respect to non-employee director compensation matters, the Corporate Governance and Compliance Committee) utilized the services of Frederic W. Cook &amp; Co. In order to maintain its independence, the Compensation Committee retained Frederic W. Cook &amp; Co. directly and Frederic W. Cook &amp; Co.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2018 the Compensation Committee evaluated the independence of Frederic W. Cook &amp; Co., including by taking into consideration the following factors:</w:t>
      </w:r>
    </w:p>
    <w:p>
      <w:pPr>
        <w:spacing w:after="0" w:line="140" w:lineRule="exact"/>
        <w:rPr>
          <w:sz w:val="20"/>
          <w:szCs w:val="20"/>
          <w:color w:val="auto"/>
        </w:rPr>
      </w:pPr>
    </w:p>
    <w:p>
      <w:pPr>
        <w:ind w:left="229" w:right="900" w:hanging="229"/>
        <w:spacing w:after="0" w:line="229" w:lineRule="auto"/>
        <w:tabs>
          <w:tab w:leader="none" w:pos="229" w:val="left"/>
        </w:tabs>
        <w:numPr>
          <w:ilvl w:val="0"/>
          <w:numId w:val="93"/>
        </w:numPr>
        <w:rPr>
          <w:rFonts w:ascii="Arial" w:cs="Arial" w:eastAsia="Arial" w:hAnsi="Arial"/>
          <w:sz w:val="15"/>
          <w:szCs w:val="15"/>
          <w:color w:val="205BA8"/>
        </w:rPr>
      </w:pPr>
      <w:r>
        <w:rPr>
          <w:rFonts w:ascii="Arial" w:cs="Arial" w:eastAsia="Arial" w:hAnsi="Arial"/>
          <w:sz w:val="15"/>
          <w:szCs w:val="15"/>
          <w:color w:val="auto"/>
        </w:rPr>
        <w:t>the fact that Frederic W. Cook &amp; Co. did not provide any other services to the Company (other than those provided to the Corporate Governance and Compliance Committee);</w:t>
      </w:r>
    </w:p>
    <w:p>
      <w:pPr>
        <w:spacing w:after="0" w:line="47" w:lineRule="exact"/>
        <w:rPr>
          <w:rFonts w:ascii="Arial" w:cs="Arial" w:eastAsia="Arial" w:hAnsi="Arial"/>
          <w:sz w:val="15"/>
          <w:szCs w:val="15"/>
          <w:color w:val="205BA8"/>
        </w:rPr>
      </w:pPr>
    </w:p>
    <w:p>
      <w:pPr>
        <w:ind w:left="229" w:hanging="229"/>
        <w:spacing w:after="0"/>
        <w:tabs>
          <w:tab w:leader="none" w:pos="229" w:val="left"/>
        </w:tabs>
        <w:numPr>
          <w:ilvl w:val="0"/>
          <w:numId w:val="93"/>
        </w:numPr>
        <w:rPr>
          <w:rFonts w:ascii="Arial" w:cs="Arial" w:eastAsia="Arial" w:hAnsi="Arial"/>
          <w:sz w:val="15"/>
          <w:szCs w:val="15"/>
          <w:color w:val="205BA8"/>
        </w:rPr>
      </w:pPr>
      <w:r>
        <w:rPr>
          <w:rFonts w:ascii="Arial" w:cs="Arial" w:eastAsia="Arial" w:hAnsi="Arial"/>
          <w:sz w:val="15"/>
          <w:szCs w:val="15"/>
          <w:color w:val="auto"/>
        </w:rPr>
        <w:t>the amount of fees received from the Company by Frederic W. Cook &amp; Co. as a percentage of its revenue;</w:t>
      </w:r>
    </w:p>
    <w:p>
      <w:pPr>
        <w:spacing w:after="0" w:line="48" w:lineRule="exact"/>
        <w:rPr>
          <w:rFonts w:ascii="Arial" w:cs="Arial" w:eastAsia="Arial" w:hAnsi="Arial"/>
          <w:sz w:val="15"/>
          <w:szCs w:val="15"/>
          <w:color w:val="205BA8"/>
        </w:rPr>
      </w:pPr>
    </w:p>
    <w:p>
      <w:pPr>
        <w:ind w:left="229" w:hanging="229"/>
        <w:spacing w:after="0"/>
        <w:tabs>
          <w:tab w:leader="none" w:pos="229" w:val="left"/>
        </w:tabs>
        <w:numPr>
          <w:ilvl w:val="0"/>
          <w:numId w:val="93"/>
        </w:numPr>
        <w:rPr>
          <w:rFonts w:ascii="Arial" w:cs="Arial" w:eastAsia="Arial" w:hAnsi="Arial"/>
          <w:sz w:val="15"/>
          <w:szCs w:val="15"/>
          <w:color w:val="205BA8"/>
        </w:rPr>
      </w:pPr>
      <w:r>
        <w:rPr>
          <w:rFonts w:ascii="Arial" w:cs="Arial" w:eastAsia="Arial" w:hAnsi="Arial"/>
          <w:sz w:val="15"/>
          <w:szCs w:val="15"/>
          <w:color w:val="auto"/>
        </w:rPr>
        <w:t>the policies and procedures of Frederic W. Cook &amp; Co. designed to prevent conflicts of interest;</w:t>
      </w:r>
    </w:p>
    <w:p>
      <w:pPr>
        <w:spacing w:after="0" w:line="48" w:lineRule="exact"/>
        <w:rPr>
          <w:rFonts w:ascii="Arial" w:cs="Arial" w:eastAsia="Arial" w:hAnsi="Arial"/>
          <w:sz w:val="15"/>
          <w:szCs w:val="15"/>
          <w:color w:val="205BA8"/>
        </w:rPr>
      </w:pPr>
    </w:p>
    <w:p>
      <w:pPr>
        <w:ind w:left="229" w:right="1420" w:hanging="229"/>
        <w:spacing w:after="0" w:line="229" w:lineRule="auto"/>
        <w:tabs>
          <w:tab w:leader="none" w:pos="229" w:val="left"/>
        </w:tabs>
        <w:numPr>
          <w:ilvl w:val="0"/>
          <w:numId w:val="93"/>
        </w:numPr>
        <w:rPr>
          <w:rFonts w:ascii="Arial" w:cs="Arial" w:eastAsia="Arial" w:hAnsi="Arial"/>
          <w:sz w:val="15"/>
          <w:szCs w:val="15"/>
          <w:color w:val="205BA8"/>
        </w:rPr>
      </w:pPr>
      <w:r>
        <w:rPr>
          <w:rFonts w:ascii="Arial" w:cs="Arial" w:eastAsia="Arial" w:hAnsi="Arial"/>
          <w:sz w:val="15"/>
          <w:szCs w:val="15"/>
          <w:color w:val="auto"/>
        </w:rPr>
        <w:t>the absence of any significant business or personal relationship between Frederic W. Cook &amp; Co. representatives and any member of the Compensation Committee;</w:t>
      </w:r>
    </w:p>
    <w:p>
      <w:pPr>
        <w:spacing w:after="0" w:line="47" w:lineRule="exact"/>
        <w:rPr>
          <w:rFonts w:ascii="Arial" w:cs="Arial" w:eastAsia="Arial" w:hAnsi="Arial"/>
          <w:sz w:val="15"/>
          <w:szCs w:val="15"/>
          <w:color w:val="205BA8"/>
        </w:rPr>
      </w:pPr>
    </w:p>
    <w:p>
      <w:pPr>
        <w:ind w:left="229" w:right="600" w:hanging="229"/>
        <w:spacing w:after="0" w:line="229" w:lineRule="auto"/>
        <w:tabs>
          <w:tab w:leader="none" w:pos="229" w:val="left"/>
        </w:tabs>
        <w:numPr>
          <w:ilvl w:val="0"/>
          <w:numId w:val="93"/>
        </w:numPr>
        <w:rPr>
          <w:rFonts w:ascii="Arial" w:cs="Arial" w:eastAsia="Arial" w:hAnsi="Arial"/>
          <w:sz w:val="15"/>
          <w:szCs w:val="15"/>
          <w:color w:val="205BA8"/>
        </w:rPr>
      </w:pPr>
      <w:r>
        <w:rPr>
          <w:rFonts w:ascii="Arial" w:cs="Arial" w:eastAsia="Arial" w:hAnsi="Arial"/>
          <w:sz w:val="15"/>
          <w:szCs w:val="15"/>
          <w:color w:val="auto"/>
        </w:rPr>
        <w:t>the fact that Frederic W. Cook and the representatives of Frederic W. Cook &amp; Co. to the Company did not own any stock of the Company; and</w:t>
      </w:r>
    </w:p>
    <w:p>
      <w:pPr>
        <w:spacing w:after="0" w:line="47" w:lineRule="exact"/>
        <w:rPr>
          <w:rFonts w:ascii="Arial" w:cs="Arial" w:eastAsia="Arial" w:hAnsi="Arial"/>
          <w:sz w:val="15"/>
          <w:szCs w:val="15"/>
          <w:color w:val="205BA8"/>
        </w:rPr>
      </w:pPr>
    </w:p>
    <w:p>
      <w:pPr>
        <w:ind w:left="229" w:right="1200" w:hanging="229"/>
        <w:spacing w:after="0" w:line="229" w:lineRule="auto"/>
        <w:tabs>
          <w:tab w:leader="none" w:pos="229" w:val="left"/>
        </w:tabs>
        <w:numPr>
          <w:ilvl w:val="0"/>
          <w:numId w:val="93"/>
        </w:numPr>
        <w:rPr>
          <w:rFonts w:ascii="Arial" w:cs="Arial" w:eastAsia="Arial" w:hAnsi="Arial"/>
          <w:sz w:val="15"/>
          <w:szCs w:val="15"/>
          <w:color w:val="205BA8"/>
        </w:rPr>
      </w:pPr>
      <w:r>
        <w:rPr>
          <w:rFonts w:ascii="Arial" w:cs="Arial" w:eastAsia="Arial" w:hAnsi="Arial"/>
          <w:sz w:val="15"/>
          <w:szCs w:val="15"/>
          <w:color w:val="auto"/>
        </w:rPr>
        <w:t>the absence of any material business or personal relationship between Frederic W. Cook &amp; Co. or its representatives and any executive officer of the Company.</w:t>
      </w:r>
    </w:p>
    <w:p>
      <w:pPr>
        <w:spacing w:after="0" w:line="139" w:lineRule="exact"/>
        <w:rPr>
          <w:sz w:val="20"/>
          <w:szCs w:val="20"/>
          <w:color w:val="auto"/>
        </w:rPr>
      </w:pPr>
    </w:p>
    <w:p>
      <w:pPr>
        <w:jc w:val="both"/>
        <w:ind w:left="9" w:right="640"/>
        <w:spacing w:after="0" w:line="225" w:lineRule="auto"/>
        <w:rPr>
          <w:sz w:val="20"/>
          <w:szCs w:val="20"/>
          <w:color w:val="auto"/>
        </w:rPr>
      </w:pPr>
      <w:r>
        <w:rPr>
          <w:rFonts w:ascii="Arial" w:cs="Arial" w:eastAsia="Arial" w:hAnsi="Arial"/>
          <w:sz w:val="15"/>
          <w:szCs w:val="15"/>
          <w:color w:val="auto"/>
        </w:rPr>
        <w:t>The Compensation Committee’s evaluation was based in part on a representation letter from Frederic W. Cook &amp; Co. On the basis of this evaluation, the Compensation Committee concluded that the engagement of Frederic W. Cook &amp; Co. did not raise any conflicts of interest.</w:t>
      </w:r>
    </w:p>
    <w:p>
      <w:pPr>
        <w:spacing w:after="0" w:line="139" w:lineRule="exact"/>
        <w:rPr>
          <w:sz w:val="20"/>
          <w:szCs w:val="20"/>
          <w:color w:val="auto"/>
        </w:rPr>
      </w:pPr>
    </w:p>
    <w:p>
      <w:pPr>
        <w:ind w:left="9" w:right="540"/>
        <w:spacing w:after="0" w:line="219" w:lineRule="auto"/>
        <w:rPr>
          <w:sz w:val="20"/>
          <w:szCs w:val="20"/>
          <w:color w:val="auto"/>
        </w:rPr>
      </w:pPr>
      <w:r>
        <w:rPr>
          <w:rFonts w:ascii="Arial" w:cs="Arial" w:eastAsia="Arial" w:hAnsi="Arial"/>
          <w:sz w:val="15"/>
          <w:szCs w:val="15"/>
          <w:color w:val="auto"/>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the other members of the Board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or replenishment of our long-term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46863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78" w:lineRule="exact"/>
        <w:rPr>
          <w:sz w:val="20"/>
          <w:szCs w:val="20"/>
          <w:color w:val="auto"/>
        </w:rPr>
      </w:pPr>
    </w:p>
    <w:p>
      <w:pPr>
        <w:ind w:left="9" w:right="560"/>
        <w:spacing w:after="0" w:line="223" w:lineRule="auto"/>
        <w:rPr>
          <w:sz w:val="20"/>
          <w:szCs w:val="20"/>
          <w:color w:val="auto"/>
        </w:rPr>
      </w:pPr>
      <w:r>
        <w:rPr>
          <w:rFonts w:ascii="Arial" w:cs="Arial" w:eastAsia="Arial" w:hAnsi="Arial"/>
          <w:sz w:val="15"/>
          <w:szCs w:val="15"/>
          <w:color w:val="auto"/>
        </w:rPr>
        <w:t>For purposes of setting our NEOs’ and other senior executives’ compensation, we use comparative compensation information from a relevant peer group of companies (referred to in this proxy statement as “Peer Group”). We select the companies in the Peer Group with the assistance of Frederic W. Cook &amp; Co. based on factors including, but not limited to, the following:</w:t>
      </w:r>
    </w:p>
    <w:p>
      <w:pPr>
        <w:spacing w:after="0" w:line="138" w:lineRule="exact"/>
        <w:rPr>
          <w:sz w:val="20"/>
          <w:szCs w:val="20"/>
          <w:color w:val="auto"/>
        </w:rPr>
      </w:pPr>
    </w:p>
    <w:p>
      <w:pPr>
        <w:sectPr>
          <w:pgSz w:w="11900" w:h="16838" w:orient="portrait"/>
          <w:cols w:equalWidth="0" w:num="2">
            <w:col w:w="2811" w:space="720"/>
            <w:col w:w="7889"/>
          </w:cols>
          <w:pgMar w:left="240" w:top="396" w:right="239" w:bottom="1440" w:gutter="0" w:footer="0" w:header="0"/>
          <w:type w:val="continuous"/>
        </w:sectPr>
      </w:pPr>
    </w:p>
    <w:p>
      <w:pPr>
        <w:ind w:left="3540"/>
        <w:spacing w:after="0"/>
        <w:tabs>
          <w:tab w:leader="none" w:pos="3740" w:val="left"/>
          <w:tab w:leader="none" w:pos="7220" w:val="left"/>
          <w:tab w:leader="none" w:pos="7440" w:val="left"/>
        </w:tabs>
        <w:rPr>
          <w:sz w:val="20"/>
          <w:szCs w:val="20"/>
          <w:color w:val="auto"/>
        </w:rPr>
      </w:pPr>
      <w:r>
        <w:rPr>
          <w:rFonts w:ascii="Arial" w:cs="Arial" w:eastAsia="Arial" w:hAnsi="Arial"/>
          <w:sz w:val="15"/>
          <w:szCs w:val="15"/>
          <w:color w:val="205BA8"/>
        </w:rPr>
        <w:t>•</w:t>
      </w:r>
      <w:r>
        <w:rPr>
          <w:rFonts w:ascii="Arial" w:cs="Arial" w:eastAsia="Arial" w:hAnsi="Arial"/>
          <w:sz w:val="15"/>
          <w:szCs w:val="15"/>
          <w:color w:val="auto"/>
        </w:rPr>
        <w:tab/>
        <w:t>research and development orientation;</w:t>
      </w:r>
      <w:r>
        <w:rPr>
          <w:sz w:val="20"/>
          <w:szCs w:val="20"/>
          <w:color w:val="auto"/>
        </w:rPr>
        <w:tab/>
      </w:r>
      <w:r>
        <w:rPr>
          <w:rFonts w:ascii="Arial" w:cs="Arial" w:eastAsia="Arial" w:hAnsi="Arial"/>
          <w:sz w:val="15"/>
          <w:szCs w:val="15"/>
          <w:color w:val="205BA8"/>
        </w:rPr>
        <w:t>•</w:t>
      </w:r>
      <w:r>
        <w:rPr>
          <w:sz w:val="20"/>
          <w:szCs w:val="20"/>
          <w:color w:val="auto"/>
        </w:rPr>
        <w:tab/>
      </w:r>
      <w:r>
        <w:rPr>
          <w:rFonts w:ascii="Arial" w:cs="Arial" w:eastAsia="Arial" w:hAnsi="Arial"/>
          <w:sz w:val="14"/>
          <w:szCs w:val="14"/>
          <w:color w:val="auto"/>
        </w:rPr>
        <w:t>stage of development; and</w:t>
      </w:r>
    </w:p>
    <w:p>
      <w:pPr>
        <w:spacing w:after="0" w:line="48" w:lineRule="exact"/>
        <w:rPr>
          <w:sz w:val="20"/>
          <w:szCs w:val="20"/>
          <w:color w:val="auto"/>
        </w:rPr>
      </w:pPr>
    </w:p>
    <w:p>
      <w:pPr>
        <w:ind w:left="3540"/>
        <w:spacing w:after="0"/>
        <w:tabs>
          <w:tab w:leader="none" w:pos="3740" w:val="left"/>
          <w:tab w:leader="none" w:pos="7220" w:val="left"/>
          <w:tab w:leader="none" w:pos="7440" w:val="left"/>
        </w:tabs>
        <w:rPr>
          <w:sz w:val="20"/>
          <w:szCs w:val="20"/>
          <w:color w:val="auto"/>
        </w:rPr>
      </w:pPr>
      <w:r>
        <w:rPr>
          <w:rFonts w:ascii="Arial" w:cs="Arial" w:eastAsia="Arial" w:hAnsi="Arial"/>
          <w:sz w:val="15"/>
          <w:szCs w:val="15"/>
          <w:color w:val="205BA8"/>
        </w:rPr>
        <w:t>•</w:t>
      </w:r>
      <w:r>
        <w:rPr>
          <w:rFonts w:ascii="Arial" w:cs="Arial" w:eastAsia="Arial" w:hAnsi="Arial"/>
          <w:sz w:val="15"/>
          <w:szCs w:val="15"/>
          <w:color w:val="auto"/>
        </w:rPr>
        <w:tab/>
        <w:t>market capitalization;</w:t>
      </w:r>
      <w:r>
        <w:rPr>
          <w:sz w:val="20"/>
          <w:szCs w:val="20"/>
          <w:color w:val="auto"/>
        </w:rPr>
        <w:tab/>
      </w:r>
      <w:r>
        <w:rPr>
          <w:rFonts w:ascii="Arial" w:cs="Arial" w:eastAsia="Arial" w:hAnsi="Arial"/>
          <w:sz w:val="15"/>
          <w:szCs w:val="15"/>
          <w:color w:val="205BA8"/>
        </w:rPr>
        <w:t>•</w:t>
      </w:r>
      <w:r>
        <w:rPr>
          <w:sz w:val="20"/>
          <w:szCs w:val="20"/>
          <w:color w:val="auto"/>
        </w:rPr>
        <w:tab/>
      </w:r>
      <w:r>
        <w:rPr>
          <w:rFonts w:ascii="Arial" w:cs="Arial" w:eastAsia="Arial" w:hAnsi="Arial"/>
          <w:sz w:val="14"/>
          <w:szCs w:val="14"/>
          <w:color w:val="auto"/>
        </w:rPr>
        <w:t>total revenues.</w:t>
      </w:r>
    </w:p>
    <w:p>
      <w:pPr>
        <w:spacing w:after="0" w:line="48" w:lineRule="exact"/>
        <w:rPr>
          <w:sz w:val="20"/>
          <w:szCs w:val="20"/>
          <w:color w:val="auto"/>
        </w:rPr>
      </w:pPr>
    </w:p>
    <w:p>
      <w:pPr>
        <w:ind w:left="3760" w:hanging="229"/>
        <w:spacing w:after="0"/>
        <w:tabs>
          <w:tab w:leader="none" w:pos="3760" w:val="left"/>
        </w:tabs>
        <w:numPr>
          <w:ilvl w:val="0"/>
          <w:numId w:val="94"/>
        </w:numPr>
        <w:rPr>
          <w:rFonts w:ascii="Arial" w:cs="Arial" w:eastAsia="Arial" w:hAnsi="Arial"/>
          <w:sz w:val="15"/>
          <w:szCs w:val="15"/>
          <w:color w:val="205BA8"/>
        </w:rPr>
      </w:pPr>
      <w:r>
        <w:rPr>
          <w:rFonts w:ascii="Arial" w:cs="Arial" w:eastAsia="Arial" w:hAnsi="Arial"/>
          <w:sz w:val="15"/>
          <w:szCs w:val="15"/>
          <w:color w:val="auto"/>
        </w:rPr>
        <w:t>number of employees;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73</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86" w:name="page87"/>
    <w:bookmarkEnd w:id="86"/>
    <w:p>
      <w:pPr>
        <w:ind w:left="52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304" w:lineRule="exact"/>
        <w:rPr>
          <w:sz w:val="20"/>
          <w:szCs w:val="20"/>
          <w:color w:val="auto"/>
        </w:rPr>
      </w:pPr>
    </w:p>
    <w:p>
      <w:pPr>
        <w:ind w:left="3540" w:right="600"/>
        <w:spacing w:after="0" w:line="223" w:lineRule="auto"/>
        <w:rPr>
          <w:sz w:val="20"/>
          <w:szCs w:val="20"/>
          <w:color w:val="auto"/>
        </w:rPr>
      </w:pPr>
      <w:r>
        <w:rPr>
          <w:rFonts w:ascii="Arial" w:cs="Arial" w:eastAsia="Arial" w:hAnsi="Arial"/>
          <w:sz w:val="15"/>
          <w:szCs w:val="15"/>
          <w:color w:val="auto"/>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spacing w:after="0" w:line="138" w:lineRule="exact"/>
        <w:rPr>
          <w:sz w:val="20"/>
          <w:szCs w:val="20"/>
          <w:color w:val="auto"/>
        </w:rPr>
      </w:pPr>
    </w:p>
    <w:p>
      <w:pPr>
        <w:ind w:left="3540" w:right="560"/>
        <w:spacing w:after="0" w:line="237" w:lineRule="auto"/>
        <w:rPr>
          <w:sz w:val="20"/>
          <w:szCs w:val="20"/>
          <w:color w:val="auto"/>
        </w:rPr>
      </w:pPr>
      <w:r>
        <w:rPr>
          <w:rFonts w:ascii="Arial" w:cs="Arial" w:eastAsia="Arial" w:hAnsi="Arial"/>
          <w:sz w:val="14"/>
          <w:szCs w:val="14"/>
          <w:color w:val="auto"/>
        </w:rPr>
        <w:t>The Compensation Committee reviewed the Peer Group in June 2018 and, based on the recommendation of Frederic W. Cook &amp; Co., did not make any changes. As part of its assessment, the Compensation Committee took into account that Regeneron was the median company in the Peer Group based on average market capitalization during the trailing 12 months, revenues for the last four completed quarters, and the then-available reported number of employees, based on the data provided to the Committee, as shown in the table below.</w:t>
      </w:r>
    </w:p>
    <w:p>
      <w:pPr>
        <w:spacing w:after="0" w:line="13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640" w:type="dxa"/>
            <w:vAlign w:val="bottom"/>
            <w:tcBorders>
              <w:bottom w:val="single" w:sz="8" w:color="205BA8"/>
            </w:tcBorders>
          </w:tcPr>
          <w:p>
            <w:pPr>
              <w:spacing w:after="0"/>
              <w:rPr>
                <w:sz w:val="13"/>
                <w:szCs w:val="13"/>
                <w:color w:val="auto"/>
              </w:rPr>
            </w:pPr>
          </w:p>
        </w:tc>
        <w:tc>
          <w:tcPr>
            <w:tcW w:w="2580" w:type="dxa"/>
            <w:vAlign w:val="bottom"/>
            <w:tcBorders>
              <w:bottom w:val="single" w:sz="8" w:color="205BA8"/>
            </w:tcBorders>
            <w:gridSpan w:val="4"/>
          </w:tcPr>
          <w:p>
            <w:pPr>
              <w:ind w:left="40"/>
              <w:spacing w:after="0"/>
              <w:rPr>
                <w:sz w:val="20"/>
                <w:szCs w:val="20"/>
                <w:color w:val="auto"/>
              </w:rPr>
            </w:pPr>
            <w:r>
              <w:rPr>
                <w:rFonts w:ascii="Arial" w:cs="Arial" w:eastAsia="Arial" w:hAnsi="Arial"/>
                <w:sz w:val="11"/>
                <w:szCs w:val="11"/>
                <w:b w:val="1"/>
                <w:bCs w:val="1"/>
                <w:color w:val="205BA8"/>
              </w:rPr>
              <w:t>Market Capitalization ($ Millions)</w:t>
            </w:r>
          </w:p>
        </w:tc>
        <w:tc>
          <w:tcPr>
            <w:tcW w:w="880" w:type="dxa"/>
            <w:vAlign w:val="bottom"/>
            <w:tcBorders>
              <w:bottom w:val="single" w:sz="8" w:color="205BA8"/>
            </w:tcBorders>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Borders>
              <w:bottom w:val="single" w:sz="8" w:color="205BA8"/>
            </w:tcBorders>
          </w:tcPr>
          <w:p>
            <w:pPr>
              <w:ind w:left="620"/>
              <w:spacing w:after="0"/>
              <w:rPr>
                <w:sz w:val="20"/>
                <w:szCs w:val="20"/>
                <w:color w:val="auto"/>
              </w:rPr>
            </w:pPr>
            <w:r>
              <w:rPr>
                <w:rFonts w:ascii="Arial" w:cs="Arial" w:eastAsia="Arial" w:hAnsi="Arial"/>
                <w:sz w:val="11"/>
                <w:szCs w:val="11"/>
                <w:b w:val="1"/>
                <w:bCs w:val="1"/>
                <w:color w:val="205BA8"/>
              </w:rPr>
              <w:t>Revenues ($ Millions)</w:t>
            </w:r>
          </w:p>
        </w:tc>
        <w:tc>
          <w:tcPr>
            <w:tcW w:w="560" w:type="dxa"/>
            <w:vAlign w:val="bottom"/>
            <w:tcBorders>
              <w:bottom w:val="single" w:sz="8" w:color="205BA8"/>
            </w:tcBorders>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Borders>
              <w:bottom w:val="single" w:sz="8" w:color="205BA8"/>
            </w:tcBorders>
          </w:tcPr>
          <w:p>
            <w:pPr>
              <w:ind w:left="940"/>
              <w:spacing w:after="0"/>
              <w:rPr>
                <w:sz w:val="20"/>
                <w:szCs w:val="20"/>
                <w:color w:val="auto"/>
              </w:rPr>
            </w:pPr>
            <w:r>
              <w:rPr>
                <w:rFonts w:ascii="Arial" w:cs="Arial" w:eastAsia="Arial" w:hAnsi="Arial"/>
                <w:sz w:val="11"/>
                <w:szCs w:val="11"/>
                <w:b w:val="1"/>
                <w:bCs w:val="1"/>
                <w:color w:val="205BA8"/>
              </w:rPr>
              <w:t>Employees</w:t>
            </w:r>
          </w:p>
        </w:tc>
        <w:tc>
          <w:tcPr>
            <w:tcW w:w="560" w:type="dxa"/>
            <w:vAlign w:val="bottom"/>
            <w:tcBorders>
              <w:bottom w:val="single" w:sz="8" w:color="205BA8"/>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Borders>
              <w:bottom w:val="single" w:sz="8" w:color="205BA8"/>
            </w:tcBorders>
          </w:tcPr>
          <w:p>
            <w:pPr>
              <w:ind w:left="900"/>
              <w:spacing w:after="0"/>
              <w:rPr>
                <w:sz w:val="20"/>
                <w:szCs w:val="20"/>
                <w:color w:val="auto"/>
              </w:rPr>
            </w:pPr>
            <w:r>
              <w:rPr>
                <w:rFonts w:ascii="Arial" w:cs="Arial" w:eastAsia="Arial" w:hAnsi="Arial"/>
                <w:sz w:val="11"/>
                <w:szCs w:val="11"/>
                <w:b w:val="1"/>
                <w:bCs w:val="1"/>
                <w:color w:val="205BA8"/>
              </w:rPr>
              <w:t>As of 4/30/18</w:t>
            </w:r>
          </w:p>
        </w:tc>
        <w:tc>
          <w:tcPr>
            <w:tcW w:w="240" w:type="dxa"/>
            <w:vAlign w:val="bottom"/>
            <w:tcBorders>
              <w:bottom w:val="single" w:sz="8" w:color="205BA8"/>
            </w:tcBorders>
          </w:tcPr>
          <w:p>
            <w:pPr>
              <w:spacing w:after="0"/>
              <w:rPr>
                <w:sz w:val="15"/>
                <w:szCs w:val="15"/>
                <w:color w:val="auto"/>
              </w:rPr>
            </w:pPr>
          </w:p>
        </w:tc>
        <w:tc>
          <w:tcPr>
            <w:tcW w:w="620" w:type="dxa"/>
            <w:vAlign w:val="bottom"/>
            <w:tcBorders>
              <w:bottom w:val="single" w:sz="8" w:color="205BA8"/>
            </w:tcBorders>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Borders>
              <w:bottom w:val="single" w:sz="8" w:color="205BA8"/>
            </w:tcBorders>
            <w:gridSpan w:val="2"/>
          </w:tcPr>
          <w:p>
            <w:pPr>
              <w:jc w:val="right"/>
              <w:ind w:right="437"/>
              <w:spacing w:after="0"/>
              <w:rPr>
                <w:sz w:val="20"/>
                <w:szCs w:val="20"/>
                <w:color w:val="auto"/>
              </w:rPr>
            </w:pPr>
            <w:r>
              <w:rPr>
                <w:rFonts w:ascii="Arial" w:cs="Arial" w:eastAsia="Arial" w:hAnsi="Arial"/>
                <w:sz w:val="11"/>
                <w:szCs w:val="11"/>
                <w:b w:val="1"/>
                <w:bCs w:val="1"/>
                <w:color w:val="205BA8"/>
              </w:rPr>
              <w:t>Trailing 12-Month Average</w:t>
            </w:r>
          </w:p>
        </w:tc>
        <w:tc>
          <w:tcPr>
            <w:tcW w:w="200" w:type="dxa"/>
            <w:vAlign w:val="bottom"/>
          </w:tcPr>
          <w:p>
            <w:pPr>
              <w:spacing w:after="0"/>
              <w:rPr>
                <w:sz w:val="15"/>
                <w:szCs w:val="15"/>
                <w:color w:val="auto"/>
              </w:rPr>
            </w:pPr>
          </w:p>
        </w:tc>
        <w:tc>
          <w:tcPr>
            <w:tcW w:w="1840" w:type="dxa"/>
            <w:vAlign w:val="bottom"/>
            <w:tcBorders>
              <w:bottom w:val="single" w:sz="8" w:color="205BA8"/>
            </w:tcBorders>
          </w:tcPr>
          <w:p>
            <w:pPr>
              <w:ind w:left="680"/>
              <w:spacing w:after="0"/>
              <w:rPr>
                <w:sz w:val="20"/>
                <w:szCs w:val="20"/>
                <w:color w:val="auto"/>
              </w:rPr>
            </w:pPr>
            <w:r>
              <w:rPr>
                <w:rFonts w:ascii="Arial" w:cs="Arial" w:eastAsia="Arial" w:hAnsi="Arial"/>
                <w:sz w:val="11"/>
                <w:szCs w:val="11"/>
                <w:b w:val="1"/>
                <w:bCs w:val="1"/>
                <w:color w:val="205BA8"/>
              </w:rPr>
              <w:t>Last Four Quarters</w:t>
            </w:r>
          </w:p>
        </w:tc>
        <w:tc>
          <w:tcPr>
            <w:tcW w:w="560" w:type="dxa"/>
            <w:vAlign w:val="bottom"/>
            <w:tcBorders>
              <w:bottom w:val="single" w:sz="8" w:color="205BA8"/>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205BA8"/>
            </w:tcBorders>
          </w:tcPr>
          <w:p>
            <w:pPr>
              <w:ind w:left="660"/>
              <w:spacing w:after="0"/>
              <w:rPr>
                <w:sz w:val="20"/>
                <w:szCs w:val="20"/>
                <w:color w:val="auto"/>
              </w:rPr>
            </w:pPr>
            <w:r>
              <w:rPr>
                <w:rFonts w:ascii="Arial" w:cs="Arial" w:eastAsia="Arial" w:hAnsi="Arial"/>
                <w:sz w:val="11"/>
                <w:szCs w:val="11"/>
                <w:b w:val="1"/>
                <w:bCs w:val="1"/>
                <w:color w:val="205BA8"/>
              </w:rPr>
              <w:t>As of Last 10-K Filing</w:t>
            </w:r>
          </w:p>
        </w:tc>
        <w:tc>
          <w:tcPr>
            <w:tcW w:w="560" w:type="dxa"/>
            <w:vAlign w:val="bottom"/>
            <w:tcBorders>
              <w:bottom w:val="single" w:sz="8" w:color="205BA8"/>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AbbVie</w:t>
            </w:r>
          </w:p>
        </w:tc>
        <w:tc>
          <w:tcPr>
            <w:tcW w:w="240" w:type="dxa"/>
            <w:vAlign w:val="bottom"/>
            <w:tcBorders>
              <w:bottom w:val="single" w:sz="8" w:color="58585A"/>
            </w:tcBorders>
          </w:tcPr>
          <w:p>
            <w:pPr>
              <w:spacing w:after="0"/>
              <w:rPr>
                <w:sz w:val="24"/>
                <w:szCs w:val="24"/>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$153,195</w:t>
            </w:r>
          </w:p>
        </w:tc>
        <w:tc>
          <w:tcPr>
            <w:tcW w:w="200" w:type="dxa"/>
            <w:vAlign w:val="bottom"/>
          </w:tcPr>
          <w:p>
            <w:pPr>
              <w:spacing w:after="0"/>
              <w:rPr>
                <w:sz w:val="24"/>
                <w:szCs w:val="24"/>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Amgen</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$125,197</w:t>
            </w:r>
          </w:p>
        </w:tc>
        <w:tc>
          <w:tcPr>
            <w:tcW w:w="200" w:type="dxa"/>
            <w:vAlign w:val="bottom"/>
          </w:tcPr>
          <w:p>
            <w:pPr>
              <w:spacing w:after="0"/>
              <w:rPr>
                <w:sz w:val="24"/>
                <w:szCs w:val="24"/>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AbbVie</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$29,612</w:t>
            </w:r>
          </w:p>
        </w:tc>
        <w:tc>
          <w:tcPr>
            <w:tcW w:w="200" w:type="dxa"/>
            <w:vAlign w:val="bottom"/>
          </w:tcPr>
          <w:p>
            <w:pPr>
              <w:spacing w:after="0"/>
              <w:rPr>
                <w:sz w:val="24"/>
                <w:szCs w:val="24"/>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Lilly</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40,655</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Amgen</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$116,204</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AbbVie</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$121,101</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Gilead</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$24,690</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AbbVie</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29,000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Gilead</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$94,177</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Gilead</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$95,582</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Lilly</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$23,343</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Bristol-Myers Squibb</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23,700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Bristol-Myers Squibb</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$85,208</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Bristol-Myers Squibb</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$95,107</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Amgen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$22,939</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Amgen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20,800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Lilly</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$83,571</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Celgene</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$95,024</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Bristol-Myers Squibb</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$21,040</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Gilead</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Celgene</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$65,514</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Lilly</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$86,458</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Celgene</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$13,579</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Celgene</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7,467</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Biogen</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$57,732</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Biogen</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$62,152</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Biogen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$12,594</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Biogen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7,300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Vertex</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$39,030</w:t>
            </w:r>
          </w:p>
        </w:tc>
        <w:tc>
          <w:tcPr>
            <w:tcW w:w="200" w:type="dxa"/>
            <w:vAlign w:val="bottom"/>
          </w:tcPr>
          <w:p>
            <w:pPr>
              <w:spacing w:after="0"/>
              <w:rPr>
                <w:sz w:val="16"/>
                <w:szCs w:val="16"/>
                <w:color w:val="auto"/>
              </w:rPr>
            </w:pPr>
          </w:p>
        </w:tc>
        <w:tc>
          <w:tcPr>
            <w:tcW w:w="1520" w:type="dxa"/>
            <w:vAlign w:val="bottom"/>
            <w:tcBorders>
              <w:bottom w:val="single" w:sz="8" w:color="58585A"/>
            </w:tcBorders>
            <w:shd w:val="clear" w:color="auto" w:fill="205BA8"/>
          </w:tcPr>
          <w:p>
            <w:pPr>
              <w:ind w:left="40"/>
              <w:spacing w:after="0"/>
              <w:rPr>
                <w:sz w:val="20"/>
                <w:szCs w:val="20"/>
                <w:color w:val="auto"/>
              </w:rPr>
            </w:pPr>
            <w:r>
              <w:rPr>
                <w:rFonts w:ascii="Arial" w:cs="Arial" w:eastAsia="Arial" w:hAnsi="Arial"/>
                <w:sz w:val="13"/>
                <w:szCs w:val="13"/>
                <w:b w:val="1"/>
                <w:bCs w:val="1"/>
                <w:color w:val="FFFFFF"/>
              </w:rPr>
              <w:t>Regeneron</w:t>
            </w:r>
          </w:p>
        </w:tc>
        <w:tc>
          <w:tcPr>
            <w:tcW w:w="880" w:type="dxa"/>
            <w:vAlign w:val="bottom"/>
            <w:tcBorders>
              <w:bottom w:val="single" w:sz="8" w:color="58585A"/>
            </w:tcBorders>
            <w:shd w:val="clear" w:color="auto" w:fill="205BA8"/>
          </w:tcPr>
          <w:p>
            <w:pPr>
              <w:jc w:val="right"/>
              <w:spacing w:after="0"/>
              <w:rPr>
                <w:sz w:val="20"/>
                <w:szCs w:val="20"/>
                <w:color w:val="auto"/>
              </w:rPr>
            </w:pPr>
            <w:r>
              <w:rPr>
                <w:rFonts w:ascii="Arial" w:cs="Arial" w:eastAsia="Arial" w:hAnsi="Arial"/>
                <w:sz w:val="13"/>
                <w:szCs w:val="13"/>
                <w:b w:val="1"/>
                <w:bCs w:val="1"/>
                <w:color w:val="FFFFFF"/>
              </w:rPr>
              <w:t>$44,550</w:t>
            </w:r>
          </w:p>
        </w:tc>
        <w:tc>
          <w:tcPr>
            <w:tcW w:w="200" w:type="dxa"/>
            <w:vAlign w:val="bottom"/>
          </w:tcPr>
          <w:p>
            <w:pPr>
              <w:spacing w:after="0"/>
              <w:rPr>
                <w:sz w:val="16"/>
                <w:szCs w:val="16"/>
                <w:color w:val="auto"/>
              </w:rPr>
            </w:pPr>
          </w:p>
        </w:tc>
        <w:tc>
          <w:tcPr>
            <w:tcW w:w="1840" w:type="dxa"/>
            <w:vAlign w:val="bottom"/>
            <w:tcBorders>
              <w:bottom w:val="single" w:sz="8" w:color="58585A"/>
            </w:tcBorders>
            <w:shd w:val="clear" w:color="auto" w:fill="205BA8"/>
          </w:tcPr>
          <w:p>
            <w:pPr>
              <w:ind w:left="40"/>
              <w:spacing w:after="0"/>
              <w:rPr>
                <w:sz w:val="20"/>
                <w:szCs w:val="20"/>
                <w:color w:val="auto"/>
              </w:rPr>
            </w:pPr>
            <w:r>
              <w:rPr>
                <w:rFonts w:ascii="Arial" w:cs="Arial" w:eastAsia="Arial" w:hAnsi="Arial"/>
                <w:sz w:val="13"/>
                <w:szCs w:val="13"/>
                <w:b w:val="1"/>
                <w:bCs w:val="1"/>
                <w:color w:val="FFFFFF"/>
              </w:rPr>
              <w:t>Regeneron</w:t>
            </w:r>
          </w:p>
        </w:tc>
        <w:tc>
          <w:tcPr>
            <w:tcW w:w="560" w:type="dxa"/>
            <w:vAlign w:val="bottom"/>
            <w:tcBorders>
              <w:bottom w:val="single" w:sz="8" w:color="58585A"/>
            </w:tcBorders>
            <w:shd w:val="clear" w:color="auto" w:fill="205BA8"/>
          </w:tcPr>
          <w:p>
            <w:pPr>
              <w:jc w:val="right"/>
              <w:spacing w:after="0"/>
              <w:rPr>
                <w:sz w:val="20"/>
                <w:szCs w:val="20"/>
                <w:color w:val="auto"/>
              </w:rPr>
            </w:pPr>
            <w:r>
              <w:rPr>
                <w:rFonts w:ascii="Arial" w:cs="Arial" w:eastAsia="Arial" w:hAnsi="Arial"/>
                <w:sz w:val="13"/>
                <w:szCs w:val="13"/>
                <w:b w:val="1"/>
                <w:bCs w:val="1"/>
                <w:color w:val="FFFFFF"/>
              </w:rPr>
              <w:t>$6,065</w:t>
            </w:r>
          </w:p>
        </w:tc>
        <w:tc>
          <w:tcPr>
            <w:tcW w:w="200" w:type="dxa"/>
            <w:vAlign w:val="bottom"/>
          </w:tcPr>
          <w:p>
            <w:pPr>
              <w:spacing w:after="0"/>
              <w:rPr>
                <w:sz w:val="16"/>
                <w:szCs w:val="16"/>
                <w:color w:val="auto"/>
              </w:rPr>
            </w:pPr>
          </w:p>
        </w:tc>
        <w:tc>
          <w:tcPr>
            <w:tcW w:w="1940" w:type="dxa"/>
            <w:vAlign w:val="bottom"/>
            <w:tcBorders>
              <w:bottom w:val="single" w:sz="8" w:color="58585A"/>
            </w:tcBorders>
            <w:shd w:val="clear" w:color="auto" w:fill="205BA8"/>
          </w:tcPr>
          <w:p>
            <w:pPr>
              <w:ind w:left="40"/>
              <w:spacing w:after="0"/>
              <w:rPr>
                <w:sz w:val="20"/>
                <w:szCs w:val="20"/>
                <w:color w:val="auto"/>
              </w:rPr>
            </w:pPr>
            <w:r>
              <w:rPr>
                <w:rFonts w:ascii="Arial" w:cs="Arial" w:eastAsia="Arial" w:hAnsi="Arial"/>
                <w:sz w:val="13"/>
                <w:szCs w:val="13"/>
                <w:b w:val="1"/>
                <w:bCs w:val="1"/>
                <w:color w:val="FFFFFF"/>
              </w:rPr>
              <w:t>Regeneron</w:t>
            </w:r>
          </w:p>
        </w:tc>
        <w:tc>
          <w:tcPr>
            <w:tcW w:w="560" w:type="dxa"/>
            <w:vAlign w:val="bottom"/>
            <w:tcBorders>
              <w:bottom w:val="single" w:sz="8" w:color="58585A"/>
            </w:tcBorders>
            <w:shd w:val="clear" w:color="auto" w:fill="205BA8"/>
          </w:tcPr>
          <w:p>
            <w:pPr>
              <w:jc w:val="right"/>
              <w:spacing w:after="0"/>
              <w:rPr>
                <w:sz w:val="20"/>
                <w:szCs w:val="20"/>
                <w:color w:val="auto"/>
              </w:rPr>
            </w:pPr>
            <w:r>
              <w:rPr>
                <w:rFonts w:ascii="Arial" w:cs="Arial" w:eastAsia="Arial" w:hAnsi="Arial"/>
                <w:sz w:val="13"/>
                <w:szCs w:val="13"/>
                <w:b w:val="1"/>
                <w:bCs w:val="1"/>
                <w:color w:val="FFFFFF"/>
              </w:rPr>
              <w:t>6,400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shd w:val="clear" w:color="auto" w:fill="205BA8"/>
          </w:tcPr>
          <w:p>
            <w:pPr>
              <w:ind w:left="40"/>
              <w:spacing w:after="0"/>
              <w:rPr>
                <w:sz w:val="20"/>
                <w:szCs w:val="20"/>
                <w:color w:val="auto"/>
              </w:rPr>
            </w:pPr>
            <w:r>
              <w:rPr>
                <w:rFonts w:ascii="Arial" w:cs="Arial" w:eastAsia="Arial" w:hAnsi="Arial"/>
                <w:sz w:val="13"/>
                <w:szCs w:val="13"/>
                <w:b w:val="1"/>
                <w:bCs w:val="1"/>
                <w:color w:val="FFFFFF"/>
              </w:rPr>
              <w:t>Regeneron</w:t>
            </w:r>
          </w:p>
        </w:tc>
        <w:tc>
          <w:tcPr>
            <w:tcW w:w="240" w:type="dxa"/>
            <w:vAlign w:val="bottom"/>
            <w:tcBorders>
              <w:bottom w:val="single" w:sz="8" w:color="58585A"/>
            </w:tcBorders>
            <w:shd w:val="clear" w:color="auto" w:fill="205BA8"/>
          </w:tcPr>
          <w:p>
            <w:pPr>
              <w:spacing w:after="0"/>
              <w:rPr>
                <w:sz w:val="16"/>
                <w:szCs w:val="16"/>
                <w:color w:val="auto"/>
              </w:rPr>
            </w:pPr>
          </w:p>
        </w:tc>
        <w:tc>
          <w:tcPr>
            <w:tcW w:w="620" w:type="dxa"/>
            <w:vAlign w:val="bottom"/>
            <w:tcBorders>
              <w:bottom w:val="single" w:sz="8" w:color="58585A"/>
            </w:tcBorders>
            <w:shd w:val="clear" w:color="auto" w:fill="205BA8"/>
          </w:tcPr>
          <w:p>
            <w:pPr>
              <w:jc w:val="right"/>
              <w:spacing w:after="0"/>
              <w:rPr>
                <w:sz w:val="20"/>
                <w:szCs w:val="20"/>
                <w:color w:val="auto"/>
              </w:rPr>
            </w:pPr>
            <w:r>
              <w:rPr>
                <w:rFonts w:ascii="Arial" w:cs="Arial" w:eastAsia="Arial" w:hAnsi="Arial"/>
                <w:sz w:val="13"/>
                <w:szCs w:val="13"/>
                <w:b w:val="1"/>
                <w:bCs w:val="1"/>
                <w:color w:val="FFFFFF"/>
              </w:rPr>
              <w:t>$32,723</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Vertex</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$32,650</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Alexion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$3,612</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BioMarin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2,581</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Alexion</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$26,173</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Alexion</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$27,978</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Vertex</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$2,415</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Alexion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2,525</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BioMarin</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$14,757</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Incyte</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$24,826</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United Therapeutics</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$1,744</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Vertex</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2,300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Incyte</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$13,119</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BioMarin</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$15,567</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Incyte</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$1,534</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Alkermes</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Alnylam</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$9,469</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Alkermes</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$8,362</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BioMarin</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$1,383</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Incyte</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1,208</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Alkermes</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$6,864</w:t>
            </w:r>
          </w:p>
        </w:tc>
        <w:tc>
          <w:tcPr>
            <w:tcW w:w="200" w:type="dxa"/>
            <w:vAlign w:val="bottom"/>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Alnylam</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$7,793</w:t>
            </w:r>
          </w:p>
        </w:tc>
        <w:tc>
          <w:tcPr>
            <w:tcW w:w="200" w:type="dxa"/>
            <w:vAlign w:val="bottom"/>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Alkermes</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$937</w:t>
            </w:r>
          </w:p>
        </w:tc>
        <w:tc>
          <w:tcPr>
            <w:tcW w:w="200" w:type="dxa"/>
            <w:vAlign w:val="bottom"/>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United Therapeutics</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United Therapeutics</w:t>
            </w:r>
          </w:p>
        </w:tc>
        <w:tc>
          <w:tcPr>
            <w:tcW w:w="240" w:type="dxa"/>
            <w:vAlign w:val="bottom"/>
            <w:tcBorders>
              <w:bottom w:val="single" w:sz="8" w:color="58585A"/>
            </w:tcBorders>
          </w:tcPr>
          <w:p>
            <w:pPr>
              <w:spacing w:after="0"/>
              <w:rPr>
                <w:sz w:val="16"/>
                <w:szCs w:val="16"/>
                <w:color w:val="auto"/>
              </w:rPr>
            </w:pPr>
          </w:p>
        </w:tc>
        <w:tc>
          <w:tcPr>
            <w:tcW w:w="6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$4,795</w:t>
            </w:r>
          </w:p>
        </w:tc>
        <w:tc>
          <w:tcPr>
            <w:tcW w:w="200" w:type="dxa"/>
            <w:vAlign w:val="bottom"/>
            <w:tcBorders>
              <w:bottom w:val="single" w:sz="8" w:color="ECEDED"/>
            </w:tcBorders>
          </w:tcPr>
          <w:p>
            <w:pPr>
              <w:spacing w:after="0"/>
              <w:rPr>
                <w:sz w:val="16"/>
                <w:szCs w:val="16"/>
                <w:color w:val="auto"/>
              </w:rPr>
            </w:pPr>
          </w:p>
        </w:tc>
        <w:tc>
          <w:tcPr>
            <w:tcW w:w="152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United Therapeutics</w:t>
            </w:r>
          </w:p>
        </w:tc>
        <w:tc>
          <w:tcPr>
            <w:tcW w:w="8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$5,843</w:t>
            </w:r>
          </w:p>
        </w:tc>
        <w:tc>
          <w:tcPr>
            <w:tcW w:w="200" w:type="dxa"/>
            <w:vAlign w:val="bottom"/>
            <w:tcBorders>
              <w:bottom w:val="single" w:sz="8" w:color="ECEDED"/>
            </w:tcBorders>
          </w:tcPr>
          <w:p>
            <w:pPr>
              <w:spacing w:after="0"/>
              <w:rPr>
                <w:sz w:val="16"/>
                <w:szCs w:val="16"/>
                <w:color w:val="auto"/>
              </w:rPr>
            </w:pPr>
          </w:p>
        </w:tc>
        <w:tc>
          <w:tcPr>
            <w:tcW w:w="18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Alnylam</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$93</w:t>
            </w:r>
          </w:p>
        </w:tc>
        <w:tc>
          <w:tcPr>
            <w:tcW w:w="200" w:type="dxa"/>
            <w:vAlign w:val="bottom"/>
            <w:tcBorders>
              <w:bottom w:val="single" w:sz="8" w:color="ECEDED"/>
            </w:tcBorders>
          </w:tcPr>
          <w:p>
            <w:pPr>
              <w:spacing w:after="0"/>
              <w:rPr>
                <w:sz w:val="16"/>
                <w:szCs w:val="16"/>
                <w:color w:val="auto"/>
              </w:rPr>
            </w:pPr>
          </w:p>
        </w:tc>
        <w:tc>
          <w:tcPr>
            <w:tcW w:w="1940" w:type="dxa"/>
            <w:vAlign w:val="bottom"/>
            <w:tcBorders>
              <w:bottom w:val="single" w:sz="8" w:color="58585A"/>
            </w:tcBorders>
          </w:tcPr>
          <w:p>
            <w:pPr>
              <w:ind w:left="40"/>
              <w:spacing w:after="0"/>
              <w:rPr>
                <w:sz w:val="20"/>
                <w:szCs w:val="20"/>
                <w:color w:val="auto"/>
              </w:rPr>
            </w:pPr>
            <w:r>
              <w:rPr>
                <w:rFonts w:ascii="Arial" w:cs="Arial" w:eastAsia="Arial" w:hAnsi="Arial"/>
                <w:sz w:val="13"/>
                <w:szCs w:val="13"/>
                <w:color w:val="auto"/>
              </w:rPr>
              <w:t>Alnylam</w:t>
            </w:r>
          </w:p>
        </w:tc>
        <w:tc>
          <w:tcPr>
            <w:tcW w:w="5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shd w:val="clear" w:color="auto" w:fill="ECEDED"/>
          </w:tcPr>
          <w:p>
            <w:pPr>
              <w:ind w:left="40"/>
              <w:spacing w:after="0"/>
              <w:rPr>
                <w:sz w:val="20"/>
                <w:szCs w:val="20"/>
                <w:color w:val="auto"/>
              </w:rPr>
            </w:pPr>
            <w:r>
              <w:rPr>
                <w:rFonts w:ascii="Arial" w:cs="Arial" w:eastAsia="Arial" w:hAnsi="Arial"/>
                <w:sz w:val="13"/>
                <w:szCs w:val="13"/>
                <w:b w:val="1"/>
                <w:bCs w:val="1"/>
                <w:color w:val="auto"/>
              </w:rPr>
              <w:t>75th Percentile</w:t>
            </w:r>
          </w:p>
        </w:tc>
        <w:tc>
          <w:tcPr>
            <w:tcW w:w="240" w:type="dxa"/>
            <w:vAlign w:val="bottom"/>
            <w:tcBorders>
              <w:bottom w:val="single" w:sz="8" w:color="58585A"/>
            </w:tcBorders>
            <w:shd w:val="clear" w:color="auto" w:fill="ECEDED"/>
          </w:tcPr>
          <w:p>
            <w:pPr>
              <w:spacing w:after="0"/>
              <w:rPr>
                <w:sz w:val="16"/>
                <w:szCs w:val="16"/>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b w:val="1"/>
                <w:bCs w:val="1"/>
                <w:color w:val="auto"/>
              </w:rPr>
              <w:t>$87,451</w:t>
            </w:r>
          </w:p>
        </w:tc>
        <w:tc>
          <w:tcPr>
            <w:tcW w:w="200" w:type="dxa"/>
            <w:vAlign w:val="bottom"/>
            <w:tcBorders>
              <w:bottom w:val="single" w:sz="8" w:color="ECEDED"/>
            </w:tcBorders>
            <w:shd w:val="clear" w:color="auto" w:fill="ECEDED"/>
          </w:tcPr>
          <w:p>
            <w:pPr>
              <w:spacing w:after="0"/>
              <w:rPr>
                <w:sz w:val="16"/>
                <w:szCs w:val="16"/>
                <w:color w:val="auto"/>
              </w:rPr>
            </w:pPr>
          </w:p>
        </w:tc>
        <w:tc>
          <w:tcPr>
            <w:tcW w:w="1520" w:type="dxa"/>
            <w:vAlign w:val="bottom"/>
            <w:tcBorders>
              <w:bottom w:val="single" w:sz="8" w:color="58585A"/>
            </w:tcBorders>
            <w:shd w:val="clear" w:color="auto" w:fill="ECEDED"/>
          </w:tcPr>
          <w:p>
            <w:pPr>
              <w:spacing w:after="0"/>
              <w:rPr>
                <w:sz w:val="16"/>
                <w:szCs w:val="16"/>
                <w:color w:val="auto"/>
              </w:rPr>
            </w:pPr>
          </w:p>
        </w:tc>
        <w:tc>
          <w:tcPr>
            <w:tcW w:w="88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$95,226</w:t>
            </w:r>
          </w:p>
        </w:tc>
        <w:tc>
          <w:tcPr>
            <w:tcW w:w="200" w:type="dxa"/>
            <w:vAlign w:val="bottom"/>
            <w:tcBorders>
              <w:bottom w:val="single" w:sz="8" w:color="ECEDED"/>
            </w:tcBorders>
            <w:shd w:val="clear" w:color="auto" w:fill="ECEDED"/>
          </w:tcPr>
          <w:p>
            <w:pPr>
              <w:spacing w:after="0"/>
              <w:rPr>
                <w:sz w:val="16"/>
                <w:szCs w:val="16"/>
                <w:color w:val="auto"/>
              </w:rPr>
            </w:pPr>
          </w:p>
        </w:tc>
        <w:tc>
          <w:tcPr>
            <w:tcW w:w="1840" w:type="dxa"/>
            <w:vAlign w:val="bottom"/>
            <w:tcBorders>
              <w:bottom w:val="single" w:sz="8" w:color="58585A"/>
            </w:tcBorders>
            <w:shd w:val="clear" w:color="auto" w:fill="ECEDED"/>
          </w:tcPr>
          <w:p>
            <w:pPr>
              <w:spacing w:after="0"/>
              <w:rPr>
                <w:sz w:val="16"/>
                <w:szCs w:val="16"/>
                <w:color w:val="auto"/>
              </w:rPr>
            </w:pPr>
          </w:p>
        </w:tc>
        <w:tc>
          <w:tcPr>
            <w:tcW w:w="5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$23,040</w:t>
            </w:r>
          </w:p>
        </w:tc>
        <w:tc>
          <w:tcPr>
            <w:tcW w:w="200" w:type="dxa"/>
            <w:vAlign w:val="bottom"/>
            <w:tcBorders>
              <w:bottom w:val="single" w:sz="8" w:color="ECEDED"/>
            </w:tcBorders>
            <w:shd w:val="clear" w:color="auto" w:fill="ECEDED"/>
          </w:tcPr>
          <w:p>
            <w:pPr>
              <w:spacing w:after="0"/>
              <w:rPr>
                <w:sz w:val="16"/>
                <w:szCs w:val="16"/>
                <w:color w:val="auto"/>
              </w:rPr>
            </w:pPr>
          </w:p>
        </w:tc>
        <w:tc>
          <w:tcPr>
            <w:tcW w:w="1940" w:type="dxa"/>
            <w:vAlign w:val="bottom"/>
            <w:tcBorders>
              <w:bottom w:val="single" w:sz="8" w:color="58585A"/>
            </w:tcBorders>
            <w:shd w:val="clear" w:color="auto" w:fill="ECEDED"/>
          </w:tcPr>
          <w:p>
            <w:pPr>
              <w:spacing w:after="0"/>
              <w:rPr>
                <w:sz w:val="16"/>
                <w:szCs w:val="16"/>
                <w:color w:val="auto"/>
              </w:rPr>
            </w:pPr>
          </w:p>
        </w:tc>
        <w:tc>
          <w:tcPr>
            <w:tcW w:w="5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21,525</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shd w:val="clear" w:color="auto" w:fill="ECEDED"/>
          </w:tcPr>
          <w:p>
            <w:pPr>
              <w:ind w:left="40"/>
              <w:spacing w:after="0"/>
              <w:rPr>
                <w:sz w:val="20"/>
                <w:szCs w:val="20"/>
                <w:color w:val="auto"/>
              </w:rPr>
            </w:pPr>
            <w:r>
              <w:rPr>
                <w:rFonts w:ascii="Arial" w:cs="Arial" w:eastAsia="Arial" w:hAnsi="Arial"/>
                <w:sz w:val="13"/>
                <w:szCs w:val="13"/>
                <w:b w:val="1"/>
                <w:bCs w:val="1"/>
                <w:color w:val="auto"/>
              </w:rPr>
              <w:t>Median</w:t>
            </w:r>
          </w:p>
        </w:tc>
        <w:tc>
          <w:tcPr>
            <w:tcW w:w="240" w:type="dxa"/>
            <w:vAlign w:val="bottom"/>
            <w:tcBorders>
              <w:bottom w:val="single" w:sz="8" w:color="58585A"/>
            </w:tcBorders>
            <w:shd w:val="clear" w:color="auto" w:fill="ECEDED"/>
          </w:tcPr>
          <w:p>
            <w:pPr>
              <w:spacing w:after="0"/>
              <w:rPr>
                <w:sz w:val="16"/>
                <w:szCs w:val="16"/>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b w:val="1"/>
                <w:bCs w:val="1"/>
                <w:color w:val="auto"/>
              </w:rPr>
              <w:t>$48,381</w:t>
            </w:r>
          </w:p>
        </w:tc>
        <w:tc>
          <w:tcPr>
            <w:tcW w:w="200" w:type="dxa"/>
            <w:vAlign w:val="bottom"/>
            <w:tcBorders>
              <w:bottom w:val="single" w:sz="8" w:color="ECEDED"/>
            </w:tcBorders>
            <w:shd w:val="clear" w:color="auto" w:fill="ECEDED"/>
          </w:tcPr>
          <w:p>
            <w:pPr>
              <w:spacing w:after="0"/>
              <w:rPr>
                <w:sz w:val="16"/>
                <w:szCs w:val="16"/>
                <w:color w:val="auto"/>
              </w:rPr>
            </w:pPr>
          </w:p>
        </w:tc>
        <w:tc>
          <w:tcPr>
            <w:tcW w:w="1520" w:type="dxa"/>
            <w:vAlign w:val="bottom"/>
            <w:tcBorders>
              <w:bottom w:val="single" w:sz="8" w:color="58585A"/>
            </w:tcBorders>
            <w:shd w:val="clear" w:color="auto" w:fill="ECEDED"/>
          </w:tcPr>
          <w:p>
            <w:pPr>
              <w:spacing w:after="0"/>
              <w:rPr>
                <w:sz w:val="16"/>
                <w:szCs w:val="16"/>
                <w:color w:val="auto"/>
              </w:rPr>
            </w:pPr>
          </w:p>
        </w:tc>
        <w:tc>
          <w:tcPr>
            <w:tcW w:w="88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$47,401</w:t>
            </w:r>
          </w:p>
        </w:tc>
        <w:tc>
          <w:tcPr>
            <w:tcW w:w="200" w:type="dxa"/>
            <w:vAlign w:val="bottom"/>
            <w:tcBorders>
              <w:bottom w:val="single" w:sz="8" w:color="ECEDED"/>
            </w:tcBorders>
            <w:shd w:val="clear" w:color="auto" w:fill="ECEDED"/>
          </w:tcPr>
          <w:p>
            <w:pPr>
              <w:spacing w:after="0"/>
              <w:rPr>
                <w:sz w:val="16"/>
                <w:szCs w:val="16"/>
                <w:color w:val="auto"/>
              </w:rPr>
            </w:pPr>
          </w:p>
        </w:tc>
        <w:tc>
          <w:tcPr>
            <w:tcW w:w="1840" w:type="dxa"/>
            <w:vAlign w:val="bottom"/>
            <w:tcBorders>
              <w:bottom w:val="single" w:sz="8" w:color="58585A"/>
            </w:tcBorders>
            <w:shd w:val="clear" w:color="auto" w:fill="ECEDED"/>
          </w:tcPr>
          <w:p>
            <w:pPr>
              <w:spacing w:after="0"/>
              <w:rPr>
                <w:sz w:val="16"/>
                <w:szCs w:val="16"/>
                <w:color w:val="auto"/>
              </w:rPr>
            </w:pPr>
          </w:p>
        </w:tc>
        <w:tc>
          <w:tcPr>
            <w:tcW w:w="5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$8,103</w:t>
            </w:r>
          </w:p>
        </w:tc>
        <w:tc>
          <w:tcPr>
            <w:tcW w:w="200" w:type="dxa"/>
            <w:vAlign w:val="bottom"/>
            <w:tcBorders>
              <w:bottom w:val="single" w:sz="8" w:color="ECEDED"/>
            </w:tcBorders>
            <w:shd w:val="clear" w:color="auto" w:fill="ECEDED"/>
          </w:tcPr>
          <w:p>
            <w:pPr>
              <w:spacing w:after="0"/>
              <w:rPr>
                <w:sz w:val="16"/>
                <w:szCs w:val="16"/>
                <w:color w:val="auto"/>
              </w:rPr>
            </w:pPr>
          </w:p>
        </w:tc>
        <w:tc>
          <w:tcPr>
            <w:tcW w:w="1940" w:type="dxa"/>
            <w:vAlign w:val="bottom"/>
            <w:tcBorders>
              <w:bottom w:val="single" w:sz="8" w:color="58585A"/>
            </w:tcBorders>
            <w:shd w:val="clear" w:color="auto" w:fill="ECEDED"/>
          </w:tcPr>
          <w:p>
            <w:pPr>
              <w:spacing w:after="0"/>
              <w:rPr>
                <w:sz w:val="16"/>
                <w:szCs w:val="16"/>
                <w:color w:val="auto"/>
              </w:rPr>
            </w:pPr>
          </w:p>
        </w:tc>
        <w:tc>
          <w:tcPr>
            <w:tcW w:w="5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4,941</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58585A"/>
            </w:tcBorders>
            <w:shd w:val="clear" w:color="auto" w:fill="ECEDED"/>
          </w:tcPr>
          <w:p>
            <w:pPr>
              <w:ind w:left="40"/>
              <w:spacing w:after="0"/>
              <w:rPr>
                <w:sz w:val="20"/>
                <w:szCs w:val="20"/>
                <w:color w:val="auto"/>
              </w:rPr>
            </w:pPr>
            <w:r>
              <w:rPr>
                <w:rFonts w:ascii="Arial" w:cs="Arial" w:eastAsia="Arial" w:hAnsi="Arial"/>
                <w:sz w:val="13"/>
                <w:szCs w:val="13"/>
                <w:b w:val="1"/>
                <w:bCs w:val="1"/>
                <w:color w:val="auto"/>
              </w:rPr>
              <w:t>25th Percentile</w:t>
            </w:r>
          </w:p>
        </w:tc>
        <w:tc>
          <w:tcPr>
            <w:tcW w:w="240" w:type="dxa"/>
            <w:vAlign w:val="bottom"/>
            <w:tcBorders>
              <w:bottom w:val="single" w:sz="8" w:color="58585A"/>
            </w:tcBorders>
            <w:shd w:val="clear" w:color="auto" w:fill="ECEDED"/>
          </w:tcPr>
          <w:p>
            <w:pPr>
              <w:spacing w:after="0"/>
              <w:rPr>
                <w:sz w:val="16"/>
                <w:szCs w:val="16"/>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b w:val="1"/>
                <w:bCs w:val="1"/>
                <w:color w:val="auto"/>
              </w:rPr>
              <w:t>$12,206</w:t>
            </w:r>
          </w:p>
        </w:tc>
        <w:tc>
          <w:tcPr>
            <w:tcW w:w="200" w:type="dxa"/>
            <w:vAlign w:val="bottom"/>
            <w:tcBorders>
              <w:bottom w:val="single" w:sz="8" w:color="58585A"/>
            </w:tcBorders>
            <w:shd w:val="clear" w:color="auto" w:fill="ECEDED"/>
          </w:tcPr>
          <w:p>
            <w:pPr>
              <w:spacing w:after="0"/>
              <w:rPr>
                <w:sz w:val="16"/>
                <w:szCs w:val="16"/>
                <w:color w:val="auto"/>
              </w:rPr>
            </w:pPr>
          </w:p>
        </w:tc>
        <w:tc>
          <w:tcPr>
            <w:tcW w:w="1520" w:type="dxa"/>
            <w:vAlign w:val="bottom"/>
            <w:tcBorders>
              <w:bottom w:val="single" w:sz="8" w:color="58585A"/>
            </w:tcBorders>
            <w:shd w:val="clear" w:color="auto" w:fill="ECEDED"/>
          </w:tcPr>
          <w:p>
            <w:pPr>
              <w:spacing w:after="0"/>
              <w:rPr>
                <w:sz w:val="16"/>
                <w:szCs w:val="16"/>
                <w:color w:val="auto"/>
              </w:rPr>
            </w:pPr>
          </w:p>
        </w:tc>
        <w:tc>
          <w:tcPr>
            <w:tcW w:w="88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$13,766</w:t>
            </w:r>
          </w:p>
        </w:tc>
        <w:tc>
          <w:tcPr>
            <w:tcW w:w="200" w:type="dxa"/>
            <w:vAlign w:val="bottom"/>
            <w:shd w:val="clear" w:color="auto" w:fill="ECEDED"/>
          </w:tcPr>
          <w:p>
            <w:pPr>
              <w:spacing w:after="0"/>
              <w:rPr>
                <w:sz w:val="16"/>
                <w:szCs w:val="16"/>
                <w:color w:val="auto"/>
              </w:rPr>
            </w:pPr>
          </w:p>
        </w:tc>
        <w:tc>
          <w:tcPr>
            <w:tcW w:w="1840" w:type="dxa"/>
            <w:vAlign w:val="bottom"/>
            <w:tcBorders>
              <w:bottom w:val="single" w:sz="8" w:color="58585A"/>
            </w:tcBorders>
            <w:shd w:val="clear" w:color="auto" w:fill="ECEDED"/>
          </w:tcPr>
          <w:p>
            <w:pPr>
              <w:spacing w:after="0"/>
              <w:rPr>
                <w:sz w:val="16"/>
                <w:szCs w:val="16"/>
                <w:color w:val="auto"/>
              </w:rPr>
            </w:pPr>
          </w:p>
        </w:tc>
        <w:tc>
          <w:tcPr>
            <w:tcW w:w="5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$1,497</w:t>
            </w:r>
          </w:p>
        </w:tc>
        <w:tc>
          <w:tcPr>
            <w:tcW w:w="200" w:type="dxa"/>
            <w:vAlign w:val="bottom"/>
            <w:shd w:val="clear" w:color="auto" w:fill="ECEDED"/>
          </w:tcPr>
          <w:p>
            <w:pPr>
              <w:spacing w:after="0"/>
              <w:rPr>
                <w:sz w:val="16"/>
                <w:szCs w:val="16"/>
                <w:color w:val="auto"/>
              </w:rPr>
            </w:pPr>
          </w:p>
        </w:tc>
        <w:tc>
          <w:tcPr>
            <w:tcW w:w="1940" w:type="dxa"/>
            <w:vAlign w:val="bottom"/>
            <w:tcBorders>
              <w:bottom w:val="single" w:sz="8" w:color="58585A"/>
            </w:tcBorders>
            <w:shd w:val="clear" w:color="auto" w:fill="ECEDED"/>
          </w:tcPr>
          <w:p>
            <w:pPr>
              <w:spacing w:after="0"/>
              <w:rPr>
                <w:sz w:val="16"/>
                <w:szCs w:val="16"/>
                <w:color w:val="auto"/>
              </w:rPr>
            </w:pPr>
          </w:p>
        </w:tc>
        <w:tc>
          <w:tcPr>
            <w:tcW w:w="5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r>
        <w:trPr>
          <w:trHeight w:val="156"/>
        </w:trPr>
        <w:tc>
          <w:tcPr>
            <w:tcW w:w="188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Regeneron Percentile Rank in</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43P</w:t>
            </w: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49P</w:t>
            </w: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48P</w:t>
            </w: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52P</w:t>
            </w:r>
          </w:p>
        </w:tc>
        <w:tc>
          <w:tcPr>
            <w:tcW w:w="0" w:type="dxa"/>
            <w:vAlign w:val="bottom"/>
          </w:tcPr>
          <w:p>
            <w:pPr>
              <w:spacing w:after="0"/>
              <w:rPr>
                <w:sz w:val="1"/>
                <w:szCs w:val="1"/>
                <w:color w:val="auto"/>
              </w:rPr>
            </w:pPr>
          </w:p>
        </w:tc>
      </w:tr>
      <w:tr>
        <w:trPr>
          <w:trHeight w:val="88"/>
        </w:trPr>
        <w:tc>
          <w:tcPr>
            <w:tcW w:w="16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Peer Group</w:t>
            </w:r>
          </w:p>
        </w:tc>
        <w:tc>
          <w:tcPr>
            <w:tcW w:w="2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205BA8"/>
            </w:tcBorders>
            <w:vMerge w:val="continue"/>
          </w:tcPr>
          <w:p>
            <w:pPr>
              <w:spacing w:after="0"/>
              <w:rPr>
                <w:sz w:val="7"/>
                <w:szCs w:val="7"/>
                <w:color w:val="auto"/>
              </w:rPr>
            </w:pPr>
          </w:p>
        </w:tc>
        <w:tc>
          <w:tcPr>
            <w:tcW w:w="240" w:type="dxa"/>
            <w:vAlign w:val="bottom"/>
            <w:tcBorders>
              <w:bottom w:val="single" w:sz="8" w:color="205BA8"/>
            </w:tcBorders>
          </w:tcPr>
          <w:p>
            <w:pPr>
              <w:spacing w:after="0"/>
              <w:rPr>
                <w:sz w:val="7"/>
                <w:szCs w:val="7"/>
                <w:color w:val="auto"/>
              </w:rPr>
            </w:pPr>
          </w:p>
        </w:tc>
        <w:tc>
          <w:tcPr>
            <w:tcW w:w="620" w:type="dxa"/>
            <w:vAlign w:val="bottom"/>
            <w:tcBorders>
              <w:bottom w:val="single" w:sz="8" w:color="205BA8"/>
            </w:tcBorders>
          </w:tcPr>
          <w:p>
            <w:pPr>
              <w:spacing w:after="0"/>
              <w:rPr>
                <w:sz w:val="7"/>
                <w:szCs w:val="7"/>
                <w:color w:val="auto"/>
              </w:rPr>
            </w:pPr>
          </w:p>
        </w:tc>
        <w:tc>
          <w:tcPr>
            <w:tcW w:w="200" w:type="dxa"/>
            <w:vAlign w:val="bottom"/>
            <w:tcBorders>
              <w:bottom w:val="single" w:sz="8" w:color="205BA8"/>
            </w:tcBorders>
          </w:tcPr>
          <w:p>
            <w:pPr>
              <w:spacing w:after="0"/>
              <w:rPr>
                <w:sz w:val="7"/>
                <w:szCs w:val="7"/>
                <w:color w:val="auto"/>
              </w:rPr>
            </w:pPr>
          </w:p>
        </w:tc>
        <w:tc>
          <w:tcPr>
            <w:tcW w:w="1520" w:type="dxa"/>
            <w:vAlign w:val="bottom"/>
            <w:tcBorders>
              <w:bottom w:val="single" w:sz="8" w:color="205BA8"/>
            </w:tcBorders>
          </w:tcPr>
          <w:p>
            <w:pPr>
              <w:spacing w:after="0"/>
              <w:rPr>
                <w:sz w:val="7"/>
                <w:szCs w:val="7"/>
                <w:color w:val="auto"/>
              </w:rPr>
            </w:pPr>
          </w:p>
        </w:tc>
        <w:tc>
          <w:tcPr>
            <w:tcW w:w="880" w:type="dxa"/>
            <w:vAlign w:val="bottom"/>
            <w:tcBorders>
              <w:bottom w:val="single" w:sz="8" w:color="205BA8"/>
            </w:tcBorders>
          </w:tcPr>
          <w:p>
            <w:pPr>
              <w:spacing w:after="0"/>
              <w:rPr>
                <w:sz w:val="7"/>
                <w:szCs w:val="7"/>
                <w:color w:val="auto"/>
              </w:rPr>
            </w:pPr>
          </w:p>
        </w:tc>
        <w:tc>
          <w:tcPr>
            <w:tcW w:w="200" w:type="dxa"/>
            <w:vAlign w:val="bottom"/>
            <w:tcBorders>
              <w:bottom w:val="single" w:sz="8" w:color="205BA8"/>
            </w:tcBorders>
          </w:tcPr>
          <w:p>
            <w:pPr>
              <w:spacing w:after="0"/>
              <w:rPr>
                <w:sz w:val="7"/>
                <w:szCs w:val="7"/>
                <w:color w:val="auto"/>
              </w:rPr>
            </w:pPr>
          </w:p>
        </w:tc>
        <w:tc>
          <w:tcPr>
            <w:tcW w:w="1840" w:type="dxa"/>
            <w:vAlign w:val="bottom"/>
            <w:tcBorders>
              <w:bottom w:val="single" w:sz="8" w:color="205BA8"/>
            </w:tcBorders>
          </w:tcPr>
          <w:p>
            <w:pPr>
              <w:spacing w:after="0"/>
              <w:rPr>
                <w:sz w:val="7"/>
                <w:szCs w:val="7"/>
                <w:color w:val="auto"/>
              </w:rPr>
            </w:pPr>
          </w:p>
        </w:tc>
        <w:tc>
          <w:tcPr>
            <w:tcW w:w="560" w:type="dxa"/>
            <w:vAlign w:val="bottom"/>
            <w:tcBorders>
              <w:bottom w:val="single" w:sz="8" w:color="205BA8"/>
            </w:tcBorders>
          </w:tcPr>
          <w:p>
            <w:pPr>
              <w:spacing w:after="0"/>
              <w:rPr>
                <w:sz w:val="7"/>
                <w:szCs w:val="7"/>
                <w:color w:val="auto"/>
              </w:rPr>
            </w:pPr>
          </w:p>
        </w:tc>
        <w:tc>
          <w:tcPr>
            <w:tcW w:w="200" w:type="dxa"/>
            <w:vAlign w:val="bottom"/>
            <w:tcBorders>
              <w:bottom w:val="single" w:sz="8" w:color="205BA8"/>
            </w:tcBorders>
          </w:tcPr>
          <w:p>
            <w:pPr>
              <w:spacing w:after="0"/>
              <w:rPr>
                <w:sz w:val="7"/>
                <w:szCs w:val="7"/>
                <w:color w:val="auto"/>
              </w:rPr>
            </w:pPr>
          </w:p>
        </w:tc>
        <w:tc>
          <w:tcPr>
            <w:tcW w:w="1940" w:type="dxa"/>
            <w:vAlign w:val="bottom"/>
            <w:tcBorders>
              <w:bottom w:val="single" w:sz="8" w:color="205BA8"/>
            </w:tcBorders>
          </w:tcPr>
          <w:p>
            <w:pPr>
              <w:spacing w:after="0"/>
              <w:rPr>
                <w:sz w:val="7"/>
                <w:szCs w:val="7"/>
                <w:color w:val="auto"/>
              </w:rPr>
            </w:pPr>
          </w:p>
        </w:tc>
        <w:tc>
          <w:tcPr>
            <w:tcW w:w="560" w:type="dxa"/>
            <w:vAlign w:val="bottom"/>
            <w:tcBorders>
              <w:bottom w:val="single" w:sz="8" w:color="205BA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-2820670</wp:posOffset>
            </wp:positionV>
            <wp:extent cx="132080" cy="2813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2080" cy="281305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-2919730</wp:posOffset>
            </wp:positionV>
            <wp:extent cx="132080" cy="29121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2080" cy="291211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-2919730</wp:posOffset>
            </wp:positionV>
            <wp:extent cx="132080" cy="29121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2080" cy="2912110"/>
                    </a:xfrm>
                    <a:prstGeom prst="rect">
                      <a:avLst/>
                    </a:prstGeom>
                    <a:noFill/>
                  </pic:spPr>
                </pic:pic>
              </a:graphicData>
            </a:graphic>
          </wp:anchor>
        </w:drawing>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Source: Standard &amp; Poor’s Capital IQ.</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D61C5A"/>
        </w:rPr>
        <w:t>The Peer Group utilized in 2018 consists of the following 14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139065</wp:posOffset>
            </wp:positionV>
            <wp:extent cx="4686300" cy="165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686300" cy="1651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2320" w:type="dxa"/>
            <w:vAlign w:val="bottom"/>
            <w:tcBorders>
              <w:bottom w:val="single" w:sz="8" w:color="58585A"/>
            </w:tcBorders>
          </w:tcPr>
          <w:p>
            <w:pPr>
              <w:spacing w:after="0"/>
              <w:rPr>
                <w:sz w:val="20"/>
                <w:szCs w:val="20"/>
                <w:color w:val="auto"/>
              </w:rPr>
            </w:pPr>
            <w:r>
              <w:rPr>
                <w:rFonts w:ascii="Arial" w:cs="Arial" w:eastAsia="Arial" w:hAnsi="Arial"/>
                <w:sz w:val="13"/>
                <w:szCs w:val="13"/>
                <w:color w:val="auto"/>
              </w:rPr>
              <w:t>AbbVie Inc.</w:t>
            </w:r>
          </w:p>
        </w:tc>
        <w:tc>
          <w:tcPr>
            <w:tcW w:w="2420" w:type="dxa"/>
            <w:vAlign w:val="bottom"/>
            <w:tcBorders>
              <w:bottom w:val="single" w:sz="8" w:color="58585A"/>
            </w:tcBorders>
          </w:tcPr>
          <w:p>
            <w:pPr>
              <w:ind w:left="260"/>
              <w:spacing w:after="0"/>
              <w:rPr>
                <w:sz w:val="20"/>
                <w:szCs w:val="20"/>
                <w:color w:val="auto"/>
              </w:rPr>
            </w:pPr>
            <w:r>
              <w:rPr>
                <w:rFonts w:ascii="Arial" w:cs="Arial" w:eastAsia="Arial" w:hAnsi="Arial"/>
                <w:sz w:val="13"/>
                <w:szCs w:val="13"/>
                <w:color w:val="auto"/>
              </w:rPr>
              <w:t>Biogen Inc.*</w:t>
            </w:r>
          </w:p>
        </w:tc>
        <w:tc>
          <w:tcPr>
            <w:tcW w:w="2640" w:type="dxa"/>
            <w:vAlign w:val="bottom"/>
            <w:tcBorders>
              <w:bottom w:val="single" w:sz="8" w:color="58585A"/>
            </w:tcBorders>
          </w:tcPr>
          <w:p>
            <w:pPr>
              <w:ind w:left="420"/>
              <w:spacing w:after="0"/>
              <w:rPr>
                <w:sz w:val="20"/>
                <w:szCs w:val="20"/>
                <w:color w:val="auto"/>
              </w:rPr>
            </w:pPr>
            <w:r>
              <w:rPr>
                <w:rFonts w:ascii="Arial" w:cs="Arial" w:eastAsia="Arial" w:hAnsi="Arial"/>
                <w:sz w:val="13"/>
                <w:szCs w:val="13"/>
                <w:color w:val="auto"/>
              </w:rPr>
              <w:t>Gilead Sciences, Inc.*</w:t>
            </w:r>
          </w:p>
        </w:tc>
        <w:tc>
          <w:tcPr>
            <w:tcW w:w="500" w:type="dxa"/>
            <w:vAlign w:val="bottom"/>
          </w:tcPr>
          <w:p>
            <w:pPr>
              <w:spacing w:after="0"/>
              <w:rPr>
                <w:sz w:val="13"/>
                <w:szCs w:val="13"/>
                <w:color w:val="auto"/>
              </w:rPr>
            </w:pPr>
          </w:p>
        </w:tc>
      </w:tr>
      <w:tr>
        <w:trPr>
          <w:trHeight w:val="188"/>
        </w:trPr>
        <w:tc>
          <w:tcPr>
            <w:tcW w:w="3540" w:type="dxa"/>
            <w:vAlign w:val="bottom"/>
          </w:tcPr>
          <w:p>
            <w:pPr>
              <w:spacing w:after="0"/>
              <w:rPr>
                <w:sz w:val="16"/>
                <w:szCs w:val="16"/>
                <w:color w:val="auto"/>
              </w:rPr>
            </w:pPr>
          </w:p>
        </w:tc>
        <w:tc>
          <w:tcPr>
            <w:tcW w:w="2320" w:type="dxa"/>
            <w:vAlign w:val="bottom"/>
            <w:tcBorders>
              <w:bottom w:val="single" w:sz="8" w:color="58585A"/>
            </w:tcBorders>
          </w:tcPr>
          <w:p>
            <w:pPr>
              <w:spacing w:after="0"/>
              <w:rPr>
                <w:sz w:val="20"/>
                <w:szCs w:val="20"/>
                <w:color w:val="auto"/>
              </w:rPr>
            </w:pPr>
            <w:r>
              <w:rPr>
                <w:rFonts w:ascii="Arial" w:cs="Arial" w:eastAsia="Arial" w:hAnsi="Arial"/>
                <w:sz w:val="13"/>
                <w:szCs w:val="13"/>
                <w:color w:val="auto"/>
              </w:rPr>
              <w:t>Alexion Pharmaceuticals, Inc.*</w:t>
            </w:r>
          </w:p>
        </w:tc>
        <w:tc>
          <w:tcPr>
            <w:tcW w:w="2420" w:type="dxa"/>
            <w:vAlign w:val="bottom"/>
            <w:tcBorders>
              <w:bottom w:val="single" w:sz="8" w:color="58585A"/>
            </w:tcBorders>
          </w:tcPr>
          <w:p>
            <w:pPr>
              <w:ind w:left="260"/>
              <w:spacing w:after="0"/>
              <w:rPr>
                <w:sz w:val="20"/>
                <w:szCs w:val="20"/>
                <w:color w:val="auto"/>
              </w:rPr>
            </w:pPr>
            <w:r>
              <w:rPr>
                <w:rFonts w:ascii="Arial" w:cs="Arial" w:eastAsia="Arial" w:hAnsi="Arial"/>
                <w:sz w:val="13"/>
                <w:szCs w:val="13"/>
                <w:color w:val="auto"/>
              </w:rPr>
              <w:t>BioMarin Pharmaceutical Inc.*</w:t>
            </w:r>
          </w:p>
        </w:tc>
        <w:tc>
          <w:tcPr>
            <w:tcW w:w="2640" w:type="dxa"/>
            <w:vAlign w:val="bottom"/>
            <w:tcBorders>
              <w:bottom w:val="single" w:sz="8" w:color="58585A"/>
            </w:tcBorders>
          </w:tcPr>
          <w:p>
            <w:pPr>
              <w:ind w:left="420"/>
              <w:spacing w:after="0"/>
              <w:rPr>
                <w:sz w:val="20"/>
                <w:szCs w:val="20"/>
                <w:color w:val="auto"/>
              </w:rPr>
            </w:pPr>
            <w:r>
              <w:rPr>
                <w:rFonts w:ascii="Arial" w:cs="Arial" w:eastAsia="Arial" w:hAnsi="Arial"/>
                <w:sz w:val="13"/>
                <w:szCs w:val="13"/>
                <w:color w:val="auto"/>
              </w:rPr>
              <w:t>Incyte Corporation*</w:t>
            </w:r>
          </w:p>
        </w:tc>
        <w:tc>
          <w:tcPr>
            <w:tcW w:w="500" w:type="dxa"/>
            <w:vAlign w:val="bottom"/>
          </w:tcPr>
          <w:p>
            <w:pPr>
              <w:spacing w:after="0"/>
              <w:rPr>
                <w:sz w:val="16"/>
                <w:szCs w:val="16"/>
                <w:color w:val="auto"/>
              </w:rPr>
            </w:pPr>
          </w:p>
        </w:tc>
      </w:tr>
      <w:tr>
        <w:trPr>
          <w:trHeight w:val="188"/>
        </w:trPr>
        <w:tc>
          <w:tcPr>
            <w:tcW w:w="3540" w:type="dxa"/>
            <w:vAlign w:val="bottom"/>
          </w:tcPr>
          <w:p>
            <w:pPr>
              <w:spacing w:after="0"/>
              <w:rPr>
                <w:sz w:val="16"/>
                <w:szCs w:val="16"/>
                <w:color w:val="auto"/>
              </w:rPr>
            </w:pPr>
          </w:p>
        </w:tc>
        <w:tc>
          <w:tcPr>
            <w:tcW w:w="2320" w:type="dxa"/>
            <w:vAlign w:val="bottom"/>
            <w:tcBorders>
              <w:bottom w:val="single" w:sz="8" w:color="58585A"/>
            </w:tcBorders>
          </w:tcPr>
          <w:p>
            <w:pPr>
              <w:spacing w:after="0"/>
              <w:rPr>
                <w:sz w:val="20"/>
                <w:szCs w:val="20"/>
                <w:color w:val="auto"/>
              </w:rPr>
            </w:pPr>
            <w:r>
              <w:rPr>
                <w:rFonts w:ascii="Arial" w:cs="Arial" w:eastAsia="Arial" w:hAnsi="Arial"/>
                <w:sz w:val="13"/>
                <w:szCs w:val="13"/>
                <w:color w:val="auto"/>
              </w:rPr>
              <w:t>Alkermes plc*</w:t>
            </w:r>
          </w:p>
        </w:tc>
        <w:tc>
          <w:tcPr>
            <w:tcW w:w="2420" w:type="dxa"/>
            <w:vAlign w:val="bottom"/>
            <w:tcBorders>
              <w:bottom w:val="single" w:sz="8" w:color="58585A"/>
            </w:tcBorders>
          </w:tcPr>
          <w:p>
            <w:pPr>
              <w:ind w:left="260"/>
              <w:spacing w:after="0"/>
              <w:rPr>
                <w:sz w:val="20"/>
                <w:szCs w:val="20"/>
                <w:color w:val="auto"/>
              </w:rPr>
            </w:pPr>
            <w:r>
              <w:rPr>
                <w:rFonts w:ascii="Arial" w:cs="Arial" w:eastAsia="Arial" w:hAnsi="Arial"/>
                <w:sz w:val="13"/>
                <w:szCs w:val="13"/>
                <w:color w:val="auto"/>
              </w:rPr>
              <w:t>Bristol-Myers Squibb Company</w:t>
            </w:r>
          </w:p>
        </w:tc>
        <w:tc>
          <w:tcPr>
            <w:tcW w:w="2640" w:type="dxa"/>
            <w:vAlign w:val="bottom"/>
            <w:tcBorders>
              <w:bottom w:val="single" w:sz="8" w:color="58585A"/>
            </w:tcBorders>
          </w:tcPr>
          <w:p>
            <w:pPr>
              <w:ind w:left="420"/>
              <w:spacing w:after="0"/>
              <w:rPr>
                <w:sz w:val="20"/>
                <w:szCs w:val="20"/>
                <w:color w:val="auto"/>
              </w:rPr>
            </w:pPr>
            <w:r>
              <w:rPr>
                <w:rFonts w:ascii="Arial" w:cs="Arial" w:eastAsia="Arial" w:hAnsi="Arial"/>
                <w:sz w:val="13"/>
                <w:szCs w:val="13"/>
                <w:color w:val="auto"/>
              </w:rPr>
              <w:t>United Therapeutics Corporation*</w:t>
            </w:r>
          </w:p>
        </w:tc>
        <w:tc>
          <w:tcPr>
            <w:tcW w:w="500" w:type="dxa"/>
            <w:vAlign w:val="bottom"/>
          </w:tcPr>
          <w:p>
            <w:pPr>
              <w:spacing w:after="0"/>
              <w:rPr>
                <w:sz w:val="16"/>
                <w:szCs w:val="16"/>
                <w:color w:val="auto"/>
              </w:rPr>
            </w:pPr>
          </w:p>
        </w:tc>
      </w:tr>
      <w:tr>
        <w:trPr>
          <w:trHeight w:val="188"/>
        </w:trPr>
        <w:tc>
          <w:tcPr>
            <w:tcW w:w="354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Alnylam Pharmaceuticals, Inc.*</w:t>
            </w:r>
          </w:p>
        </w:tc>
        <w:tc>
          <w:tcPr>
            <w:tcW w:w="2420" w:type="dxa"/>
            <w:vAlign w:val="bottom"/>
          </w:tcPr>
          <w:p>
            <w:pPr>
              <w:ind w:left="260"/>
              <w:spacing w:after="0"/>
              <w:rPr>
                <w:sz w:val="20"/>
                <w:szCs w:val="20"/>
                <w:color w:val="auto"/>
              </w:rPr>
            </w:pPr>
            <w:r>
              <w:rPr>
                <w:rFonts w:ascii="Arial" w:cs="Arial" w:eastAsia="Arial" w:hAnsi="Arial"/>
                <w:sz w:val="13"/>
                <w:szCs w:val="13"/>
                <w:color w:val="auto"/>
              </w:rPr>
              <w:t>Celgene Corporation *</w:t>
            </w:r>
          </w:p>
        </w:tc>
        <w:tc>
          <w:tcPr>
            <w:tcW w:w="3140" w:type="dxa"/>
            <w:vAlign w:val="bottom"/>
            <w:gridSpan w:val="2"/>
          </w:tcPr>
          <w:p>
            <w:pPr>
              <w:ind w:left="420"/>
              <w:spacing w:after="0"/>
              <w:rPr>
                <w:sz w:val="20"/>
                <w:szCs w:val="20"/>
                <w:color w:val="auto"/>
              </w:rPr>
            </w:pPr>
            <w:r>
              <w:rPr>
                <w:rFonts w:ascii="Arial" w:cs="Arial" w:eastAsia="Arial" w:hAnsi="Arial"/>
                <w:sz w:val="13"/>
                <w:szCs w:val="13"/>
                <w:color w:val="auto"/>
              </w:rPr>
              <w:t>Vertex Pharmaceuticals, Inc.*</w:t>
            </w:r>
          </w:p>
        </w:tc>
      </w:tr>
      <w:tr>
        <w:trPr>
          <w:trHeight w:val="188"/>
        </w:trPr>
        <w:tc>
          <w:tcPr>
            <w:tcW w:w="3540" w:type="dxa"/>
            <w:vAlign w:val="bottom"/>
          </w:tcPr>
          <w:p>
            <w:pPr>
              <w:spacing w:after="0"/>
              <w:rPr>
                <w:sz w:val="16"/>
                <w:szCs w:val="16"/>
                <w:color w:val="auto"/>
              </w:rPr>
            </w:pPr>
          </w:p>
        </w:tc>
        <w:tc>
          <w:tcPr>
            <w:tcW w:w="2320" w:type="dxa"/>
            <w:vAlign w:val="bottom"/>
            <w:tcBorders>
              <w:top w:val="single" w:sz="8" w:color="58585A"/>
              <w:bottom w:val="single" w:sz="8" w:color="205BA8"/>
            </w:tcBorders>
          </w:tcPr>
          <w:p>
            <w:pPr>
              <w:spacing w:after="0"/>
              <w:rPr>
                <w:sz w:val="20"/>
                <w:szCs w:val="20"/>
                <w:color w:val="auto"/>
              </w:rPr>
            </w:pPr>
            <w:r>
              <w:rPr>
                <w:rFonts w:ascii="Arial" w:cs="Arial" w:eastAsia="Arial" w:hAnsi="Arial"/>
                <w:sz w:val="13"/>
                <w:szCs w:val="13"/>
                <w:color w:val="auto"/>
              </w:rPr>
              <w:t>Amgen Inc.</w:t>
            </w:r>
          </w:p>
        </w:tc>
        <w:tc>
          <w:tcPr>
            <w:tcW w:w="2420" w:type="dxa"/>
            <w:vAlign w:val="bottom"/>
            <w:tcBorders>
              <w:top w:val="single" w:sz="8" w:color="58585A"/>
              <w:bottom w:val="single" w:sz="8" w:color="205BA8"/>
            </w:tcBorders>
          </w:tcPr>
          <w:p>
            <w:pPr>
              <w:ind w:left="260"/>
              <w:spacing w:after="0"/>
              <w:rPr>
                <w:sz w:val="20"/>
                <w:szCs w:val="20"/>
                <w:color w:val="auto"/>
              </w:rPr>
            </w:pPr>
            <w:r>
              <w:rPr>
                <w:rFonts w:ascii="Arial" w:cs="Arial" w:eastAsia="Arial" w:hAnsi="Arial"/>
                <w:sz w:val="13"/>
                <w:szCs w:val="13"/>
                <w:color w:val="auto"/>
              </w:rPr>
              <w:t>Eli Lilly and Company</w:t>
            </w:r>
          </w:p>
        </w:tc>
        <w:tc>
          <w:tcPr>
            <w:tcW w:w="2640" w:type="dxa"/>
            <w:vAlign w:val="bottom"/>
            <w:tcBorders>
              <w:top w:val="single" w:sz="8" w:color="58585A"/>
              <w:bottom w:val="single" w:sz="8" w:color="205BA8"/>
            </w:tcBorders>
          </w:tcPr>
          <w:p>
            <w:pPr>
              <w:spacing w:after="0"/>
              <w:rPr>
                <w:sz w:val="16"/>
                <w:szCs w:val="16"/>
                <w:color w:val="auto"/>
              </w:rPr>
            </w:pPr>
          </w:p>
        </w:tc>
        <w:tc>
          <w:tcPr>
            <w:tcW w:w="500" w:type="dxa"/>
            <w:vAlign w:val="bottom"/>
          </w:tcPr>
          <w:p>
            <w:pPr>
              <w:spacing w:after="0"/>
              <w:rPr>
                <w:sz w:val="16"/>
                <w:szCs w:val="16"/>
                <w:color w:val="auto"/>
              </w:rPr>
            </w:pPr>
          </w:p>
        </w:tc>
      </w:tr>
      <w:tr>
        <w:trPr>
          <w:trHeight w:val="235"/>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 Regeneron’s Biotech R&amp;D Peer.</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1"/>
        </w:trPr>
        <w:tc>
          <w:tcPr>
            <w:tcW w:w="3540" w:type="dxa"/>
            <w:vAlign w:val="bottom"/>
          </w:tcPr>
          <w:p>
            <w:pPr>
              <w:jc w:val="right"/>
              <w:ind w:right="2651"/>
              <w:spacing w:after="0"/>
              <w:rPr>
                <w:sz w:val="20"/>
                <w:szCs w:val="20"/>
                <w:color w:val="auto"/>
              </w:rPr>
            </w:pPr>
            <w:r>
              <w:rPr>
                <w:rFonts w:ascii="Arial" w:cs="Arial" w:eastAsia="Arial" w:hAnsi="Arial"/>
                <w:sz w:val="14"/>
                <w:szCs w:val="14"/>
                <w:b w:val="1"/>
                <w:bCs w:val="1"/>
                <w:color w:val="205BA8"/>
              </w:rPr>
              <w:t>74  /</w:t>
            </w:r>
          </w:p>
        </w:tc>
        <w:tc>
          <w:tcPr>
            <w:tcW w:w="2320" w:type="dxa"/>
            <w:vAlign w:val="bottom"/>
          </w:tcPr>
          <w:p>
            <w:pPr>
              <w:spacing w:after="0"/>
              <w:rPr>
                <w:sz w:val="24"/>
                <w:szCs w:val="24"/>
                <w:color w:val="auto"/>
              </w:rPr>
            </w:pPr>
          </w:p>
        </w:tc>
        <w:tc>
          <w:tcPr>
            <w:tcW w:w="5560" w:type="dxa"/>
            <w:vAlign w:val="bottom"/>
            <w:gridSpan w:val="3"/>
          </w:tcPr>
          <w:p>
            <w:pPr>
              <w:ind w:left="48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r>
      <w:tr>
        <w:trPr>
          <w:trHeight w:val="252"/>
        </w:trPr>
        <w:tc>
          <w:tcPr>
            <w:tcW w:w="3540" w:type="dxa"/>
            <w:vAlign w:val="bottom"/>
            <w:tcBorders>
              <w:bottom w:val="single" w:sz="8" w:color="C0C0C0"/>
            </w:tcBorders>
          </w:tcPr>
          <w:p>
            <w:pPr>
              <w:spacing w:after="0"/>
              <w:rPr>
                <w:sz w:val="21"/>
                <w:szCs w:val="21"/>
                <w:color w:val="auto"/>
              </w:rPr>
            </w:pPr>
          </w:p>
        </w:tc>
        <w:tc>
          <w:tcPr>
            <w:tcW w:w="2320" w:type="dxa"/>
            <w:vAlign w:val="bottom"/>
            <w:tcBorders>
              <w:bottom w:val="single" w:sz="8" w:color="C0C0C0"/>
            </w:tcBorders>
          </w:tcPr>
          <w:p>
            <w:pPr>
              <w:spacing w:after="0"/>
              <w:rPr>
                <w:sz w:val="21"/>
                <w:szCs w:val="21"/>
                <w:color w:val="auto"/>
              </w:rPr>
            </w:pPr>
          </w:p>
        </w:tc>
        <w:tc>
          <w:tcPr>
            <w:tcW w:w="2420" w:type="dxa"/>
            <w:vAlign w:val="bottom"/>
            <w:tcBorders>
              <w:bottom w:val="single" w:sz="8" w:color="C0C0C0"/>
            </w:tcBorders>
          </w:tcPr>
          <w:p>
            <w:pPr>
              <w:spacing w:after="0"/>
              <w:rPr>
                <w:sz w:val="21"/>
                <w:szCs w:val="21"/>
                <w:color w:val="auto"/>
              </w:rPr>
            </w:pPr>
          </w:p>
        </w:tc>
        <w:tc>
          <w:tcPr>
            <w:tcW w:w="264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-280035</wp:posOffset>
            </wp:positionV>
            <wp:extent cx="717550" cy="825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87" w:name="page88"/>
    <w:bookmarkEnd w:id="87"/>
    <w:p>
      <w:pPr>
        <w:ind w:left="43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520"/>
        <w:spacing w:after="0"/>
        <w:rPr>
          <w:sz w:val="20"/>
          <w:szCs w:val="20"/>
          <w:color w:val="auto"/>
        </w:rPr>
      </w:pPr>
      <w:r>
        <w:rPr>
          <w:rFonts w:ascii="Arial" w:cs="Arial" w:eastAsia="Arial" w:hAnsi="Arial"/>
          <w:sz w:val="25"/>
          <w:szCs w:val="25"/>
          <w:b w:val="1"/>
          <w:bCs w:val="1"/>
          <w:color w:val="D61C5A"/>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-259715</wp:posOffset>
            </wp:positionV>
            <wp:extent cx="164973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64973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1521460</wp:posOffset>
            </wp:positionV>
            <wp:extent cx="16497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680"/>
        <w:spacing w:after="0" w:line="223" w:lineRule="auto"/>
        <w:rPr>
          <w:sz w:val="20"/>
          <w:szCs w:val="20"/>
          <w:color w:val="auto"/>
        </w:rPr>
      </w:pPr>
      <w:r>
        <w:rPr>
          <w:rFonts w:ascii="Arial" w:cs="Arial" w:eastAsia="Arial" w:hAnsi="Arial"/>
          <w:sz w:val="15"/>
          <w:szCs w:val="15"/>
          <w:color w:val="auto"/>
        </w:rPr>
        <w:t>Further, in our review of the Peer Group data, we also consider the practices of the 10-company sub-group of peers viewed as having businesses and drug discovery and development cultures that are most similar to Regeneron’s, with similarly-sized employee bases (marked with an asterisk in the table above and referred to as “Biotech R&amp;D Peers”).</w:t>
      </w:r>
    </w:p>
    <w:p>
      <w:pPr>
        <w:spacing w:after="0" w:line="138" w:lineRule="exact"/>
        <w:rPr>
          <w:sz w:val="20"/>
          <w:szCs w:val="20"/>
          <w:color w:val="auto"/>
        </w:rPr>
      </w:pPr>
    </w:p>
    <w:p>
      <w:pPr>
        <w:ind w:right="540"/>
        <w:spacing w:after="0" w:line="220" w:lineRule="auto"/>
        <w:rPr>
          <w:sz w:val="20"/>
          <w:szCs w:val="20"/>
          <w:color w:val="auto"/>
        </w:rPr>
      </w:pPr>
      <w:r>
        <w:rPr>
          <w:rFonts w:ascii="Arial" w:cs="Arial" w:eastAsia="Arial" w:hAnsi="Arial"/>
          <w:sz w:val="15"/>
          <w:szCs w:val="15"/>
          <w:color w:val="auto"/>
        </w:rPr>
        <w:t>In making the compensation decisions in December 2018,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taking into account various factors such as the executive’s performance, past compensation history, experience, and their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46863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74" w:lineRule="exact"/>
        <w:rPr>
          <w:sz w:val="20"/>
          <w:szCs w:val="20"/>
          <w:color w:val="auto"/>
        </w:rPr>
      </w:pPr>
    </w:p>
    <w:p>
      <w:pPr>
        <w:ind w:right="520"/>
        <w:spacing w:after="0" w:line="218" w:lineRule="auto"/>
        <w:rPr>
          <w:sz w:val="20"/>
          <w:szCs w:val="20"/>
          <w:color w:val="auto"/>
        </w:rPr>
      </w:pPr>
      <w:r>
        <w:rPr>
          <w:rFonts w:ascii="Arial" w:cs="Arial" w:eastAsia="Arial" w:hAnsi="Arial"/>
          <w:sz w:val="15"/>
          <w:szCs w:val="15"/>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The Company’s compensation and governance-related policies are further enhanced by our stock ownership guidelines applicable to our senior officers and our policy regarding recoupment or reduction (clawback) of incentive compensation of our officers and other specified employees for compliance violations; as well as a policy against hedging and pledging of our securities by our directors and employees, including the NEOs. We also have a policy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 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46863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540"/>
            <w:col w:w="7880"/>
          </w:cols>
          <w:pgMar w:left="240" w:top="396" w:right="239" w:bottom="1440" w:gutter="0" w:footer="0" w:header="0"/>
          <w:type w:val="continuous"/>
        </w:sectPr>
      </w:pP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61C5A"/>
        </w:rPr>
        <w:t>TAX IMPLICATIONS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We take tax considerations into account in making our compensation-related assessments and decisions.</w:t>
      </w:r>
    </w:p>
    <w:p>
      <w:pPr>
        <w:spacing w:after="0" w:line="139" w:lineRule="exact"/>
        <w:rPr>
          <w:sz w:val="20"/>
          <w:szCs w:val="20"/>
          <w:color w:val="auto"/>
        </w:rPr>
      </w:pPr>
    </w:p>
    <w:p>
      <w:pPr>
        <w:ind w:right="520"/>
        <w:spacing w:after="0" w:line="218" w:lineRule="auto"/>
        <w:rPr>
          <w:sz w:val="20"/>
          <w:szCs w:val="20"/>
          <w:color w:val="auto"/>
        </w:rPr>
      </w:pPr>
      <w:r>
        <w:rPr>
          <w:rFonts w:ascii="Arial" w:cs="Arial" w:eastAsia="Arial" w:hAnsi="Arial"/>
          <w:sz w:val="15"/>
          <w:szCs w:val="15"/>
          <w:color w:val="auto"/>
        </w:rPr>
        <w:t>Prior to the enactment of the Tax Cuts and Jobs Act in December 2017, Section 162(m) of the Internal Revenue Code generally limited the deductibility for federal income tax purposes of compensation in any year paid to the CEO and the other NEOs (other than the Chief Financial Officer) (the “covered employees”) to the extent such compensation exceeded $1 million. “Performance-based” compensation, as defined under Section 162(m) of the Internal Revenue Code, was exempt from such deduction limitation if specified requirements set forth in the Internal Revenue Code and applicable Treasury regulations were met. The Regeneron Pharmaceuticals, Inc. Cash Incentive Bonus Plan and the Amended and Restated Regeneron Pharmaceuticals, Inc. 2014 Long-Term Incentive Plan, each adopted prior to the enactment of the Tax Cuts and Jobs Act, allow (but do not require) awards thereunder to be subject to the attainment of performance goals in order to qualify for this performance-based compensation exception. Under the Tax Cuts and Jobs Act, which became effective for us commencing with our 2018 fiscal year, the exception under Section 162(m) for performance-based compensation is no longer generally available, subject to transition relief for certain grandfathered arrangements in effect as of November 2, 2017. Further, the definition of covered employees has been expanded to include our CFO. In addition, once one of our NEOs is considered a covered employee subject to the deduction limitation of Section 162(m), the NEO will remain a covered employee so long as he or she receives compensation from us. Despite the elimination of the performance-based compensation exception, in 2018 we used the Cash Incentive Bonus Plan for annual cash incentives</w:t>
      </w:r>
    </w:p>
    <w:p>
      <w:pPr>
        <w:spacing w:after="0" w:line="172" w:lineRule="exact"/>
        <w:rPr>
          <w:sz w:val="20"/>
          <w:szCs w:val="20"/>
          <w:color w:val="auto"/>
        </w:rPr>
      </w:pPr>
    </w:p>
    <w:p>
      <w:pPr>
        <w:sectPr>
          <w:pgSz w:w="11900" w:h="16838" w:orient="portrait"/>
          <w:cols w:equalWidth="0" w:num="2">
            <w:col w:w="2940" w:space="60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75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304" w:lineRule="exact"/>
        <w:rPr>
          <w:sz w:val="20"/>
          <w:szCs w:val="20"/>
          <w:color w:val="auto"/>
        </w:rPr>
      </w:pPr>
    </w:p>
    <w:p>
      <w:pPr>
        <w:ind w:left="3020" w:right="100"/>
        <w:spacing w:after="0" w:line="223" w:lineRule="auto"/>
        <w:rPr>
          <w:sz w:val="20"/>
          <w:szCs w:val="20"/>
          <w:color w:val="auto"/>
        </w:rPr>
      </w:pPr>
      <w:r>
        <w:rPr>
          <w:rFonts w:ascii="Arial" w:cs="Arial" w:eastAsia="Arial" w:hAnsi="Arial"/>
          <w:sz w:val="15"/>
          <w:szCs w:val="15"/>
          <w:color w:val="auto"/>
        </w:rPr>
        <w:t>of the NEOs because we believe it furthers our compensation philosophy and objectives regardless of tax treatment. However, the Compensation Committee will continue to review the full impact of the Tax Cuts and Jobs Act’s changes to Section 162(m) on the Company, our compensation programs, and executive compensation trends generally as it makes compensation-related assessments and decisions in the future.</w:t>
      </w:r>
    </w:p>
    <w:p>
      <w:pPr>
        <w:spacing w:after="0" w:line="138" w:lineRule="exact"/>
        <w:rPr>
          <w:sz w:val="20"/>
          <w:szCs w:val="20"/>
          <w:color w:val="auto"/>
        </w:rPr>
      </w:pPr>
    </w:p>
    <w:p>
      <w:pPr>
        <w:ind w:left="3020" w:right="100"/>
        <w:spacing w:after="0" w:line="221" w:lineRule="auto"/>
        <w:rPr>
          <w:sz w:val="20"/>
          <w:szCs w:val="20"/>
          <w:color w:val="auto"/>
        </w:rPr>
      </w:pPr>
      <w:r>
        <w:rPr>
          <w:rFonts w:ascii="Arial" w:cs="Arial" w:eastAsia="Arial" w:hAnsi="Arial"/>
          <w:sz w:val="15"/>
          <w:szCs w:val="15"/>
          <w:color w:val="auto"/>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2018, this disallowance amounted to approximately $2.0 million.</w:t>
      </w:r>
    </w:p>
    <w:p>
      <w:pPr>
        <w:spacing w:after="0" w:line="141" w:lineRule="exact"/>
        <w:rPr>
          <w:sz w:val="20"/>
          <w:szCs w:val="20"/>
          <w:color w:val="auto"/>
        </w:rPr>
      </w:pPr>
    </w:p>
    <w:p>
      <w:pPr>
        <w:ind w:left="3020" w:right="80"/>
        <w:spacing w:after="0" w:line="220" w:lineRule="auto"/>
        <w:rPr>
          <w:sz w:val="20"/>
          <w:szCs w:val="20"/>
          <w:color w:val="auto"/>
        </w:rPr>
      </w:pPr>
      <w:r>
        <w:rPr>
          <w:rFonts w:ascii="Arial" w:cs="Arial" w:eastAsia="Arial" w:hAnsi="Arial"/>
          <w:sz w:val="15"/>
          <w:szCs w:val="15"/>
          <w:color w:val="auto"/>
        </w:rPr>
        <w:t>We take into account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 Prior to the enactment of the Tax Cuts and Jobs Act in December 2017, compensation attributable to stock options generally qualified as “performance-based” compensation and, as such, received favorable treatment under Section 162(m) of the Internal Revenue Code.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76  /  </w:t>
      </w:r>
      <w:r>
        <w:rPr>
          <w:sz w:val="1"/>
          <w:szCs w:val="1"/>
          <w:color w:val="auto"/>
        </w:rPr>
        <w:drawing>
          <wp:inline distT="0" distB="0" distL="0" distR="0">
            <wp:extent cx="717550" cy="8255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89" w:name="page90"/>
    <w:bookmarkEnd w:id="89"/>
    <w:p>
      <w:pPr>
        <w:ind w:left="432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47"/>
          <w:szCs w:val="47"/>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36830</wp:posOffset>
            </wp:positionV>
            <wp:extent cx="6600190" cy="165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8" w:lineRule="exact"/>
        <w:rPr>
          <w:sz w:val="20"/>
          <w:szCs w:val="20"/>
          <w:color w:val="auto"/>
        </w:rPr>
      </w:pPr>
    </w:p>
    <w:p>
      <w:pPr>
        <w:jc w:val="both"/>
        <w:ind w:left="520" w:right="580"/>
        <w:spacing w:after="0" w:line="225" w:lineRule="auto"/>
        <w:rPr>
          <w:sz w:val="20"/>
          <w:szCs w:val="20"/>
          <w:color w:val="auto"/>
        </w:rPr>
      </w:pPr>
      <w:r>
        <w:rPr>
          <w:rFonts w:ascii="Arial" w:cs="Arial" w:eastAsia="Arial" w:hAnsi="Arial"/>
          <w:sz w:val="15"/>
          <w:szCs w:val="15"/>
          <w:color w:val="auto"/>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205BA8"/>
        </w:rPr>
        <w:t>The Compensation Committee</w:t>
      </w:r>
    </w:p>
    <w:p>
      <w:pPr>
        <w:ind w:left="520"/>
        <w:spacing w:after="0" w:line="218" w:lineRule="auto"/>
        <w:rPr>
          <w:sz w:val="20"/>
          <w:szCs w:val="20"/>
          <w:color w:val="auto"/>
        </w:rPr>
      </w:pPr>
      <w:r>
        <w:rPr>
          <w:rFonts w:ascii="Arial" w:cs="Arial" w:eastAsia="Arial" w:hAnsi="Arial"/>
          <w:sz w:val="15"/>
          <w:szCs w:val="15"/>
          <w:b w:val="1"/>
          <w:bCs w:val="1"/>
          <w:color w:val="auto"/>
        </w:rPr>
        <w:t>Christine A. Poon, Chairperson</w:t>
      </w:r>
    </w:p>
    <w:p>
      <w:pPr>
        <w:ind w:left="520"/>
        <w:spacing w:after="0" w:line="217" w:lineRule="auto"/>
        <w:rPr>
          <w:sz w:val="20"/>
          <w:szCs w:val="20"/>
          <w:color w:val="auto"/>
        </w:rPr>
      </w:pPr>
      <w:r>
        <w:rPr>
          <w:rFonts w:ascii="Arial" w:cs="Arial" w:eastAsia="Arial" w:hAnsi="Arial"/>
          <w:sz w:val="15"/>
          <w:szCs w:val="15"/>
          <w:b w:val="1"/>
          <w:bCs w:val="1"/>
          <w:color w:val="auto"/>
        </w:rPr>
        <w:t>Joseph L. Goldstein, M.D.</w:t>
      </w:r>
    </w:p>
    <w:p>
      <w:pPr>
        <w:ind w:left="520"/>
        <w:spacing w:after="0" w:line="217" w:lineRule="auto"/>
        <w:rPr>
          <w:sz w:val="20"/>
          <w:szCs w:val="20"/>
          <w:color w:val="auto"/>
        </w:rPr>
      </w:pPr>
      <w:r>
        <w:rPr>
          <w:rFonts w:ascii="Arial" w:cs="Arial" w:eastAsia="Arial" w:hAnsi="Arial"/>
          <w:sz w:val="15"/>
          <w:szCs w:val="15"/>
          <w:b w:val="1"/>
          <w:bCs w:val="1"/>
          <w:color w:val="auto"/>
        </w:rPr>
        <w:t>George L. Sing</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Huda Y. Zoghbi, M.D.</w:t>
      </w:r>
    </w:p>
    <w:p>
      <w:pPr>
        <w:spacing w:after="0" w:line="128" w:lineRule="exact"/>
        <w:rPr>
          <w:sz w:val="20"/>
          <w:szCs w:val="20"/>
          <w:color w:val="auto"/>
        </w:rPr>
      </w:pPr>
    </w:p>
    <w:p>
      <w:pPr>
        <w:ind w:left="520" w:right="1020"/>
        <w:spacing w:after="0" w:line="289" w:lineRule="auto"/>
        <w:rPr>
          <w:sz w:val="20"/>
          <w:szCs w:val="20"/>
          <w:color w:val="auto"/>
        </w:rPr>
      </w:pPr>
      <w:r>
        <w:rPr>
          <w:rFonts w:ascii="Arial" w:cs="Arial" w:eastAsia="Arial" w:hAnsi="Arial"/>
          <w:sz w:val="46"/>
          <w:szCs w:val="46"/>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-81915</wp:posOffset>
            </wp:positionV>
            <wp:extent cx="6600190" cy="165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56" w:lineRule="exact"/>
        <w:rPr>
          <w:sz w:val="20"/>
          <w:szCs w:val="20"/>
          <w:color w:val="auto"/>
        </w:rPr>
      </w:pPr>
    </w:p>
    <w:p>
      <w:pPr>
        <w:jc w:val="both"/>
        <w:ind w:left="520" w:right="780"/>
        <w:spacing w:after="0" w:line="225" w:lineRule="auto"/>
        <w:rPr>
          <w:sz w:val="20"/>
          <w:szCs w:val="20"/>
          <w:color w:val="auto"/>
        </w:rPr>
      </w:pPr>
      <w:r>
        <w:rPr>
          <w:rFonts w:ascii="Arial" w:cs="Arial" w:eastAsia="Arial" w:hAnsi="Arial"/>
          <w:sz w:val="15"/>
          <w:szCs w:val="15"/>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77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23"/>
        <w:spacing w:after="0"/>
        <w:rPr>
          <w:sz w:val="20"/>
          <w:szCs w:val="20"/>
          <w:color w:val="auto"/>
        </w:rPr>
      </w:pPr>
      <w:r>
        <w:rPr>
          <w:rFonts w:ascii="Arial" w:cs="Arial" w:eastAsia="Arial" w:hAnsi="Arial"/>
          <w:sz w:val="35"/>
          <w:szCs w:val="35"/>
          <w:b w:val="1"/>
          <w:bCs w:val="1"/>
          <w:color w:val="FFFFFF"/>
        </w:rPr>
        <w:t>COMPENSATION DASHBOARD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
        <w:spacing w:after="0"/>
        <w:rPr>
          <w:sz w:val="20"/>
          <w:szCs w:val="20"/>
          <w:color w:val="auto"/>
        </w:rPr>
      </w:pPr>
      <w:r>
        <w:rPr>
          <w:rFonts w:ascii="Arial" w:cs="Arial" w:eastAsia="Arial" w:hAnsi="Arial"/>
          <w:sz w:val="47"/>
          <w:szCs w:val="47"/>
          <w:b w:val="1"/>
          <w:bCs w:val="1"/>
          <w:color w:val="auto"/>
        </w:rPr>
        <w:t>2018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6600190" cy="165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96" w:lineRule="exact"/>
        <w:rPr>
          <w:sz w:val="20"/>
          <w:szCs w:val="20"/>
          <w:color w:val="auto"/>
        </w:rPr>
      </w:pPr>
    </w:p>
    <w:p>
      <w:pPr>
        <w:jc w:val="both"/>
        <w:ind w:left="3" w:right="240"/>
        <w:spacing w:after="0" w:line="225" w:lineRule="auto"/>
        <w:rPr>
          <w:sz w:val="20"/>
          <w:szCs w:val="20"/>
          <w:color w:val="auto"/>
        </w:rPr>
      </w:pPr>
      <w:r>
        <w:rPr>
          <w:rFonts w:ascii="Arial" w:cs="Arial" w:eastAsia="Arial" w:hAnsi="Arial"/>
          <w:sz w:val="15"/>
          <w:szCs w:val="15"/>
          <w:color w:val="auto"/>
        </w:rPr>
        <w:t>The following table and accompanying footnotes provide information regarding compensation earned by, or paid to, our NEOs during the last three fiscal years (other than with respect to Mr. Van Plew, who qualified as an NEO for 2018 and 2017 but not for 2016; and Ms. McCourt, who joined the Company in February 2018 and qualified as an NEO for that year).</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D61C5A"/>
        </w:rPr>
        <w:t>2018 Summary Compensation Table</w:t>
      </w:r>
    </w:p>
    <w:p>
      <w:pPr>
        <w:spacing w:after="0" w:line="186"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2280" w:type="dxa"/>
            <w:vAlign w:val="bottom"/>
            <w:tcBorders>
              <w:top w:val="single" w:sz="8" w:color="205BA8"/>
              <w:bottom w:val="single" w:sz="8" w:color="205BA8"/>
            </w:tcBorders>
          </w:tcPr>
          <w:p>
            <w:pPr>
              <w:ind w:left="1380"/>
              <w:spacing w:after="0"/>
              <w:rPr>
                <w:sz w:val="20"/>
                <w:szCs w:val="20"/>
                <w:color w:val="auto"/>
              </w:rPr>
            </w:pPr>
            <w:r>
              <w:rPr>
                <w:rFonts w:ascii="Arial" w:cs="Arial" w:eastAsia="Arial" w:hAnsi="Arial"/>
                <w:sz w:val="11"/>
                <w:szCs w:val="11"/>
                <w:b w:val="1"/>
                <w:bCs w:val="1"/>
                <w:color w:val="205BA8"/>
              </w:rPr>
              <w:t>A</w:t>
            </w:r>
          </w:p>
        </w:tc>
        <w:tc>
          <w:tcPr>
            <w:tcW w:w="1220" w:type="dxa"/>
            <w:vAlign w:val="bottom"/>
            <w:tcBorders>
              <w:top w:val="single" w:sz="8" w:color="205BA8"/>
              <w:bottom w:val="single" w:sz="8" w:color="205BA8"/>
            </w:tcBorders>
          </w:tcPr>
          <w:p>
            <w:pPr>
              <w:jc w:val="center"/>
              <w:ind w:left="444"/>
              <w:spacing w:after="0"/>
              <w:rPr>
                <w:sz w:val="20"/>
                <w:szCs w:val="20"/>
                <w:color w:val="auto"/>
              </w:rPr>
            </w:pPr>
            <w:r>
              <w:rPr>
                <w:rFonts w:ascii="Arial" w:cs="Arial" w:eastAsia="Arial" w:hAnsi="Arial"/>
                <w:sz w:val="11"/>
                <w:szCs w:val="11"/>
                <w:b w:val="1"/>
                <w:bCs w:val="1"/>
                <w:color w:val="205BA8"/>
              </w:rPr>
              <w:t>B</w:t>
            </w:r>
          </w:p>
        </w:tc>
        <w:tc>
          <w:tcPr>
            <w:tcW w:w="98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C</w:t>
            </w:r>
          </w:p>
        </w:tc>
        <w:tc>
          <w:tcPr>
            <w:tcW w:w="112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E</w:t>
            </w:r>
          </w:p>
        </w:tc>
        <w:tc>
          <w:tcPr>
            <w:tcW w:w="110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88"/>
              </w:rPr>
              <w:t>F</w:t>
            </w:r>
          </w:p>
        </w:tc>
        <w:tc>
          <w:tcPr>
            <w:tcW w:w="1380" w:type="dxa"/>
            <w:vAlign w:val="bottom"/>
            <w:tcBorders>
              <w:top w:val="single" w:sz="8" w:color="205BA8"/>
              <w:bottom w:val="single" w:sz="8" w:color="205BA8"/>
            </w:tcBorders>
          </w:tcPr>
          <w:p>
            <w:pPr>
              <w:jc w:val="center"/>
              <w:ind w:left="24"/>
              <w:spacing w:after="0"/>
              <w:rPr>
                <w:sz w:val="20"/>
                <w:szCs w:val="20"/>
                <w:color w:val="auto"/>
              </w:rPr>
            </w:pPr>
            <w:r>
              <w:rPr>
                <w:rFonts w:ascii="Arial" w:cs="Arial" w:eastAsia="Arial" w:hAnsi="Arial"/>
                <w:sz w:val="11"/>
                <w:szCs w:val="11"/>
                <w:b w:val="1"/>
                <w:bCs w:val="1"/>
                <w:color w:val="205BA8"/>
              </w:rPr>
              <w:t>G</w:t>
            </w:r>
          </w:p>
        </w:tc>
        <w:tc>
          <w:tcPr>
            <w:tcW w:w="1220" w:type="dxa"/>
            <w:vAlign w:val="bottom"/>
            <w:tcBorders>
              <w:top w:val="single" w:sz="8" w:color="205BA8"/>
              <w:bottom w:val="single" w:sz="8" w:color="205BA8"/>
            </w:tcBorders>
          </w:tcPr>
          <w:p>
            <w:pPr>
              <w:jc w:val="center"/>
              <w:ind w:right="84"/>
              <w:spacing w:after="0"/>
              <w:rPr>
                <w:sz w:val="20"/>
                <w:szCs w:val="20"/>
                <w:color w:val="auto"/>
              </w:rPr>
            </w:pPr>
            <w:r>
              <w:rPr>
                <w:rFonts w:ascii="Arial" w:cs="Arial" w:eastAsia="Arial" w:hAnsi="Arial"/>
                <w:sz w:val="11"/>
                <w:szCs w:val="11"/>
                <w:b w:val="1"/>
                <w:bCs w:val="1"/>
                <w:color w:val="205BA8"/>
              </w:rPr>
              <w:t>I</w:t>
            </w:r>
          </w:p>
        </w:tc>
        <w:tc>
          <w:tcPr>
            <w:tcW w:w="1100" w:type="dxa"/>
            <w:vAlign w:val="bottom"/>
            <w:tcBorders>
              <w:top w:val="single" w:sz="8" w:color="205BA8"/>
              <w:bottom w:val="single" w:sz="8" w:color="205BA8"/>
            </w:tcBorders>
          </w:tcPr>
          <w:p>
            <w:pPr>
              <w:jc w:val="center"/>
              <w:ind w:right="4"/>
              <w:spacing w:after="0"/>
              <w:rPr>
                <w:sz w:val="20"/>
                <w:szCs w:val="20"/>
                <w:color w:val="auto"/>
              </w:rPr>
            </w:pPr>
            <w:r>
              <w:rPr>
                <w:rFonts w:ascii="Arial" w:cs="Arial" w:eastAsia="Arial" w:hAnsi="Arial"/>
                <w:sz w:val="11"/>
                <w:szCs w:val="11"/>
                <w:b w:val="1"/>
                <w:bCs w:val="1"/>
                <w:color w:val="205BA8"/>
              </w:rPr>
              <w:t>J</w:t>
            </w:r>
          </w:p>
        </w:tc>
      </w:tr>
      <w:tr>
        <w:trPr>
          <w:trHeight w:val="124"/>
        </w:trPr>
        <w:tc>
          <w:tcPr>
            <w:tcW w:w="2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tcPr>
          <w:p>
            <w:pPr>
              <w:jc w:val="center"/>
              <w:ind w:left="4"/>
              <w:spacing w:after="0" w:line="124" w:lineRule="exact"/>
              <w:rPr>
                <w:sz w:val="20"/>
                <w:szCs w:val="20"/>
                <w:color w:val="auto"/>
              </w:rPr>
            </w:pPr>
            <w:r>
              <w:rPr>
                <w:rFonts w:ascii="Arial" w:cs="Arial" w:eastAsia="Arial" w:hAnsi="Arial"/>
                <w:sz w:val="11"/>
                <w:szCs w:val="11"/>
                <w:b w:val="1"/>
                <w:bCs w:val="1"/>
                <w:color w:val="205BA8"/>
              </w:rPr>
              <w:t>Non-Equity</w:t>
            </w:r>
          </w:p>
        </w:tc>
        <w:tc>
          <w:tcPr>
            <w:tcW w:w="122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205BA8"/>
              </w:rPr>
              <w:t>All Other</w:t>
            </w:r>
          </w:p>
        </w:tc>
        <w:tc>
          <w:tcPr>
            <w:tcW w:w="1100" w:type="dxa"/>
            <w:vAlign w:val="bottom"/>
          </w:tcPr>
          <w:p>
            <w:pPr>
              <w:spacing w:after="0"/>
              <w:rPr>
                <w:sz w:val="10"/>
                <w:szCs w:val="10"/>
                <w:color w:val="auto"/>
              </w:rPr>
            </w:pPr>
          </w:p>
        </w:tc>
      </w:tr>
      <w:tr>
        <w:trPr>
          <w:trHeight w:val="148"/>
        </w:trPr>
        <w:tc>
          <w:tcPr>
            <w:tcW w:w="2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205BA8"/>
                <w:w w:val="99"/>
              </w:rPr>
              <w:t>Stock</w:t>
            </w:r>
          </w:p>
        </w:tc>
        <w:tc>
          <w:tcPr>
            <w:tcW w:w="1100" w:type="dxa"/>
            <w:vAlign w:val="bottom"/>
          </w:tcPr>
          <w:p>
            <w:pPr>
              <w:jc w:val="center"/>
              <w:ind w:left="4"/>
              <w:spacing w:after="0"/>
              <w:rPr>
                <w:sz w:val="20"/>
                <w:szCs w:val="20"/>
                <w:color w:val="auto"/>
              </w:rPr>
            </w:pPr>
            <w:r>
              <w:rPr>
                <w:rFonts w:ascii="Arial" w:cs="Arial" w:eastAsia="Arial" w:hAnsi="Arial"/>
                <w:sz w:val="11"/>
                <w:szCs w:val="11"/>
                <w:b w:val="1"/>
                <w:bCs w:val="1"/>
                <w:color w:val="205BA8"/>
              </w:rPr>
              <w:t>Option</w:t>
            </w:r>
          </w:p>
        </w:tc>
        <w:tc>
          <w:tcPr>
            <w:tcW w:w="1380" w:type="dxa"/>
            <w:vAlign w:val="bottom"/>
          </w:tcPr>
          <w:p>
            <w:pPr>
              <w:jc w:val="center"/>
              <w:ind w:left="24"/>
              <w:spacing w:after="0"/>
              <w:rPr>
                <w:sz w:val="20"/>
                <w:szCs w:val="20"/>
                <w:color w:val="auto"/>
              </w:rPr>
            </w:pPr>
            <w:r>
              <w:rPr>
                <w:rFonts w:ascii="Arial" w:cs="Arial" w:eastAsia="Arial" w:hAnsi="Arial"/>
                <w:sz w:val="11"/>
                <w:szCs w:val="11"/>
                <w:b w:val="1"/>
                <w:bCs w:val="1"/>
                <w:color w:val="205BA8"/>
                <w:w w:val="99"/>
              </w:rPr>
              <w:t>Incentive Plan</w:t>
            </w:r>
          </w:p>
        </w:tc>
        <w:tc>
          <w:tcPr>
            <w:tcW w:w="1220" w:type="dxa"/>
            <w:vAlign w:val="bottom"/>
          </w:tcPr>
          <w:p>
            <w:pPr>
              <w:jc w:val="center"/>
              <w:ind w:right="64"/>
              <w:spacing w:after="0"/>
              <w:rPr>
                <w:sz w:val="20"/>
                <w:szCs w:val="20"/>
                <w:color w:val="auto"/>
              </w:rPr>
            </w:pPr>
            <w:r>
              <w:rPr>
                <w:rFonts w:ascii="Arial" w:cs="Arial" w:eastAsia="Arial" w:hAnsi="Arial"/>
                <w:sz w:val="11"/>
                <w:szCs w:val="11"/>
                <w:b w:val="1"/>
                <w:bCs w:val="1"/>
                <w:color w:val="205BA8"/>
              </w:rPr>
              <w:t>Compensation</w:t>
            </w:r>
          </w:p>
        </w:tc>
        <w:tc>
          <w:tcPr>
            <w:tcW w:w="1100" w:type="dxa"/>
            <w:vAlign w:val="bottom"/>
          </w:tcPr>
          <w:p>
            <w:pPr>
              <w:spacing w:after="0"/>
              <w:rPr>
                <w:sz w:val="12"/>
                <w:szCs w:val="12"/>
                <w:color w:val="auto"/>
              </w:rPr>
            </w:pPr>
          </w:p>
        </w:tc>
      </w:tr>
      <w:tr>
        <w:trPr>
          <w:trHeight w:val="208"/>
        </w:trPr>
        <w:tc>
          <w:tcPr>
            <w:tcW w:w="2280" w:type="dxa"/>
            <w:vAlign w:val="bottom"/>
            <w:tcBorders>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Name and principal position</w:t>
            </w:r>
          </w:p>
        </w:tc>
        <w:tc>
          <w:tcPr>
            <w:tcW w:w="1220" w:type="dxa"/>
            <w:vAlign w:val="bottom"/>
            <w:tcBorders>
              <w:bottom w:val="single" w:sz="8" w:color="205BA8"/>
            </w:tcBorders>
          </w:tcPr>
          <w:p>
            <w:pPr>
              <w:jc w:val="center"/>
              <w:ind w:left="444"/>
              <w:spacing w:after="0"/>
              <w:rPr>
                <w:sz w:val="20"/>
                <w:szCs w:val="20"/>
                <w:color w:val="auto"/>
              </w:rPr>
            </w:pPr>
            <w:r>
              <w:rPr>
                <w:rFonts w:ascii="Arial" w:cs="Arial" w:eastAsia="Arial" w:hAnsi="Arial"/>
                <w:sz w:val="11"/>
                <w:szCs w:val="11"/>
                <w:b w:val="1"/>
                <w:bCs w:val="1"/>
                <w:color w:val="205BA8"/>
              </w:rPr>
              <w:t>Year</w:t>
            </w:r>
          </w:p>
        </w:tc>
        <w:tc>
          <w:tcPr>
            <w:tcW w:w="9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Salary ($)</w:t>
            </w:r>
          </w:p>
        </w:tc>
        <w:tc>
          <w:tcPr>
            <w:tcW w:w="1120" w:type="dxa"/>
            <w:vAlign w:val="bottom"/>
            <w:tcBorders>
              <w:bottom w:val="single" w:sz="8" w:color="205BA8"/>
            </w:tcBorders>
          </w:tcPr>
          <w:p>
            <w:pPr>
              <w:jc w:val="center"/>
              <w:spacing w:after="0" w:line="202" w:lineRule="exact"/>
              <w:rPr>
                <w:sz w:val="20"/>
                <w:szCs w:val="20"/>
                <w:color w:val="auto"/>
              </w:rPr>
            </w:pPr>
            <w:r>
              <w:rPr>
                <w:rFonts w:ascii="Arial" w:cs="Arial" w:eastAsia="Arial" w:hAnsi="Arial"/>
                <w:sz w:val="11"/>
                <w:szCs w:val="11"/>
                <w:b w:val="1"/>
                <w:bCs w:val="1"/>
                <w:color w:val="205BA8"/>
                <w:w w:val="98"/>
              </w:rPr>
              <w:t>Awards ($)</w:t>
            </w:r>
            <w:r>
              <w:rPr>
                <w:rFonts w:ascii="Arial" w:cs="Arial" w:eastAsia="Arial" w:hAnsi="Arial"/>
                <w:sz w:val="18"/>
                <w:szCs w:val="18"/>
                <w:b w:val="1"/>
                <w:bCs w:val="1"/>
                <w:color w:val="205BA8"/>
                <w:w w:val="98"/>
                <w:vertAlign w:val="superscript"/>
              </w:rPr>
              <w:t>1</w:t>
            </w:r>
          </w:p>
        </w:tc>
        <w:tc>
          <w:tcPr>
            <w:tcW w:w="1100" w:type="dxa"/>
            <w:vAlign w:val="bottom"/>
            <w:tcBorders>
              <w:bottom w:val="single" w:sz="8" w:color="205BA8"/>
            </w:tcBorders>
          </w:tcPr>
          <w:p>
            <w:pPr>
              <w:jc w:val="center"/>
              <w:spacing w:after="0" w:line="202" w:lineRule="exact"/>
              <w:rPr>
                <w:sz w:val="20"/>
                <w:szCs w:val="20"/>
                <w:color w:val="auto"/>
              </w:rPr>
            </w:pPr>
            <w:r>
              <w:rPr>
                <w:rFonts w:ascii="Arial" w:cs="Arial" w:eastAsia="Arial" w:hAnsi="Arial"/>
                <w:sz w:val="11"/>
                <w:szCs w:val="11"/>
                <w:b w:val="1"/>
                <w:bCs w:val="1"/>
                <w:color w:val="205BA8"/>
                <w:w w:val="98"/>
              </w:rPr>
              <w:t>Awards ($)</w:t>
            </w:r>
            <w:r>
              <w:rPr>
                <w:rFonts w:ascii="Arial" w:cs="Arial" w:eastAsia="Arial" w:hAnsi="Arial"/>
                <w:sz w:val="18"/>
                <w:szCs w:val="18"/>
                <w:b w:val="1"/>
                <w:bCs w:val="1"/>
                <w:color w:val="205BA8"/>
                <w:w w:val="98"/>
                <w:vertAlign w:val="superscript"/>
              </w:rPr>
              <w:t>1</w:t>
            </w:r>
          </w:p>
        </w:tc>
        <w:tc>
          <w:tcPr>
            <w:tcW w:w="1380" w:type="dxa"/>
            <w:vAlign w:val="bottom"/>
            <w:tcBorders>
              <w:bottom w:val="single" w:sz="8" w:color="205BA8"/>
            </w:tcBorders>
          </w:tcPr>
          <w:p>
            <w:pPr>
              <w:jc w:val="center"/>
              <w:ind w:left="4"/>
              <w:spacing w:after="0" w:line="202" w:lineRule="exact"/>
              <w:rPr>
                <w:sz w:val="20"/>
                <w:szCs w:val="20"/>
                <w:color w:val="auto"/>
              </w:rPr>
            </w:pPr>
            <w:r>
              <w:rPr>
                <w:rFonts w:ascii="Arial" w:cs="Arial" w:eastAsia="Arial" w:hAnsi="Arial"/>
                <w:sz w:val="11"/>
                <w:szCs w:val="11"/>
                <w:b w:val="1"/>
                <w:bCs w:val="1"/>
                <w:color w:val="205BA8"/>
              </w:rPr>
              <w:t>Compensation ($)</w:t>
            </w:r>
            <w:r>
              <w:rPr>
                <w:rFonts w:ascii="Arial" w:cs="Arial" w:eastAsia="Arial" w:hAnsi="Arial"/>
                <w:sz w:val="18"/>
                <w:szCs w:val="18"/>
                <w:b w:val="1"/>
                <w:bCs w:val="1"/>
                <w:color w:val="205BA8"/>
                <w:vertAlign w:val="superscript"/>
              </w:rPr>
              <w:t>2</w:t>
            </w:r>
          </w:p>
        </w:tc>
        <w:tc>
          <w:tcPr>
            <w:tcW w:w="1220" w:type="dxa"/>
            <w:vAlign w:val="bottom"/>
            <w:tcBorders>
              <w:bottom w:val="single" w:sz="8" w:color="205BA8"/>
            </w:tcBorders>
          </w:tcPr>
          <w:p>
            <w:pPr>
              <w:jc w:val="center"/>
              <w:ind w:right="84"/>
              <w:spacing w:after="0" w:line="202" w:lineRule="exact"/>
              <w:rPr>
                <w:sz w:val="20"/>
                <w:szCs w:val="20"/>
                <w:color w:val="auto"/>
              </w:rPr>
            </w:pPr>
            <w:r>
              <w:rPr>
                <w:rFonts w:ascii="Arial" w:cs="Arial" w:eastAsia="Arial" w:hAnsi="Arial"/>
                <w:sz w:val="11"/>
                <w:szCs w:val="11"/>
                <w:b w:val="1"/>
                <w:bCs w:val="1"/>
                <w:color w:val="205BA8"/>
                <w:w w:val="99"/>
              </w:rPr>
              <w:t>($)</w:t>
            </w:r>
            <w:r>
              <w:rPr>
                <w:rFonts w:ascii="Arial" w:cs="Arial" w:eastAsia="Arial" w:hAnsi="Arial"/>
                <w:sz w:val="18"/>
                <w:szCs w:val="18"/>
                <w:b w:val="1"/>
                <w:bCs w:val="1"/>
                <w:color w:val="205BA8"/>
                <w:w w:val="99"/>
                <w:vertAlign w:val="superscript"/>
              </w:rPr>
              <w:t>3</w:t>
            </w:r>
          </w:p>
        </w:tc>
        <w:tc>
          <w:tcPr>
            <w:tcW w:w="1100" w:type="dxa"/>
            <w:vAlign w:val="bottom"/>
            <w:tcBorders>
              <w:bottom w:val="single" w:sz="8" w:color="205BA8"/>
            </w:tcBorders>
          </w:tcPr>
          <w:p>
            <w:pPr>
              <w:jc w:val="center"/>
              <w:ind w:right="4"/>
              <w:spacing w:after="0"/>
              <w:rPr>
                <w:sz w:val="20"/>
                <w:szCs w:val="20"/>
                <w:color w:val="auto"/>
              </w:rPr>
            </w:pPr>
            <w:r>
              <w:rPr>
                <w:rFonts w:ascii="Arial" w:cs="Arial" w:eastAsia="Arial" w:hAnsi="Arial"/>
                <w:sz w:val="11"/>
                <w:szCs w:val="11"/>
                <w:b w:val="1"/>
                <w:bCs w:val="1"/>
                <w:color w:val="205BA8"/>
              </w:rPr>
              <w:t>Total ($)</w:t>
            </w:r>
          </w:p>
        </w:tc>
      </w:tr>
    </w:tbl>
    <w:p>
      <w:pPr>
        <w:spacing w:after="0" w:line="16" w:lineRule="exact"/>
        <w:rPr>
          <w:sz w:val="20"/>
          <w:szCs w:val="20"/>
          <w:color w:val="auto"/>
        </w:rPr>
      </w:pPr>
    </w:p>
    <w:tbl>
      <w:tblPr>
        <w:tblLayout w:type="fixed"/>
        <w:tblInd w:w="3" w:type="dxa"/>
        <w:tblCellMar>
          <w:top w:w="0" w:type="dxa"/>
          <w:left w:w="0" w:type="dxa"/>
          <w:bottom w:w="0" w:type="dxa"/>
          <w:right w:w="0" w:type="dxa"/>
        </w:tblCellMar>
      </w:tblPr>
      <w:tr>
        <w:trPr>
          <w:trHeight w:val="159"/>
        </w:trPr>
        <w:tc>
          <w:tcPr>
            <w:tcW w:w="2780" w:type="dxa"/>
            <w:vAlign w:val="bottom"/>
            <w:vMerge w:val="restart"/>
          </w:tcPr>
          <w:p>
            <w:pPr>
              <w:ind w:left="40"/>
              <w:spacing w:after="0"/>
              <w:rPr>
                <w:sz w:val="20"/>
                <w:szCs w:val="20"/>
                <w:color w:val="auto"/>
              </w:rPr>
            </w:pPr>
            <w:r>
              <w:rPr>
                <w:rFonts w:ascii="Arial" w:cs="Arial" w:eastAsia="Arial" w:hAnsi="Arial"/>
                <w:sz w:val="12"/>
                <w:szCs w:val="12"/>
                <w:b w:val="1"/>
                <w:bCs w:val="1"/>
                <w:color w:val="D61C5A"/>
              </w:rPr>
              <w:t>Leonard S. Schleifer, M.D., Ph.D.</w:t>
            </w:r>
          </w:p>
        </w:tc>
        <w:tc>
          <w:tcPr>
            <w:tcW w:w="100" w:type="dxa"/>
            <w:vAlign w:val="bottom"/>
          </w:tcPr>
          <w:p>
            <w:pPr>
              <w:spacing w:after="0"/>
              <w:rPr>
                <w:sz w:val="13"/>
                <w:szCs w:val="13"/>
                <w:color w:val="auto"/>
              </w:rPr>
            </w:pPr>
          </w:p>
        </w:tc>
        <w:tc>
          <w:tcPr>
            <w:tcW w:w="660" w:type="dxa"/>
            <w:vAlign w:val="bottom"/>
            <w:tcBorders>
              <w:bottom w:val="single" w:sz="8" w:color="58585A"/>
            </w:tcBorders>
            <w:gridSpan w:val="2"/>
          </w:tcPr>
          <w:p>
            <w:pPr>
              <w:jc w:val="right"/>
              <w:ind w:right="177"/>
              <w:spacing w:after="0"/>
              <w:rPr>
                <w:sz w:val="20"/>
                <w:szCs w:val="20"/>
                <w:color w:val="auto"/>
              </w:rPr>
            </w:pPr>
            <w:r>
              <w:rPr>
                <w:rFonts w:ascii="Arial" w:cs="Arial" w:eastAsia="Arial" w:hAnsi="Arial"/>
                <w:sz w:val="13"/>
                <w:szCs w:val="13"/>
                <w:color w:val="auto"/>
              </w:rPr>
              <w:t>2018</w:t>
            </w:r>
          </w:p>
        </w:tc>
        <w:tc>
          <w:tcPr>
            <w:tcW w:w="1040" w:type="dxa"/>
            <w:vAlign w:val="bottom"/>
            <w:tcBorders>
              <w:bottom w:val="single" w:sz="8" w:color="58585A"/>
            </w:tcBorders>
          </w:tcPr>
          <w:p>
            <w:pPr>
              <w:jc w:val="right"/>
              <w:ind w:right="177"/>
              <w:spacing w:after="0"/>
              <w:rPr>
                <w:sz w:val="20"/>
                <w:szCs w:val="20"/>
                <w:color w:val="auto"/>
              </w:rPr>
            </w:pPr>
            <w:r>
              <w:rPr>
                <w:rFonts w:ascii="Arial" w:cs="Arial" w:eastAsia="Arial" w:hAnsi="Arial"/>
                <w:sz w:val="13"/>
                <w:szCs w:val="13"/>
                <w:color w:val="auto"/>
              </w:rPr>
              <w:t>1,330,500</w:t>
            </w:r>
          </w:p>
        </w:tc>
        <w:tc>
          <w:tcPr>
            <w:tcW w:w="700" w:type="dxa"/>
            <w:vAlign w:val="bottom"/>
            <w:tcBorders>
              <w:bottom w:val="single" w:sz="8" w:color="58585A"/>
            </w:tcBorders>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Borders>
              <w:bottom w:val="single" w:sz="8" w:color="58585A"/>
            </w:tcBorders>
          </w:tcPr>
          <w:p>
            <w:pPr>
              <w:spacing w:after="0"/>
              <w:rPr>
                <w:sz w:val="13"/>
                <w:szCs w:val="13"/>
                <w:color w:val="auto"/>
              </w:rPr>
            </w:pPr>
          </w:p>
        </w:tc>
        <w:tc>
          <w:tcPr>
            <w:tcW w:w="1300" w:type="dxa"/>
            <w:vAlign w:val="bottom"/>
            <w:tcBorders>
              <w:bottom w:val="single" w:sz="8" w:color="58585A"/>
            </w:tcBorders>
          </w:tcPr>
          <w:p>
            <w:pPr>
              <w:jc w:val="right"/>
              <w:ind w:right="297"/>
              <w:spacing w:after="0"/>
              <w:rPr>
                <w:sz w:val="20"/>
                <w:szCs w:val="20"/>
                <w:color w:val="auto"/>
              </w:rPr>
            </w:pPr>
            <w:r>
              <w:rPr>
                <w:rFonts w:ascii="Arial" w:cs="Arial" w:eastAsia="Arial" w:hAnsi="Arial"/>
                <w:sz w:val="13"/>
                <w:szCs w:val="13"/>
                <w:color w:val="auto"/>
              </w:rPr>
              <w:t>21,339,913</w:t>
            </w:r>
          </w:p>
        </w:tc>
        <w:tc>
          <w:tcPr>
            <w:tcW w:w="1140" w:type="dxa"/>
            <w:vAlign w:val="bottom"/>
            <w:tcBorders>
              <w:bottom w:val="single" w:sz="8" w:color="58585A"/>
            </w:tcBorders>
          </w:tcPr>
          <w:p>
            <w:pPr>
              <w:jc w:val="right"/>
              <w:ind w:right="277"/>
              <w:spacing w:after="0"/>
              <w:rPr>
                <w:sz w:val="20"/>
                <w:szCs w:val="20"/>
                <w:color w:val="auto"/>
              </w:rPr>
            </w:pPr>
            <w:r>
              <w:rPr>
                <w:rFonts w:ascii="Arial" w:cs="Arial" w:eastAsia="Arial" w:hAnsi="Arial"/>
                <w:sz w:val="13"/>
                <w:szCs w:val="13"/>
                <w:color w:val="auto"/>
              </w:rPr>
              <w:t>2,953,710</w:t>
            </w:r>
          </w:p>
        </w:tc>
        <w:tc>
          <w:tcPr>
            <w:tcW w:w="1220" w:type="dxa"/>
            <w:vAlign w:val="bottom"/>
            <w:tcBorders>
              <w:bottom w:val="single" w:sz="8" w:color="58585A"/>
            </w:tcBorders>
          </w:tcPr>
          <w:p>
            <w:pPr>
              <w:jc w:val="right"/>
              <w:ind w:right="298"/>
              <w:spacing w:after="0"/>
              <w:rPr>
                <w:sz w:val="20"/>
                <w:szCs w:val="20"/>
                <w:color w:val="auto"/>
              </w:rPr>
            </w:pPr>
            <w:r>
              <w:rPr>
                <w:rFonts w:ascii="Arial" w:cs="Arial" w:eastAsia="Arial" w:hAnsi="Arial"/>
                <w:sz w:val="13"/>
                <w:szCs w:val="13"/>
                <w:color w:val="auto"/>
              </w:rPr>
              <w:t>896,432</w:t>
            </w:r>
            <w:r>
              <w:rPr>
                <w:rFonts w:ascii="Arial" w:cs="Arial" w:eastAsia="Arial" w:hAnsi="Arial"/>
                <w:sz w:val="10"/>
                <w:szCs w:val="10"/>
                <w:color w:val="auto"/>
              </w:rPr>
              <w:t>4</w:t>
            </w:r>
          </w:p>
        </w:tc>
        <w:tc>
          <w:tcPr>
            <w:tcW w:w="1040" w:type="dxa"/>
            <w:vAlign w:val="bottom"/>
            <w:tcBorders>
              <w:bottom w:val="single" w:sz="8" w:color="58585A"/>
            </w:tcBorders>
          </w:tcPr>
          <w:p>
            <w:pPr>
              <w:jc w:val="right"/>
              <w:ind w:right="57"/>
              <w:spacing w:after="0"/>
              <w:rPr>
                <w:sz w:val="20"/>
                <w:szCs w:val="20"/>
                <w:color w:val="auto"/>
              </w:rPr>
            </w:pPr>
            <w:r>
              <w:rPr>
                <w:rFonts w:ascii="Arial" w:cs="Arial" w:eastAsia="Arial" w:hAnsi="Arial"/>
                <w:sz w:val="13"/>
                <w:szCs w:val="13"/>
                <w:color w:val="auto"/>
              </w:rPr>
              <w:t>26,520,555</w:t>
            </w:r>
          </w:p>
        </w:tc>
        <w:tc>
          <w:tcPr>
            <w:tcW w:w="0" w:type="dxa"/>
            <w:vAlign w:val="bottom"/>
          </w:tcPr>
          <w:p>
            <w:pPr>
              <w:spacing w:after="0"/>
              <w:rPr>
                <w:sz w:val="1"/>
                <w:szCs w:val="1"/>
                <w:color w:val="auto"/>
              </w:rPr>
            </w:pPr>
          </w:p>
        </w:tc>
      </w:tr>
      <w:tr>
        <w:trPr>
          <w:trHeight w:val="66"/>
        </w:trPr>
        <w:tc>
          <w:tcPr>
            <w:tcW w:w="2780" w:type="dxa"/>
            <w:vAlign w:val="bottom"/>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66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auto"/>
              </w:rPr>
              <w:t>2017</w:t>
            </w:r>
          </w:p>
        </w:tc>
        <w:tc>
          <w:tcPr>
            <w:tcW w:w="1040" w:type="dxa"/>
            <w:vAlign w:val="bottom"/>
            <w:vMerge w:val="restart"/>
          </w:tcPr>
          <w:p>
            <w:pPr>
              <w:jc w:val="right"/>
              <w:ind w:right="177"/>
              <w:spacing w:after="0"/>
              <w:rPr>
                <w:sz w:val="20"/>
                <w:szCs w:val="20"/>
                <w:color w:val="auto"/>
              </w:rPr>
            </w:pPr>
            <w:r>
              <w:rPr>
                <w:rFonts w:ascii="Arial" w:cs="Arial" w:eastAsia="Arial" w:hAnsi="Arial"/>
                <w:sz w:val="13"/>
                <w:szCs w:val="13"/>
                <w:color w:val="auto"/>
              </w:rPr>
              <w:t>1,285,500</w:t>
            </w:r>
          </w:p>
        </w:tc>
        <w:tc>
          <w:tcPr>
            <w:tcW w:w="700" w:type="dxa"/>
            <w:vAlign w:val="bottom"/>
            <w:vMerge w:val="restart"/>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Pr>
          <w:p>
            <w:pPr>
              <w:spacing w:after="0"/>
              <w:rPr>
                <w:sz w:val="5"/>
                <w:szCs w:val="5"/>
                <w:color w:val="auto"/>
              </w:rPr>
            </w:pPr>
          </w:p>
        </w:tc>
        <w:tc>
          <w:tcPr>
            <w:tcW w:w="1300" w:type="dxa"/>
            <w:vAlign w:val="bottom"/>
            <w:vMerge w:val="restart"/>
          </w:tcPr>
          <w:p>
            <w:pPr>
              <w:jc w:val="right"/>
              <w:ind w:right="297"/>
              <w:spacing w:after="0"/>
              <w:rPr>
                <w:sz w:val="20"/>
                <w:szCs w:val="20"/>
                <w:color w:val="auto"/>
              </w:rPr>
            </w:pPr>
            <w:r>
              <w:rPr>
                <w:rFonts w:ascii="Arial" w:cs="Arial" w:eastAsia="Arial" w:hAnsi="Arial"/>
                <w:sz w:val="13"/>
                <w:szCs w:val="13"/>
                <w:color w:val="auto"/>
              </w:rPr>
              <w:t>21,967,210</w:t>
            </w:r>
          </w:p>
        </w:tc>
        <w:tc>
          <w:tcPr>
            <w:tcW w:w="1140" w:type="dxa"/>
            <w:vAlign w:val="bottom"/>
            <w:vMerge w:val="restart"/>
          </w:tcPr>
          <w:p>
            <w:pPr>
              <w:jc w:val="right"/>
              <w:ind w:right="277"/>
              <w:spacing w:after="0"/>
              <w:rPr>
                <w:sz w:val="20"/>
                <w:szCs w:val="20"/>
                <w:color w:val="auto"/>
              </w:rPr>
            </w:pPr>
            <w:r>
              <w:rPr>
                <w:rFonts w:ascii="Arial" w:cs="Arial" w:eastAsia="Arial" w:hAnsi="Arial"/>
                <w:sz w:val="13"/>
                <w:szCs w:val="13"/>
                <w:color w:val="auto"/>
              </w:rPr>
              <w:t>2,468,160</w:t>
            </w:r>
          </w:p>
        </w:tc>
        <w:tc>
          <w:tcPr>
            <w:tcW w:w="1220" w:type="dxa"/>
            <w:vAlign w:val="bottom"/>
            <w:vMerge w:val="restart"/>
          </w:tcPr>
          <w:p>
            <w:pPr>
              <w:jc w:val="right"/>
              <w:ind w:right="358"/>
              <w:spacing w:after="0"/>
              <w:rPr>
                <w:sz w:val="20"/>
                <w:szCs w:val="20"/>
                <w:color w:val="auto"/>
              </w:rPr>
            </w:pPr>
            <w:r>
              <w:rPr>
                <w:rFonts w:ascii="Arial" w:cs="Arial" w:eastAsia="Arial" w:hAnsi="Arial"/>
                <w:sz w:val="13"/>
                <w:szCs w:val="13"/>
                <w:color w:val="auto"/>
              </w:rPr>
              <w:t>787,188</w:t>
            </w: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26,508,058</w:t>
            </w:r>
          </w:p>
        </w:tc>
        <w:tc>
          <w:tcPr>
            <w:tcW w:w="0" w:type="dxa"/>
            <w:vAlign w:val="bottom"/>
          </w:tcPr>
          <w:p>
            <w:pPr>
              <w:spacing w:after="0"/>
              <w:rPr>
                <w:sz w:val="1"/>
                <w:szCs w:val="1"/>
                <w:color w:val="auto"/>
              </w:rPr>
            </w:pPr>
          </w:p>
        </w:tc>
      </w:tr>
      <w:tr>
        <w:trPr>
          <w:trHeight w:val="101"/>
        </w:trPr>
        <w:tc>
          <w:tcPr>
            <w:tcW w:w="2780" w:type="dxa"/>
            <w:vAlign w:val="bottom"/>
          </w:tcPr>
          <w:p>
            <w:pPr>
              <w:ind w:left="40"/>
              <w:spacing w:after="0" w:line="96" w:lineRule="exact"/>
              <w:rPr>
                <w:sz w:val="20"/>
                <w:szCs w:val="20"/>
                <w:color w:val="auto"/>
              </w:rPr>
            </w:pPr>
            <w:r>
              <w:rPr>
                <w:rFonts w:ascii="Arial" w:cs="Arial" w:eastAsia="Arial" w:hAnsi="Arial"/>
                <w:sz w:val="11"/>
                <w:szCs w:val="11"/>
                <w:b w:val="1"/>
                <w:bCs w:val="1"/>
                <w:color w:val="auto"/>
              </w:rPr>
              <w:t>President and Chief Executive Officer</w:t>
            </w:r>
          </w:p>
        </w:tc>
        <w:tc>
          <w:tcPr>
            <w:tcW w:w="100" w:type="dxa"/>
            <w:vAlign w:val="bottom"/>
            <w:vMerge w:val="continue"/>
          </w:tcPr>
          <w:p>
            <w:pPr>
              <w:spacing w:after="0"/>
              <w:rPr>
                <w:sz w:val="8"/>
                <w:szCs w:val="8"/>
                <w:color w:val="auto"/>
              </w:rPr>
            </w:pPr>
          </w:p>
        </w:tc>
        <w:tc>
          <w:tcPr>
            <w:tcW w:w="660" w:type="dxa"/>
            <w:vAlign w:val="bottom"/>
            <w:tcBorders>
              <w:bottom w:val="single" w:sz="8" w:color="58585A"/>
            </w:tcBorders>
            <w:gridSpan w:val="2"/>
            <w:vMerge w:val="continue"/>
          </w:tcPr>
          <w:p>
            <w:pPr>
              <w:spacing w:after="0"/>
              <w:rPr>
                <w:sz w:val="8"/>
                <w:szCs w:val="8"/>
                <w:color w:val="auto"/>
              </w:rPr>
            </w:pPr>
          </w:p>
        </w:tc>
        <w:tc>
          <w:tcPr>
            <w:tcW w:w="1040" w:type="dxa"/>
            <w:vAlign w:val="bottom"/>
            <w:tcBorders>
              <w:bottom w:val="single" w:sz="8" w:color="58585A"/>
            </w:tcBorders>
            <w:vMerge w:val="continue"/>
          </w:tcPr>
          <w:p>
            <w:pPr>
              <w:spacing w:after="0"/>
              <w:rPr>
                <w:sz w:val="8"/>
                <w:szCs w:val="8"/>
                <w:color w:val="auto"/>
              </w:rPr>
            </w:pPr>
          </w:p>
        </w:tc>
        <w:tc>
          <w:tcPr>
            <w:tcW w:w="700" w:type="dxa"/>
            <w:vAlign w:val="bottom"/>
            <w:tcBorders>
              <w:bottom w:val="single" w:sz="8" w:color="58585A"/>
            </w:tcBorders>
            <w:vMerge w:val="continue"/>
          </w:tcPr>
          <w:p>
            <w:pPr>
              <w:spacing w:after="0"/>
              <w:rPr>
                <w:sz w:val="8"/>
                <w:szCs w:val="8"/>
                <w:color w:val="auto"/>
              </w:rPr>
            </w:pPr>
          </w:p>
        </w:tc>
        <w:tc>
          <w:tcPr>
            <w:tcW w:w="420" w:type="dxa"/>
            <w:vAlign w:val="bottom"/>
            <w:tcBorders>
              <w:bottom w:val="single" w:sz="8" w:color="58585A"/>
            </w:tcBorders>
          </w:tcPr>
          <w:p>
            <w:pPr>
              <w:spacing w:after="0"/>
              <w:rPr>
                <w:sz w:val="8"/>
                <w:szCs w:val="8"/>
                <w:color w:val="auto"/>
              </w:rPr>
            </w:pPr>
          </w:p>
        </w:tc>
        <w:tc>
          <w:tcPr>
            <w:tcW w:w="1300" w:type="dxa"/>
            <w:vAlign w:val="bottom"/>
            <w:tcBorders>
              <w:bottom w:val="single" w:sz="8" w:color="58585A"/>
            </w:tcBorders>
            <w:vMerge w:val="continue"/>
          </w:tcPr>
          <w:p>
            <w:pPr>
              <w:spacing w:after="0"/>
              <w:rPr>
                <w:sz w:val="8"/>
                <w:szCs w:val="8"/>
                <w:color w:val="auto"/>
              </w:rPr>
            </w:pPr>
          </w:p>
        </w:tc>
        <w:tc>
          <w:tcPr>
            <w:tcW w:w="1140" w:type="dxa"/>
            <w:vAlign w:val="bottom"/>
            <w:tcBorders>
              <w:bottom w:val="single" w:sz="8" w:color="58585A"/>
            </w:tcBorders>
            <w:vMerge w:val="continue"/>
          </w:tcPr>
          <w:p>
            <w:pPr>
              <w:spacing w:after="0"/>
              <w:rPr>
                <w:sz w:val="8"/>
                <w:szCs w:val="8"/>
                <w:color w:val="auto"/>
              </w:rPr>
            </w:pPr>
          </w:p>
        </w:tc>
        <w:tc>
          <w:tcPr>
            <w:tcW w:w="1220" w:type="dxa"/>
            <w:vAlign w:val="bottom"/>
            <w:tcBorders>
              <w:bottom w:val="single" w:sz="8" w:color="58585A"/>
            </w:tcBorders>
            <w:vMerge w:val="continue"/>
          </w:tcPr>
          <w:p>
            <w:pPr>
              <w:spacing w:after="0"/>
              <w:rPr>
                <w:sz w:val="8"/>
                <w:szCs w:val="8"/>
                <w:color w:val="auto"/>
              </w:rPr>
            </w:pPr>
          </w:p>
        </w:tc>
        <w:tc>
          <w:tcPr>
            <w:tcW w:w="1040" w:type="dxa"/>
            <w:vAlign w:val="bottom"/>
            <w:tcBorders>
              <w:bottom w:val="single" w:sz="8" w:color="58585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58585A"/>
            </w:tcBorders>
          </w:tcPr>
          <w:p>
            <w:pPr>
              <w:spacing w:after="0"/>
              <w:rPr>
                <w:sz w:val="14"/>
                <w:szCs w:val="14"/>
                <w:color w:val="auto"/>
              </w:rPr>
            </w:pPr>
          </w:p>
        </w:tc>
        <w:tc>
          <w:tcPr>
            <w:tcW w:w="760" w:type="dxa"/>
            <w:vAlign w:val="bottom"/>
            <w:tcBorders>
              <w:bottom w:val="single" w:sz="8" w:color="58585A"/>
            </w:tcBorders>
            <w:gridSpan w:val="3"/>
          </w:tcPr>
          <w:p>
            <w:pPr>
              <w:jc w:val="right"/>
              <w:ind w:right="177"/>
              <w:spacing w:after="0"/>
              <w:rPr>
                <w:sz w:val="20"/>
                <w:szCs w:val="20"/>
                <w:color w:val="auto"/>
              </w:rPr>
            </w:pPr>
            <w:r>
              <w:rPr>
                <w:rFonts w:ascii="Arial" w:cs="Arial" w:eastAsia="Arial" w:hAnsi="Arial"/>
                <w:sz w:val="13"/>
                <w:szCs w:val="13"/>
                <w:color w:val="auto"/>
              </w:rPr>
              <w:t>2016</w:t>
            </w:r>
          </w:p>
        </w:tc>
        <w:tc>
          <w:tcPr>
            <w:tcW w:w="1040" w:type="dxa"/>
            <w:vAlign w:val="bottom"/>
            <w:tcBorders>
              <w:bottom w:val="single" w:sz="8" w:color="58585A"/>
            </w:tcBorders>
          </w:tcPr>
          <w:p>
            <w:pPr>
              <w:jc w:val="right"/>
              <w:ind w:right="177"/>
              <w:spacing w:after="0"/>
              <w:rPr>
                <w:sz w:val="20"/>
                <w:szCs w:val="20"/>
                <w:color w:val="auto"/>
              </w:rPr>
            </w:pPr>
            <w:r>
              <w:rPr>
                <w:rFonts w:ascii="Arial" w:cs="Arial" w:eastAsia="Arial" w:hAnsi="Arial"/>
                <w:sz w:val="13"/>
                <w:szCs w:val="13"/>
                <w:color w:val="auto"/>
              </w:rPr>
              <w:t>1,242,000</w:t>
            </w:r>
          </w:p>
        </w:tc>
        <w:tc>
          <w:tcPr>
            <w:tcW w:w="700" w:type="dxa"/>
            <w:vAlign w:val="bottom"/>
            <w:tcBorders>
              <w:bottom w:val="single" w:sz="8" w:color="58585A"/>
            </w:tcBorders>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Borders>
              <w:bottom w:val="single" w:sz="8" w:color="58585A"/>
            </w:tcBorders>
          </w:tcPr>
          <w:p>
            <w:pPr>
              <w:spacing w:after="0"/>
              <w:rPr>
                <w:sz w:val="14"/>
                <w:szCs w:val="14"/>
                <w:color w:val="auto"/>
              </w:rPr>
            </w:pPr>
          </w:p>
        </w:tc>
        <w:tc>
          <w:tcPr>
            <w:tcW w:w="1300" w:type="dxa"/>
            <w:vAlign w:val="bottom"/>
            <w:tcBorders>
              <w:bottom w:val="single" w:sz="8" w:color="58585A"/>
            </w:tcBorders>
          </w:tcPr>
          <w:p>
            <w:pPr>
              <w:jc w:val="right"/>
              <w:ind w:right="297"/>
              <w:spacing w:after="0"/>
              <w:rPr>
                <w:sz w:val="20"/>
                <w:szCs w:val="20"/>
                <w:color w:val="auto"/>
              </w:rPr>
            </w:pPr>
            <w:r>
              <w:rPr>
                <w:rFonts w:ascii="Arial" w:cs="Arial" w:eastAsia="Arial" w:hAnsi="Arial"/>
                <w:sz w:val="13"/>
                <w:szCs w:val="13"/>
                <w:color w:val="auto"/>
              </w:rPr>
              <w:t>24,631,012</w:t>
            </w:r>
          </w:p>
        </w:tc>
        <w:tc>
          <w:tcPr>
            <w:tcW w:w="1140" w:type="dxa"/>
            <w:vAlign w:val="bottom"/>
            <w:tcBorders>
              <w:bottom w:val="single" w:sz="8" w:color="58585A"/>
            </w:tcBorders>
          </w:tcPr>
          <w:p>
            <w:pPr>
              <w:jc w:val="right"/>
              <w:ind w:right="277"/>
              <w:spacing w:after="0"/>
              <w:rPr>
                <w:sz w:val="20"/>
                <w:szCs w:val="20"/>
                <w:color w:val="auto"/>
              </w:rPr>
            </w:pPr>
            <w:r>
              <w:rPr>
                <w:rFonts w:ascii="Arial" w:cs="Arial" w:eastAsia="Arial" w:hAnsi="Arial"/>
                <w:sz w:val="13"/>
                <w:szCs w:val="13"/>
                <w:color w:val="auto"/>
              </w:rPr>
              <w:t>2,235,600</w:t>
            </w:r>
          </w:p>
        </w:tc>
        <w:tc>
          <w:tcPr>
            <w:tcW w:w="1220" w:type="dxa"/>
            <w:vAlign w:val="bottom"/>
            <w:tcBorders>
              <w:bottom w:val="single" w:sz="8" w:color="58585A"/>
            </w:tcBorders>
          </w:tcPr>
          <w:p>
            <w:pPr>
              <w:jc w:val="right"/>
              <w:ind w:right="358"/>
              <w:spacing w:after="0"/>
              <w:rPr>
                <w:sz w:val="20"/>
                <w:szCs w:val="20"/>
                <w:color w:val="auto"/>
              </w:rPr>
            </w:pPr>
            <w:r>
              <w:rPr>
                <w:rFonts w:ascii="Arial" w:cs="Arial" w:eastAsia="Arial" w:hAnsi="Arial"/>
                <w:sz w:val="13"/>
                <w:szCs w:val="13"/>
                <w:color w:val="auto"/>
              </w:rPr>
              <w:t>228,908</w:t>
            </w:r>
          </w:p>
        </w:tc>
        <w:tc>
          <w:tcPr>
            <w:tcW w:w="1040" w:type="dxa"/>
            <w:vAlign w:val="bottom"/>
            <w:tcBorders>
              <w:bottom w:val="single" w:sz="8" w:color="58585A"/>
            </w:tcBorders>
          </w:tcPr>
          <w:p>
            <w:pPr>
              <w:jc w:val="right"/>
              <w:ind w:right="57"/>
              <w:spacing w:after="0"/>
              <w:rPr>
                <w:sz w:val="20"/>
                <w:szCs w:val="20"/>
                <w:color w:val="auto"/>
              </w:rPr>
            </w:pPr>
            <w:r>
              <w:rPr>
                <w:rFonts w:ascii="Arial" w:cs="Arial" w:eastAsia="Arial" w:hAnsi="Arial"/>
                <w:sz w:val="13"/>
                <w:szCs w:val="13"/>
                <w:color w:val="auto"/>
              </w:rPr>
              <w:t>28,337,520</w:t>
            </w:r>
          </w:p>
        </w:tc>
        <w:tc>
          <w:tcPr>
            <w:tcW w:w="0" w:type="dxa"/>
            <w:vAlign w:val="bottom"/>
          </w:tcPr>
          <w:p>
            <w:pPr>
              <w:spacing w:after="0"/>
              <w:rPr>
                <w:sz w:val="1"/>
                <w:szCs w:val="1"/>
                <w:color w:val="auto"/>
              </w:rPr>
            </w:pPr>
          </w:p>
        </w:tc>
      </w:tr>
      <w:tr>
        <w:trPr>
          <w:trHeight w:val="169"/>
        </w:trPr>
        <w:tc>
          <w:tcPr>
            <w:tcW w:w="2780" w:type="dxa"/>
            <w:vAlign w:val="bottom"/>
            <w:tcBorders>
              <w:bottom w:val="single" w:sz="8" w:color="E7E7E8"/>
            </w:tcBorders>
            <w:vMerge w:val="restart"/>
            <w:shd w:val="clear" w:color="auto" w:fill="E7E7E8"/>
          </w:tcPr>
          <w:p>
            <w:pPr>
              <w:ind w:left="40"/>
              <w:spacing w:after="0"/>
              <w:rPr>
                <w:sz w:val="20"/>
                <w:szCs w:val="20"/>
                <w:color w:val="auto"/>
              </w:rPr>
            </w:pPr>
            <w:r>
              <w:rPr>
                <w:rFonts w:ascii="Arial" w:cs="Arial" w:eastAsia="Arial" w:hAnsi="Arial"/>
                <w:sz w:val="12"/>
                <w:szCs w:val="12"/>
                <w:b w:val="1"/>
                <w:bCs w:val="1"/>
                <w:color w:val="D61C5A"/>
              </w:rPr>
              <w:t>George D. Yancopoulos, M.D., Ph.D.</w:t>
            </w:r>
          </w:p>
        </w:tc>
        <w:tc>
          <w:tcPr>
            <w:tcW w:w="100" w:type="dxa"/>
            <w:vAlign w:val="bottom"/>
            <w:tcBorders>
              <w:bottom w:val="single" w:sz="8" w:color="E7E7E8"/>
            </w:tcBorders>
            <w:shd w:val="clear" w:color="auto" w:fill="E7E7E8"/>
          </w:tcPr>
          <w:p>
            <w:pPr>
              <w:spacing w:after="0"/>
              <w:rPr>
                <w:sz w:val="14"/>
                <w:szCs w:val="14"/>
                <w:color w:val="auto"/>
              </w:rPr>
            </w:pPr>
          </w:p>
        </w:tc>
        <w:tc>
          <w:tcPr>
            <w:tcW w:w="660" w:type="dxa"/>
            <w:vAlign w:val="bottom"/>
            <w:tcBorders>
              <w:bottom w:val="single" w:sz="8" w:color="58585A"/>
            </w:tcBorders>
            <w:gridSpan w:val="2"/>
            <w:shd w:val="clear" w:color="auto" w:fill="E7E7E8"/>
          </w:tcPr>
          <w:p>
            <w:pPr>
              <w:jc w:val="right"/>
              <w:ind w:right="177"/>
              <w:spacing w:after="0"/>
              <w:rPr>
                <w:sz w:val="20"/>
                <w:szCs w:val="20"/>
                <w:color w:val="auto"/>
              </w:rPr>
            </w:pPr>
            <w:r>
              <w:rPr>
                <w:rFonts w:ascii="Arial" w:cs="Arial" w:eastAsia="Arial" w:hAnsi="Arial"/>
                <w:sz w:val="13"/>
                <w:szCs w:val="13"/>
                <w:color w:val="auto"/>
              </w:rPr>
              <w:t>2018</w:t>
            </w:r>
          </w:p>
        </w:tc>
        <w:tc>
          <w:tcPr>
            <w:tcW w:w="1040" w:type="dxa"/>
            <w:vAlign w:val="bottom"/>
            <w:tcBorders>
              <w:bottom w:val="single" w:sz="8" w:color="58585A"/>
            </w:tcBorders>
            <w:shd w:val="clear" w:color="auto" w:fill="E7E7E8"/>
          </w:tcPr>
          <w:p>
            <w:pPr>
              <w:jc w:val="right"/>
              <w:ind w:right="177"/>
              <w:spacing w:after="0"/>
              <w:rPr>
                <w:sz w:val="20"/>
                <w:szCs w:val="20"/>
                <w:color w:val="auto"/>
              </w:rPr>
            </w:pPr>
            <w:r>
              <w:rPr>
                <w:rFonts w:ascii="Arial" w:cs="Arial" w:eastAsia="Arial" w:hAnsi="Arial"/>
                <w:sz w:val="13"/>
                <w:szCs w:val="13"/>
                <w:color w:val="auto"/>
              </w:rPr>
              <w:t>1,130,900</w:t>
            </w:r>
          </w:p>
        </w:tc>
        <w:tc>
          <w:tcPr>
            <w:tcW w:w="700" w:type="dxa"/>
            <w:vAlign w:val="bottom"/>
            <w:tcBorders>
              <w:bottom w:val="single" w:sz="8" w:color="58585A"/>
            </w:tcBorders>
            <w:shd w:val="clear" w:color="auto" w:fill="E7E7E8"/>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Borders>
              <w:bottom w:val="single" w:sz="8" w:color="58585A"/>
            </w:tcBorders>
            <w:shd w:val="clear" w:color="auto" w:fill="E7E7E8"/>
          </w:tcPr>
          <w:p>
            <w:pPr>
              <w:spacing w:after="0"/>
              <w:rPr>
                <w:sz w:val="14"/>
                <w:szCs w:val="14"/>
                <w:color w:val="auto"/>
              </w:rPr>
            </w:pPr>
          </w:p>
        </w:tc>
        <w:tc>
          <w:tcPr>
            <w:tcW w:w="1300" w:type="dxa"/>
            <w:vAlign w:val="bottom"/>
            <w:tcBorders>
              <w:bottom w:val="single" w:sz="8" w:color="58585A"/>
            </w:tcBorders>
            <w:shd w:val="clear" w:color="auto" w:fill="E7E7E8"/>
          </w:tcPr>
          <w:p>
            <w:pPr>
              <w:jc w:val="right"/>
              <w:ind w:right="297"/>
              <w:spacing w:after="0"/>
              <w:rPr>
                <w:sz w:val="20"/>
                <w:szCs w:val="20"/>
                <w:color w:val="auto"/>
              </w:rPr>
            </w:pPr>
            <w:r>
              <w:rPr>
                <w:rFonts w:ascii="Arial" w:cs="Arial" w:eastAsia="Arial" w:hAnsi="Arial"/>
                <w:sz w:val="13"/>
                <w:szCs w:val="13"/>
                <w:color w:val="auto"/>
              </w:rPr>
              <w:t>21,339,913</w:t>
            </w:r>
          </w:p>
        </w:tc>
        <w:tc>
          <w:tcPr>
            <w:tcW w:w="1140" w:type="dxa"/>
            <w:vAlign w:val="bottom"/>
            <w:tcBorders>
              <w:bottom w:val="single" w:sz="8" w:color="58585A"/>
            </w:tcBorders>
            <w:shd w:val="clear" w:color="auto" w:fill="E7E7E8"/>
          </w:tcPr>
          <w:p>
            <w:pPr>
              <w:jc w:val="right"/>
              <w:ind w:right="277"/>
              <w:spacing w:after="0"/>
              <w:rPr>
                <w:sz w:val="20"/>
                <w:szCs w:val="20"/>
                <w:color w:val="auto"/>
              </w:rPr>
            </w:pPr>
            <w:r>
              <w:rPr>
                <w:rFonts w:ascii="Arial" w:cs="Arial" w:eastAsia="Arial" w:hAnsi="Arial"/>
                <w:sz w:val="13"/>
                <w:szCs w:val="13"/>
                <w:color w:val="auto"/>
              </w:rPr>
              <w:t>2,510,598</w:t>
            </w:r>
          </w:p>
        </w:tc>
        <w:tc>
          <w:tcPr>
            <w:tcW w:w="1220" w:type="dxa"/>
            <w:vAlign w:val="bottom"/>
            <w:tcBorders>
              <w:bottom w:val="single" w:sz="8" w:color="58585A"/>
            </w:tcBorders>
            <w:shd w:val="clear" w:color="auto" w:fill="E7E7E8"/>
          </w:tcPr>
          <w:p>
            <w:pPr>
              <w:jc w:val="right"/>
              <w:ind w:right="298"/>
              <w:spacing w:after="0"/>
              <w:rPr>
                <w:sz w:val="20"/>
                <w:szCs w:val="20"/>
                <w:color w:val="auto"/>
              </w:rPr>
            </w:pPr>
            <w:r>
              <w:rPr>
                <w:rFonts w:ascii="Arial" w:cs="Arial" w:eastAsia="Arial" w:hAnsi="Arial"/>
                <w:sz w:val="13"/>
                <w:szCs w:val="13"/>
                <w:color w:val="auto"/>
              </w:rPr>
              <w:t>399,718</w:t>
            </w:r>
            <w:r>
              <w:rPr>
                <w:rFonts w:ascii="Arial" w:cs="Arial" w:eastAsia="Arial" w:hAnsi="Arial"/>
                <w:sz w:val="10"/>
                <w:szCs w:val="10"/>
                <w:color w:val="auto"/>
              </w:rPr>
              <w:t>5</w:t>
            </w:r>
          </w:p>
        </w:tc>
        <w:tc>
          <w:tcPr>
            <w:tcW w:w="1040" w:type="dxa"/>
            <w:vAlign w:val="bottom"/>
            <w:tcBorders>
              <w:bottom w:val="single" w:sz="8" w:color="58585A"/>
            </w:tcBorders>
            <w:shd w:val="clear" w:color="auto" w:fill="E7E7E8"/>
          </w:tcPr>
          <w:p>
            <w:pPr>
              <w:jc w:val="right"/>
              <w:ind w:right="57"/>
              <w:spacing w:after="0"/>
              <w:rPr>
                <w:sz w:val="20"/>
                <w:szCs w:val="20"/>
                <w:color w:val="auto"/>
              </w:rPr>
            </w:pPr>
            <w:r>
              <w:rPr>
                <w:rFonts w:ascii="Arial" w:cs="Arial" w:eastAsia="Arial" w:hAnsi="Arial"/>
                <w:sz w:val="13"/>
                <w:szCs w:val="13"/>
                <w:color w:val="auto"/>
              </w:rPr>
              <w:t>25,381,129</w:t>
            </w:r>
          </w:p>
        </w:tc>
        <w:tc>
          <w:tcPr>
            <w:tcW w:w="0" w:type="dxa"/>
            <w:vAlign w:val="bottom"/>
          </w:tcPr>
          <w:p>
            <w:pPr>
              <w:spacing w:after="0"/>
              <w:rPr>
                <w:sz w:val="1"/>
                <w:szCs w:val="1"/>
                <w:color w:val="auto"/>
              </w:rPr>
            </w:pPr>
          </w:p>
        </w:tc>
      </w:tr>
      <w:tr>
        <w:trPr>
          <w:trHeight w:val="66"/>
        </w:trPr>
        <w:tc>
          <w:tcPr>
            <w:tcW w:w="27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40" w:type="dxa"/>
            <w:vAlign w:val="bottom"/>
            <w:vMerge w:val="restart"/>
            <w:shd w:val="clear" w:color="auto" w:fill="E7E7E8"/>
          </w:tcPr>
          <w:p>
            <w:pPr>
              <w:jc w:val="right"/>
              <w:ind w:right="177"/>
              <w:spacing w:after="0"/>
              <w:rPr>
                <w:sz w:val="20"/>
                <w:szCs w:val="20"/>
                <w:color w:val="auto"/>
              </w:rPr>
            </w:pPr>
            <w:r>
              <w:rPr>
                <w:rFonts w:ascii="Arial" w:cs="Arial" w:eastAsia="Arial" w:hAnsi="Arial"/>
                <w:sz w:val="13"/>
                <w:szCs w:val="13"/>
                <w:color w:val="auto"/>
                <w:w w:val="96"/>
              </w:rPr>
              <w:t>2017</w:t>
            </w:r>
          </w:p>
        </w:tc>
        <w:tc>
          <w:tcPr>
            <w:tcW w:w="1040" w:type="dxa"/>
            <w:vAlign w:val="bottom"/>
            <w:vMerge w:val="restart"/>
            <w:shd w:val="clear" w:color="auto" w:fill="E7E7E8"/>
          </w:tcPr>
          <w:p>
            <w:pPr>
              <w:jc w:val="right"/>
              <w:ind w:right="177"/>
              <w:spacing w:after="0"/>
              <w:rPr>
                <w:sz w:val="20"/>
                <w:szCs w:val="20"/>
                <w:color w:val="auto"/>
              </w:rPr>
            </w:pPr>
            <w:r>
              <w:rPr>
                <w:rFonts w:ascii="Arial" w:cs="Arial" w:eastAsia="Arial" w:hAnsi="Arial"/>
                <w:sz w:val="13"/>
                <w:szCs w:val="13"/>
                <w:color w:val="auto"/>
              </w:rPr>
              <w:t>1,092,700</w:t>
            </w:r>
          </w:p>
        </w:tc>
        <w:tc>
          <w:tcPr>
            <w:tcW w:w="700" w:type="dxa"/>
            <w:vAlign w:val="bottom"/>
            <w:vMerge w:val="restart"/>
            <w:shd w:val="clear" w:color="auto" w:fill="E7E7E8"/>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shd w:val="clear" w:color="auto" w:fill="E7E7E8"/>
          </w:tcPr>
          <w:p>
            <w:pPr>
              <w:spacing w:after="0"/>
              <w:rPr>
                <w:sz w:val="5"/>
                <w:szCs w:val="5"/>
                <w:color w:val="auto"/>
              </w:rPr>
            </w:pPr>
          </w:p>
        </w:tc>
        <w:tc>
          <w:tcPr>
            <w:tcW w:w="1300" w:type="dxa"/>
            <w:vAlign w:val="bottom"/>
            <w:vMerge w:val="restart"/>
            <w:shd w:val="clear" w:color="auto" w:fill="E7E7E8"/>
          </w:tcPr>
          <w:p>
            <w:pPr>
              <w:jc w:val="right"/>
              <w:ind w:right="297"/>
              <w:spacing w:after="0"/>
              <w:rPr>
                <w:sz w:val="20"/>
                <w:szCs w:val="20"/>
                <w:color w:val="auto"/>
              </w:rPr>
            </w:pPr>
            <w:r>
              <w:rPr>
                <w:rFonts w:ascii="Arial" w:cs="Arial" w:eastAsia="Arial" w:hAnsi="Arial"/>
                <w:sz w:val="13"/>
                <w:szCs w:val="13"/>
                <w:color w:val="auto"/>
              </w:rPr>
              <w:t>21,967,210</w:t>
            </w:r>
          </w:p>
        </w:tc>
        <w:tc>
          <w:tcPr>
            <w:tcW w:w="1140" w:type="dxa"/>
            <w:vAlign w:val="bottom"/>
            <w:vMerge w:val="restart"/>
            <w:shd w:val="clear" w:color="auto" w:fill="E7E7E8"/>
          </w:tcPr>
          <w:p>
            <w:pPr>
              <w:jc w:val="right"/>
              <w:ind w:right="277"/>
              <w:spacing w:after="0"/>
              <w:rPr>
                <w:sz w:val="20"/>
                <w:szCs w:val="20"/>
                <w:color w:val="auto"/>
              </w:rPr>
            </w:pPr>
            <w:r>
              <w:rPr>
                <w:rFonts w:ascii="Arial" w:cs="Arial" w:eastAsia="Arial" w:hAnsi="Arial"/>
                <w:sz w:val="13"/>
                <w:szCs w:val="13"/>
                <w:color w:val="auto"/>
              </w:rPr>
              <w:t>2,097,984</w:t>
            </w:r>
          </w:p>
        </w:tc>
        <w:tc>
          <w:tcPr>
            <w:tcW w:w="1220" w:type="dxa"/>
            <w:vAlign w:val="bottom"/>
            <w:vMerge w:val="restart"/>
            <w:shd w:val="clear" w:color="auto" w:fill="E7E7E8"/>
          </w:tcPr>
          <w:p>
            <w:pPr>
              <w:jc w:val="right"/>
              <w:ind w:right="358"/>
              <w:spacing w:after="0"/>
              <w:rPr>
                <w:sz w:val="20"/>
                <w:szCs w:val="20"/>
                <w:color w:val="auto"/>
              </w:rPr>
            </w:pPr>
            <w:r>
              <w:rPr>
                <w:rFonts w:ascii="Arial" w:cs="Arial" w:eastAsia="Arial" w:hAnsi="Arial"/>
                <w:sz w:val="13"/>
                <w:szCs w:val="13"/>
                <w:color w:val="auto"/>
              </w:rPr>
              <w:t>141,345</w:t>
            </w:r>
          </w:p>
        </w:tc>
        <w:tc>
          <w:tcPr>
            <w:tcW w:w="1040" w:type="dxa"/>
            <w:vAlign w:val="bottom"/>
            <w:vMerge w:val="restart"/>
            <w:shd w:val="clear" w:color="auto" w:fill="E7E7E8"/>
          </w:tcPr>
          <w:p>
            <w:pPr>
              <w:jc w:val="right"/>
              <w:ind w:right="57"/>
              <w:spacing w:after="0"/>
              <w:rPr>
                <w:sz w:val="20"/>
                <w:szCs w:val="20"/>
                <w:color w:val="auto"/>
              </w:rPr>
            </w:pPr>
            <w:r>
              <w:rPr>
                <w:rFonts w:ascii="Arial" w:cs="Arial" w:eastAsia="Arial" w:hAnsi="Arial"/>
                <w:sz w:val="13"/>
                <w:szCs w:val="13"/>
                <w:color w:val="auto"/>
              </w:rPr>
              <w:t>25,299,239</w:t>
            </w:r>
          </w:p>
        </w:tc>
        <w:tc>
          <w:tcPr>
            <w:tcW w:w="0" w:type="dxa"/>
            <w:vAlign w:val="bottom"/>
          </w:tcPr>
          <w:p>
            <w:pPr>
              <w:spacing w:after="0"/>
              <w:rPr>
                <w:sz w:val="1"/>
                <w:szCs w:val="1"/>
                <w:color w:val="auto"/>
              </w:rPr>
            </w:pPr>
          </w:p>
        </w:tc>
      </w:tr>
      <w:tr>
        <w:trPr>
          <w:trHeight w:val="101"/>
        </w:trPr>
        <w:tc>
          <w:tcPr>
            <w:tcW w:w="2780" w:type="dxa"/>
            <w:vAlign w:val="bottom"/>
            <w:tcBorders>
              <w:bottom w:val="single" w:sz="8" w:color="E7E7E8"/>
            </w:tcBorders>
            <w:shd w:val="clear" w:color="auto" w:fill="E7E7E8"/>
          </w:tcPr>
          <w:p>
            <w:pPr>
              <w:ind w:left="40"/>
              <w:spacing w:after="0" w:line="96" w:lineRule="exact"/>
              <w:rPr>
                <w:sz w:val="20"/>
                <w:szCs w:val="20"/>
                <w:color w:val="auto"/>
              </w:rPr>
            </w:pPr>
            <w:r>
              <w:rPr>
                <w:rFonts w:ascii="Arial" w:cs="Arial" w:eastAsia="Arial" w:hAnsi="Arial"/>
                <w:sz w:val="11"/>
                <w:szCs w:val="11"/>
                <w:b w:val="1"/>
                <w:bCs w:val="1"/>
                <w:color w:val="auto"/>
              </w:rPr>
              <w:t>President and Chief Scientific Officer</w:t>
            </w:r>
          </w:p>
        </w:tc>
        <w:tc>
          <w:tcPr>
            <w:tcW w:w="100" w:type="dxa"/>
            <w:vAlign w:val="bottom"/>
            <w:tcBorders>
              <w:bottom w:val="single" w:sz="8" w:color="E7E7E8"/>
            </w:tcBorders>
            <w:shd w:val="clear" w:color="auto" w:fill="E7E7E8"/>
          </w:tcPr>
          <w:p>
            <w:pPr>
              <w:spacing w:after="0"/>
              <w:rPr>
                <w:sz w:val="8"/>
                <w:szCs w:val="8"/>
                <w:color w:val="auto"/>
              </w:rPr>
            </w:pPr>
          </w:p>
        </w:tc>
        <w:tc>
          <w:tcPr>
            <w:tcW w:w="120" w:type="dxa"/>
            <w:vAlign w:val="bottom"/>
            <w:tcBorders>
              <w:bottom w:val="single" w:sz="8" w:color="58585A"/>
            </w:tcBorders>
            <w:shd w:val="clear" w:color="auto" w:fill="E7E7E8"/>
          </w:tcPr>
          <w:p>
            <w:pPr>
              <w:spacing w:after="0"/>
              <w:rPr>
                <w:sz w:val="8"/>
                <w:szCs w:val="8"/>
                <w:color w:val="auto"/>
              </w:rPr>
            </w:pPr>
          </w:p>
        </w:tc>
        <w:tc>
          <w:tcPr>
            <w:tcW w:w="540" w:type="dxa"/>
            <w:vAlign w:val="bottom"/>
            <w:tcBorders>
              <w:bottom w:val="single" w:sz="8" w:color="58585A"/>
            </w:tcBorders>
            <w:vMerge w:val="continue"/>
            <w:shd w:val="clear" w:color="auto" w:fill="E7E7E8"/>
          </w:tcPr>
          <w:p>
            <w:pPr>
              <w:spacing w:after="0"/>
              <w:rPr>
                <w:sz w:val="8"/>
                <w:szCs w:val="8"/>
                <w:color w:val="auto"/>
              </w:rPr>
            </w:pPr>
          </w:p>
        </w:tc>
        <w:tc>
          <w:tcPr>
            <w:tcW w:w="1040" w:type="dxa"/>
            <w:vAlign w:val="bottom"/>
            <w:tcBorders>
              <w:bottom w:val="single" w:sz="8" w:color="58585A"/>
            </w:tcBorders>
            <w:vMerge w:val="continue"/>
            <w:shd w:val="clear" w:color="auto" w:fill="E7E7E8"/>
          </w:tcPr>
          <w:p>
            <w:pPr>
              <w:spacing w:after="0"/>
              <w:rPr>
                <w:sz w:val="8"/>
                <w:szCs w:val="8"/>
                <w:color w:val="auto"/>
              </w:rPr>
            </w:pPr>
          </w:p>
        </w:tc>
        <w:tc>
          <w:tcPr>
            <w:tcW w:w="700" w:type="dxa"/>
            <w:vAlign w:val="bottom"/>
            <w:tcBorders>
              <w:bottom w:val="single" w:sz="8" w:color="58585A"/>
            </w:tcBorders>
            <w:vMerge w:val="continue"/>
            <w:shd w:val="clear" w:color="auto" w:fill="E7E7E8"/>
          </w:tcPr>
          <w:p>
            <w:pPr>
              <w:spacing w:after="0"/>
              <w:rPr>
                <w:sz w:val="8"/>
                <w:szCs w:val="8"/>
                <w:color w:val="auto"/>
              </w:rPr>
            </w:pPr>
          </w:p>
        </w:tc>
        <w:tc>
          <w:tcPr>
            <w:tcW w:w="420" w:type="dxa"/>
            <w:vAlign w:val="bottom"/>
            <w:tcBorders>
              <w:bottom w:val="single" w:sz="8" w:color="58585A"/>
            </w:tcBorders>
            <w:shd w:val="clear" w:color="auto" w:fill="E7E7E8"/>
          </w:tcPr>
          <w:p>
            <w:pPr>
              <w:spacing w:after="0"/>
              <w:rPr>
                <w:sz w:val="8"/>
                <w:szCs w:val="8"/>
                <w:color w:val="auto"/>
              </w:rPr>
            </w:pPr>
          </w:p>
        </w:tc>
        <w:tc>
          <w:tcPr>
            <w:tcW w:w="1300" w:type="dxa"/>
            <w:vAlign w:val="bottom"/>
            <w:tcBorders>
              <w:bottom w:val="single" w:sz="8" w:color="58585A"/>
            </w:tcBorders>
            <w:vMerge w:val="continue"/>
            <w:shd w:val="clear" w:color="auto" w:fill="E7E7E8"/>
          </w:tcPr>
          <w:p>
            <w:pPr>
              <w:spacing w:after="0"/>
              <w:rPr>
                <w:sz w:val="8"/>
                <w:szCs w:val="8"/>
                <w:color w:val="auto"/>
              </w:rPr>
            </w:pPr>
          </w:p>
        </w:tc>
        <w:tc>
          <w:tcPr>
            <w:tcW w:w="1140" w:type="dxa"/>
            <w:vAlign w:val="bottom"/>
            <w:tcBorders>
              <w:bottom w:val="single" w:sz="8" w:color="58585A"/>
            </w:tcBorders>
            <w:vMerge w:val="continue"/>
            <w:shd w:val="clear" w:color="auto" w:fill="E7E7E8"/>
          </w:tcPr>
          <w:p>
            <w:pPr>
              <w:spacing w:after="0"/>
              <w:rPr>
                <w:sz w:val="8"/>
                <w:szCs w:val="8"/>
                <w:color w:val="auto"/>
              </w:rPr>
            </w:pPr>
          </w:p>
        </w:tc>
        <w:tc>
          <w:tcPr>
            <w:tcW w:w="1220" w:type="dxa"/>
            <w:vAlign w:val="bottom"/>
            <w:tcBorders>
              <w:bottom w:val="single" w:sz="8" w:color="58585A"/>
            </w:tcBorders>
            <w:vMerge w:val="continue"/>
            <w:shd w:val="clear" w:color="auto" w:fill="E7E7E8"/>
          </w:tcPr>
          <w:p>
            <w:pPr>
              <w:spacing w:after="0"/>
              <w:rPr>
                <w:sz w:val="8"/>
                <w:szCs w:val="8"/>
                <w:color w:val="auto"/>
              </w:rPr>
            </w:pPr>
          </w:p>
        </w:tc>
        <w:tc>
          <w:tcPr>
            <w:tcW w:w="1040" w:type="dxa"/>
            <w:vAlign w:val="bottom"/>
            <w:tcBorders>
              <w:bottom w:val="single" w:sz="8" w:color="58585A"/>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58585A"/>
            </w:tcBorders>
            <w:shd w:val="clear" w:color="auto" w:fill="E7E7E8"/>
          </w:tcPr>
          <w:p>
            <w:pPr>
              <w:spacing w:after="0"/>
              <w:rPr>
                <w:sz w:val="14"/>
                <w:szCs w:val="14"/>
                <w:color w:val="auto"/>
              </w:rPr>
            </w:pPr>
          </w:p>
        </w:tc>
        <w:tc>
          <w:tcPr>
            <w:tcW w:w="100" w:type="dxa"/>
            <w:vAlign w:val="bottom"/>
            <w:tcBorders>
              <w:bottom w:val="single" w:sz="8" w:color="58585A"/>
            </w:tcBorders>
            <w:shd w:val="clear" w:color="auto" w:fill="E7E7E8"/>
          </w:tcPr>
          <w:p>
            <w:pPr>
              <w:spacing w:after="0"/>
              <w:rPr>
                <w:sz w:val="14"/>
                <w:szCs w:val="14"/>
                <w:color w:val="auto"/>
              </w:rPr>
            </w:pPr>
          </w:p>
        </w:tc>
        <w:tc>
          <w:tcPr>
            <w:tcW w:w="120" w:type="dxa"/>
            <w:vAlign w:val="bottom"/>
            <w:tcBorders>
              <w:bottom w:val="single" w:sz="8" w:color="58585A"/>
            </w:tcBorders>
            <w:shd w:val="clear" w:color="auto" w:fill="E7E7E8"/>
          </w:tcPr>
          <w:p>
            <w:pPr>
              <w:spacing w:after="0"/>
              <w:rPr>
                <w:sz w:val="14"/>
                <w:szCs w:val="14"/>
                <w:color w:val="auto"/>
              </w:rPr>
            </w:pPr>
          </w:p>
        </w:tc>
        <w:tc>
          <w:tcPr>
            <w:tcW w:w="540" w:type="dxa"/>
            <w:vAlign w:val="bottom"/>
            <w:tcBorders>
              <w:bottom w:val="single" w:sz="8" w:color="58585A"/>
            </w:tcBorders>
            <w:shd w:val="clear" w:color="auto" w:fill="E7E7E8"/>
          </w:tcPr>
          <w:p>
            <w:pPr>
              <w:jc w:val="right"/>
              <w:ind w:right="177"/>
              <w:spacing w:after="0"/>
              <w:rPr>
                <w:sz w:val="20"/>
                <w:szCs w:val="20"/>
                <w:color w:val="auto"/>
              </w:rPr>
            </w:pPr>
            <w:r>
              <w:rPr>
                <w:rFonts w:ascii="Arial" w:cs="Arial" w:eastAsia="Arial" w:hAnsi="Arial"/>
                <w:sz w:val="13"/>
                <w:szCs w:val="13"/>
                <w:color w:val="auto"/>
                <w:w w:val="96"/>
              </w:rPr>
              <w:t>2016</w:t>
            </w:r>
          </w:p>
        </w:tc>
        <w:tc>
          <w:tcPr>
            <w:tcW w:w="1040" w:type="dxa"/>
            <w:vAlign w:val="bottom"/>
            <w:tcBorders>
              <w:bottom w:val="single" w:sz="8" w:color="58585A"/>
            </w:tcBorders>
            <w:shd w:val="clear" w:color="auto" w:fill="E7E7E8"/>
          </w:tcPr>
          <w:p>
            <w:pPr>
              <w:jc w:val="right"/>
              <w:ind w:right="177"/>
              <w:spacing w:after="0"/>
              <w:rPr>
                <w:sz w:val="20"/>
                <w:szCs w:val="20"/>
                <w:color w:val="auto"/>
              </w:rPr>
            </w:pPr>
            <w:r>
              <w:rPr>
                <w:rFonts w:ascii="Arial" w:cs="Arial" w:eastAsia="Arial" w:hAnsi="Arial"/>
                <w:sz w:val="13"/>
                <w:szCs w:val="13"/>
                <w:color w:val="auto"/>
              </w:rPr>
              <w:t>1,055,700</w:t>
            </w:r>
          </w:p>
        </w:tc>
        <w:tc>
          <w:tcPr>
            <w:tcW w:w="700" w:type="dxa"/>
            <w:vAlign w:val="bottom"/>
            <w:tcBorders>
              <w:bottom w:val="single" w:sz="8" w:color="58585A"/>
            </w:tcBorders>
            <w:shd w:val="clear" w:color="auto" w:fill="E7E7E8"/>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Borders>
              <w:bottom w:val="single" w:sz="8" w:color="58585A"/>
            </w:tcBorders>
            <w:shd w:val="clear" w:color="auto" w:fill="E7E7E8"/>
          </w:tcPr>
          <w:p>
            <w:pPr>
              <w:spacing w:after="0"/>
              <w:rPr>
                <w:sz w:val="14"/>
                <w:szCs w:val="14"/>
                <w:color w:val="auto"/>
              </w:rPr>
            </w:pPr>
          </w:p>
        </w:tc>
        <w:tc>
          <w:tcPr>
            <w:tcW w:w="1300" w:type="dxa"/>
            <w:vAlign w:val="bottom"/>
            <w:tcBorders>
              <w:bottom w:val="single" w:sz="8" w:color="58585A"/>
            </w:tcBorders>
            <w:shd w:val="clear" w:color="auto" w:fill="E7E7E8"/>
          </w:tcPr>
          <w:p>
            <w:pPr>
              <w:jc w:val="right"/>
              <w:ind w:right="297"/>
              <w:spacing w:after="0"/>
              <w:rPr>
                <w:sz w:val="20"/>
                <w:szCs w:val="20"/>
                <w:color w:val="auto"/>
              </w:rPr>
            </w:pPr>
            <w:r>
              <w:rPr>
                <w:rFonts w:ascii="Arial" w:cs="Arial" w:eastAsia="Arial" w:hAnsi="Arial"/>
                <w:sz w:val="13"/>
                <w:szCs w:val="13"/>
                <w:color w:val="auto"/>
              </w:rPr>
              <w:t>24,631,012</w:t>
            </w:r>
          </w:p>
        </w:tc>
        <w:tc>
          <w:tcPr>
            <w:tcW w:w="1140" w:type="dxa"/>
            <w:vAlign w:val="bottom"/>
            <w:tcBorders>
              <w:bottom w:val="single" w:sz="8" w:color="58585A"/>
            </w:tcBorders>
            <w:shd w:val="clear" w:color="auto" w:fill="E7E7E8"/>
          </w:tcPr>
          <w:p>
            <w:pPr>
              <w:jc w:val="right"/>
              <w:ind w:right="277"/>
              <w:spacing w:after="0"/>
              <w:rPr>
                <w:sz w:val="20"/>
                <w:szCs w:val="20"/>
                <w:color w:val="auto"/>
              </w:rPr>
            </w:pPr>
            <w:r>
              <w:rPr>
                <w:rFonts w:ascii="Arial" w:cs="Arial" w:eastAsia="Arial" w:hAnsi="Arial"/>
                <w:sz w:val="13"/>
                <w:szCs w:val="13"/>
                <w:color w:val="auto"/>
              </w:rPr>
              <w:t>1,900,260</w:t>
            </w:r>
          </w:p>
        </w:tc>
        <w:tc>
          <w:tcPr>
            <w:tcW w:w="1220" w:type="dxa"/>
            <w:vAlign w:val="bottom"/>
            <w:tcBorders>
              <w:bottom w:val="single" w:sz="8" w:color="58585A"/>
            </w:tcBorders>
            <w:shd w:val="clear" w:color="auto" w:fill="E7E7E8"/>
          </w:tcPr>
          <w:p>
            <w:pPr>
              <w:jc w:val="right"/>
              <w:ind w:right="358"/>
              <w:spacing w:after="0"/>
              <w:rPr>
                <w:sz w:val="20"/>
                <w:szCs w:val="20"/>
                <w:color w:val="auto"/>
              </w:rPr>
            </w:pPr>
            <w:r>
              <w:rPr>
                <w:rFonts w:ascii="Arial" w:cs="Arial" w:eastAsia="Arial" w:hAnsi="Arial"/>
                <w:sz w:val="13"/>
                <w:szCs w:val="13"/>
                <w:color w:val="auto"/>
              </w:rPr>
              <w:t>180,547</w:t>
            </w:r>
          </w:p>
        </w:tc>
        <w:tc>
          <w:tcPr>
            <w:tcW w:w="1040" w:type="dxa"/>
            <w:vAlign w:val="bottom"/>
            <w:tcBorders>
              <w:bottom w:val="single" w:sz="8" w:color="58585A"/>
            </w:tcBorders>
            <w:shd w:val="clear" w:color="auto" w:fill="E7E7E8"/>
          </w:tcPr>
          <w:p>
            <w:pPr>
              <w:jc w:val="right"/>
              <w:ind w:right="57"/>
              <w:spacing w:after="0"/>
              <w:rPr>
                <w:sz w:val="20"/>
                <w:szCs w:val="20"/>
                <w:color w:val="auto"/>
              </w:rPr>
            </w:pPr>
            <w:r>
              <w:rPr>
                <w:rFonts w:ascii="Arial" w:cs="Arial" w:eastAsia="Arial" w:hAnsi="Arial"/>
                <w:sz w:val="13"/>
                <w:szCs w:val="13"/>
                <w:color w:val="auto"/>
              </w:rPr>
              <w:t>27,767,519</w:t>
            </w:r>
          </w:p>
        </w:tc>
        <w:tc>
          <w:tcPr>
            <w:tcW w:w="0" w:type="dxa"/>
            <w:vAlign w:val="bottom"/>
          </w:tcPr>
          <w:p>
            <w:pPr>
              <w:spacing w:after="0"/>
              <w:rPr>
                <w:sz w:val="1"/>
                <w:szCs w:val="1"/>
                <w:color w:val="auto"/>
              </w:rPr>
            </w:pPr>
          </w:p>
        </w:tc>
      </w:tr>
      <w:tr>
        <w:trPr>
          <w:trHeight w:val="176"/>
        </w:trPr>
        <w:tc>
          <w:tcPr>
            <w:tcW w:w="2780" w:type="dxa"/>
            <w:vAlign w:val="bottom"/>
          </w:tcPr>
          <w:p>
            <w:pPr>
              <w:ind w:left="40"/>
              <w:spacing w:after="0"/>
              <w:rPr>
                <w:sz w:val="20"/>
                <w:szCs w:val="20"/>
                <w:color w:val="auto"/>
              </w:rPr>
            </w:pPr>
            <w:r>
              <w:rPr>
                <w:rFonts w:ascii="Arial" w:cs="Arial" w:eastAsia="Arial" w:hAnsi="Arial"/>
                <w:sz w:val="12"/>
                <w:szCs w:val="12"/>
                <w:b w:val="1"/>
                <w:bCs w:val="1"/>
                <w:color w:val="D61C5A"/>
              </w:rPr>
              <w:t>Robert E. Landry</w:t>
            </w:r>
          </w:p>
        </w:tc>
        <w:tc>
          <w:tcPr>
            <w:tcW w:w="100" w:type="dxa"/>
            <w:vAlign w:val="bottom"/>
          </w:tcPr>
          <w:p>
            <w:pPr>
              <w:spacing w:after="0"/>
              <w:rPr>
                <w:sz w:val="15"/>
                <w:szCs w:val="15"/>
                <w:color w:val="auto"/>
              </w:rPr>
            </w:pPr>
          </w:p>
        </w:tc>
        <w:tc>
          <w:tcPr>
            <w:tcW w:w="660" w:type="dxa"/>
            <w:vAlign w:val="bottom"/>
            <w:tcBorders>
              <w:bottom w:val="single" w:sz="8" w:color="58585A"/>
            </w:tcBorders>
            <w:gridSpan w:val="2"/>
          </w:tcPr>
          <w:p>
            <w:pPr>
              <w:jc w:val="right"/>
              <w:ind w:right="177"/>
              <w:spacing w:after="0"/>
              <w:rPr>
                <w:sz w:val="20"/>
                <w:szCs w:val="20"/>
                <w:color w:val="auto"/>
              </w:rPr>
            </w:pPr>
            <w:r>
              <w:rPr>
                <w:rFonts w:ascii="Arial" w:cs="Arial" w:eastAsia="Arial" w:hAnsi="Arial"/>
                <w:sz w:val="13"/>
                <w:szCs w:val="13"/>
                <w:color w:val="auto"/>
              </w:rPr>
              <w:t>2018</w:t>
            </w:r>
          </w:p>
        </w:tc>
        <w:tc>
          <w:tcPr>
            <w:tcW w:w="1040" w:type="dxa"/>
            <w:vAlign w:val="bottom"/>
            <w:tcBorders>
              <w:bottom w:val="single" w:sz="8" w:color="58585A"/>
            </w:tcBorders>
          </w:tcPr>
          <w:p>
            <w:pPr>
              <w:jc w:val="right"/>
              <w:ind w:right="177"/>
              <w:spacing w:after="0"/>
              <w:rPr>
                <w:sz w:val="20"/>
                <w:szCs w:val="20"/>
                <w:color w:val="auto"/>
              </w:rPr>
            </w:pPr>
            <w:r>
              <w:rPr>
                <w:rFonts w:ascii="Arial" w:cs="Arial" w:eastAsia="Arial" w:hAnsi="Arial"/>
                <w:sz w:val="13"/>
                <w:szCs w:val="13"/>
                <w:color w:val="auto"/>
              </w:rPr>
              <w:t>680,000</w:t>
            </w:r>
          </w:p>
        </w:tc>
        <w:tc>
          <w:tcPr>
            <w:tcW w:w="700" w:type="dxa"/>
            <w:vAlign w:val="bottom"/>
            <w:tcBorders>
              <w:bottom w:val="single" w:sz="8" w:color="58585A"/>
            </w:tcBorders>
          </w:tcPr>
          <w:p>
            <w:pPr>
              <w:jc w:val="center"/>
              <w:ind w:left="37"/>
              <w:spacing w:after="0"/>
              <w:rPr>
                <w:sz w:val="20"/>
                <w:szCs w:val="20"/>
                <w:color w:val="auto"/>
              </w:rPr>
            </w:pPr>
            <w:r>
              <w:rPr>
                <w:rFonts w:ascii="Arial" w:cs="Arial" w:eastAsia="Arial" w:hAnsi="Arial"/>
                <w:sz w:val="13"/>
                <w:szCs w:val="13"/>
                <w:color w:val="auto"/>
                <w:w w:val="96"/>
              </w:rPr>
              <w:t>4,767,500</w:t>
            </w:r>
          </w:p>
        </w:tc>
        <w:tc>
          <w:tcPr>
            <w:tcW w:w="420" w:type="dxa"/>
            <w:vAlign w:val="bottom"/>
            <w:tcBorders>
              <w:bottom w:val="single" w:sz="8" w:color="58585A"/>
            </w:tcBorders>
          </w:tcPr>
          <w:p>
            <w:pPr>
              <w:spacing w:after="0"/>
              <w:rPr>
                <w:sz w:val="15"/>
                <w:szCs w:val="15"/>
                <w:color w:val="auto"/>
              </w:rPr>
            </w:pPr>
          </w:p>
        </w:tc>
        <w:tc>
          <w:tcPr>
            <w:tcW w:w="1300" w:type="dxa"/>
            <w:vAlign w:val="bottom"/>
            <w:tcBorders>
              <w:bottom w:val="single" w:sz="8" w:color="58585A"/>
            </w:tcBorders>
          </w:tcPr>
          <w:p>
            <w:pPr>
              <w:jc w:val="right"/>
              <w:ind w:right="297"/>
              <w:spacing w:after="0"/>
              <w:rPr>
                <w:sz w:val="20"/>
                <w:szCs w:val="20"/>
                <w:color w:val="auto"/>
              </w:rPr>
            </w:pPr>
            <w:r>
              <w:rPr>
                <w:rFonts w:ascii="Arial" w:cs="Arial" w:eastAsia="Arial" w:hAnsi="Arial"/>
                <w:sz w:val="13"/>
                <w:szCs w:val="13"/>
                <w:color w:val="auto"/>
              </w:rPr>
              <w:t>3,308,184</w:t>
            </w:r>
          </w:p>
        </w:tc>
        <w:tc>
          <w:tcPr>
            <w:tcW w:w="1140" w:type="dxa"/>
            <w:vAlign w:val="bottom"/>
            <w:tcBorders>
              <w:bottom w:val="single" w:sz="8" w:color="58585A"/>
            </w:tcBorders>
          </w:tcPr>
          <w:p>
            <w:pPr>
              <w:jc w:val="right"/>
              <w:ind w:right="277"/>
              <w:spacing w:after="0"/>
              <w:rPr>
                <w:sz w:val="20"/>
                <w:szCs w:val="20"/>
                <w:color w:val="auto"/>
              </w:rPr>
            </w:pPr>
            <w:r>
              <w:rPr>
                <w:rFonts w:ascii="Arial" w:cs="Arial" w:eastAsia="Arial" w:hAnsi="Arial"/>
                <w:sz w:val="13"/>
                <w:szCs w:val="13"/>
                <w:color w:val="auto"/>
              </w:rPr>
              <w:t>581,400</w:t>
            </w:r>
          </w:p>
        </w:tc>
        <w:tc>
          <w:tcPr>
            <w:tcW w:w="1220" w:type="dxa"/>
            <w:vAlign w:val="bottom"/>
            <w:tcBorders>
              <w:bottom w:val="single" w:sz="8" w:color="58585A"/>
            </w:tcBorders>
          </w:tcPr>
          <w:p>
            <w:pPr>
              <w:jc w:val="right"/>
              <w:ind w:right="298"/>
              <w:spacing w:after="0"/>
              <w:rPr>
                <w:sz w:val="20"/>
                <w:szCs w:val="20"/>
                <w:color w:val="auto"/>
              </w:rPr>
            </w:pPr>
            <w:r>
              <w:rPr>
                <w:rFonts w:ascii="Arial" w:cs="Arial" w:eastAsia="Arial" w:hAnsi="Arial"/>
                <w:sz w:val="13"/>
                <w:szCs w:val="13"/>
                <w:color w:val="auto"/>
              </w:rPr>
              <w:t>19,535</w:t>
            </w:r>
            <w:r>
              <w:rPr>
                <w:rFonts w:ascii="Arial" w:cs="Arial" w:eastAsia="Arial" w:hAnsi="Arial"/>
                <w:sz w:val="10"/>
                <w:szCs w:val="10"/>
                <w:color w:val="auto"/>
              </w:rPr>
              <w:t>6</w:t>
            </w:r>
          </w:p>
        </w:tc>
        <w:tc>
          <w:tcPr>
            <w:tcW w:w="1040" w:type="dxa"/>
            <w:vAlign w:val="bottom"/>
            <w:tcBorders>
              <w:bottom w:val="single" w:sz="8" w:color="58585A"/>
            </w:tcBorders>
          </w:tcPr>
          <w:p>
            <w:pPr>
              <w:jc w:val="right"/>
              <w:ind w:right="57"/>
              <w:spacing w:after="0"/>
              <w:rPr>
                <w:sz w:val="20"/>
                <w:szCs w:val="20"/>
                <w:color w:val="auto"/>
              </w:rPr>
            </w:pPr>
            <w:r>
              <w:rPr>
                <w:rFonts w:ascii="Arial" w:cs="Arial" w:eastAsia="Arial" w:hAnsi="Arial"/>
                <w:sz w:val="13"/>
                <w:szCs w:val="13"/>
                <w:color w:val="auto"/>
              </w:rPr>
              <w:t>9,356,619</w:t>
            </w:r>
          </w:p>
        </w:tc>
        <w:tc>
          <w:tcPr>
            <w:tcW w:w="0" w:type="dxa"/>
            <w:vAlign w:val="bottom"/>
          </w:tcPr>
          <w:p>
            <w:pPr>
              <w:spacing w:after="0"/>
              <w:rPr>
                <w:sz w:val="1"/>
                <w:szCs w:val="1"/>
                <w:color w:val="auto"/>
              </w:rPr>
            </w:pPr>
          </w:p>
        </w:tc>
      </w:tr>
      <w:tr>
        <w:trPr>
          <w:trHeight w:val="137"/>
        </w:trPr>
        <w:tc>
          <w:tcPr>
            <w:tcW w:w="2780" w:type="dxa"/>
            <w:vAlign w:val="bottom"/>
          </w:tcPr>
          <w:p>
            <w:pPr>
              <w:ind w:left="40"/>
              <w:spacing w:after="0"/>
              <w:rPr>
                <w:sz w:val="20"/>
                <w:szCs w:val="20"/>
                <w:color w:val="auto"/>
              </w:rPr>
            </w:pPr>
            <w:r>
              <w:rPr>
                <w:rFonts w:ascii="Arial" w:cs="Arial" w:eastAsia="Arial" w:hAnsi="Arial"/>
                <w:sz w:val="11"/>
                <w:szCs w:val="11"/>
                <w:b w:val="1"/>
                <w:bCs w:val="1"/>
                <w:color w:val="auto"/>
              </w:rPr>
              <w:t>Senior Vice President,</w:t>
            </w:r>
          </w:p>
        </w:tc>
        <w:tc>
          <w:tcPr>
            <w:tcW w:w="760" w:type="dxa"/>
            <w:vAlign w:val="bottom"/>
            <w:gridSpan w:val="3"/>
          </w:tcPr>
          <w:p>
            <w:pPr>
              <w:jc w:val="right"/>
              <w:ind w:right="177"/>
              <w:spacing w:after="0" w:line="137" w:lineRule="exact"/>
              <w:rPr>
                <w:sz w:val="20"/>
                <w:szCs w:val="20"/>
                <w:color w:val="auto"/>
              </w:rPr>
            </w:pPr>
            <w:r>
              <w:rPr>
                <w:rFonts w:ascii="Arial" w:cs="Arial" w:eastAsia="Arial" w:hAnsi="Arial"/>
                <w:sz w:val="13"/>
                <w:szCs w:val="13"/>
                <w:color w:val="auto"/>
              </w:rPr>
              <w:t>2017</w:t>
            </w:r>
          </w:p>
        </w:tc>
        <w:tc>
          <w:tcPr>
            <w:tcW w:w="1040" w:type="dxa"/>
            <w:vAlign w:val="bottom"/>
          </w:tcPr>
          <w:p>
            <w:pPr>
              <w:jc w:val="right"/>
              <w:ind w:right="177"/>
              <w:spacing w:after="0" w:line="137" w:lineRule="exact"/>
              <w:rPr>
                <w:sz w:val="20"/>
                <w:szCs w:val="20"/>
                <w:color w:val="auto"/>
              </w:rPr>
            </w:pPr>
            <w:r>
              <w:rPr>
                <w:rFonts w:ascii="Arial" w:cs="Arial" w:eastAsia="Arial" w:hAnsi="Arial"/>
                <w:sz w:val="13"/>
                <w:szCs w:val="13"/>
                <w:color w:val="auto"/>
              </w:rPr>
              <w:t>618,000</w:t>
            </w:r>
          </w:p>
        </w:tc>
        <w:tc>
          <w:tcPr>
            <w:tcW w:w="700" w:type="dxa"/>
            <w:vAlign w:val="bottom"/>
          </w:tcPr>
          <w:p>
            <w:pPr>
              <w:jc w:val="center"/>
              <w:ind w:left="37"/>
              <w:spacing w:after="0" w:line="137" w:lineRule="exact"/>
              <w:rPr>
                <w:sz w:val="20"/>
                <w:szCs w:val="20"/>
                <w:color w:val="auto"/>
              </w:rPr>
            </w:pPr>
            <w:r>
              <w:rPr>
                <w:rFonts w:ascii="Arial" w:cs="Arial" w:eastAsia="Arial" w:hAnsi="Arial"/>
                <w:sz w:val="13"/>
                <w:szCs w:val="13"/>
                <w:color w:val="auto"/>
                <w:w w:val="91"/>
              </w:rPr>
              <w:t>—</w:t>
            </w:r>
          </w:p>
        </w:tc>
        <w:tc>
          <w:tcPr>
            <w:tcW w:w="420" w:type="dxa"/>
            <w:vAlign w:val="bottom"/>
          </w:tcPr>
          <w:p>
            <w:pPr>
              <w:spacing w:after="0"/>
              <w:rPr>
                <w:sz w:val="11"/>
                <w:szCs w:val="11"/>
                <w:color w:val="auto"/>
              </w:rPr>
            </w:pPr>
          </w:p>
        </w:tc>
        <w:tc>
          <w:tcPr>
            <w:tcW w:w="1300" w:type="dxa"/>
            <w:vAlign w:val="bottom"/>
          </w:tcPr>
          <w:p>
            <w:pPr>
              <w:jc w:val="right"/>
              <w:ind w:right="297"/>
              <w:spacing w:after="0" w:line="137" w:lineRule="exact"/>
              <w:rPr>
                <w:sz w:val="20"/>
                <w:szCs w:val="20"/>
                <w:color w:val="auto"/>
              </w:rPr>
            </w:pPr>
            <w:r>
              <w:rPr>
                <w:rFonts w:ascii="Arial" w:cs="Arial" w:eastAsia="Arial" w:hAnsi="Arial"/>
                <w:sz w:val="13"/>
                <w:szCs w:val="13"/>
                <w:color w:val="auto"/>
              </w:rPr>
              <w:t>3,675,566</w:t>
            </w:r>
          </w:p>
        </w:tc>
        <w:tc>
          <w:tcPr>
            <w:tcW w:w="1140" w:type="dxa"/>
            <w:vAlign w:val="bottom"/>
          </w:tcPr>
          <w:p>
            <w:pPr>
              <w:jc w:val="right"/>
              <w:ind w:right="277"/>
              <w:spacing w:after="0" w:line="137" w:lineRule="exact"/>
              <w:rPr>
                <w:sz w:val="20"/>
                <w:szCs w:val="20"/>
                <w:color w:val="auto"/>
              </w:rPr>
            </w:pPr>
            <w:r>
              <w:rPr>
                <w:rFonts w:ascii="Arial" w:cs="Arial" w:eastAsia="Arial" w:hAnsi="Arial"/>
                <w:sz w:val="13"/>
                <w:szCs w:val="13"/>
                <w:color w:val="auto"/>
              </w:rPr>
              <w:t>482,040</w:t>
            </w:r>
          </w:p>
        </w:tc>
        <w:tc>
          <w:tcPr>
            <w:tcW w:w="1220" w:type="dxa"/>
            <w:vAlign w:val="bottom"/>
          </w:tcPr>
          <w:p>
            <w:pPr>
              <w:jc w:val="right"/>
              <w:ind w:right="358"/>
              <w:spacing w:after="0" w:line="137" w:lineRule="exact"/>
              <w:rPr>
                <w:sz w:val="20"/>
                <w:szCs w:val="20"/>
                <w:color w:val="auto"/>
              </w:rPr>
            </w:pPr>
            <w:r>
              <w:rPr>
                <w:rFonts w:ascii="Arial" w:cs="Arial" w:eastAsia="Arial" w:hAnsi="Arial"/>
                <w:sz w:val="13"/>
                <w:szCs w:val="13"/>
                <w:color w:val="auto"/>
              </w:rPr>
              <w:t>19,130</w:t>
            </w:r>
          </w:p>
        </w:tc>
        <w:tc>
          <w:tcPr>
            <w:tcW w:w="1040" w:type="dxa"/>
            <w:vAlign w:val="bottom"/>
          </w:tcPr>
          <w:p>
            <w:pPr>
              <w:jc w:val="right"/>
              <w:ind w:right="57"/>
              <w:spacing w:after="0" w:line="137" w:lineRule="exact"/>
              <w:rPr>
                <w:sz w:val="20"/>
                <w:szCs w:val="20"/>
                <w:color w:val="auto"/>
              </w:rPr>
            </w:pPr>
            <w:r>
              <w:rPr>
                <w:rFonts w:ascii="Arial" w:cs="Arial" w:eastAsia="Arial" w:hAnsi="Arial"/>
                <w:sz w:val="13"/>
                <w:szCs w:val="13"/>
                <w:color w:val="auto"/>
              </w:rPr>
              <w:t>4,794,736</w:t>
            </w:r>
          </w:p>
        </w:tc>
        <w:tc>
          <w:tcPr>
            <w:tcW w:w="0" w:type="dxa"/>
            <w:vAlign w:val="bottom"/>
          </w:tcPr>
          <w:p>
            <w:pPr>
              <w:spacing w:after="0"/>
              <w:rPr>
                <w:sz w:val="1"/>
                <w:szCs w:val="1"/>
                <w:color w:val="auto"/>
              </w:rPr>
            </w:pPr>
          </w:p>
        </w:tc>
      </w:tr>
      <w:tr>
        <w:trPr>
          <w:trHeight w:val="25"/>
        </w:trPr>
        <w:tc>
          <w:tcPr>
            <w:tcW w:w="27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Finance and Chief Financial Officer</w:t>
            </w:r>
          </w:p>
        </w:tc>
        <w:tc>
          <w:tcPr>
            <w:tcW w:w="100" w:type="dxa"/>
            <w:vAlign w:val="bottom"/>
          </w:tcPr>
          <w:p>
            <w:pPr>
              <w:spacing w:after="0"/>
              <w:rPr>
                <w:sz w:val="2"/>
                <w:szCs w:val="2"/>
                <w:color w:val="auto"/>
              </w:rPr>
            </w:pPr>
          </w:p>
        </w:tc>
        <w:tc>
          <w:tcPr>
            <w:tcW w:w="120" w:type="dxa"/>
            <w:vAlign w:val="bottom"/>
            <w:tcBorders>
              <w:bottom w:val="single" w:sz="8" w:color="58585A"/>
            </w:tcBorders>
          </w:tcPr>
          <w:p>
            <w:pPr>
              <w:spacing w:after="0"/>
              <w:rPr>
                <w:sz w:val="2"/>
                <w:szCs w:val="2"/>
                <w:color w:val="auto"/>
              </w:rPr>
            </w:pPr>
          </w:p>
        </w:tc>
        <w:tc>
          <w:tcPr>
            <w:tcW w:w="540" w:type="dxa"/>
            <w:vAlign w:val="bottom"/>
            <w:tcBorders>
              <w:bottom w:val="single" w:sz="8" w:color="58585A"/>
            </w:tcBorders>
          </w:tcPr>
          <w:p>
            <w:pPr>
              <w:spacing w:after="0"/>
              <w:rPr>
                <w:sz w:val="2"/>
                <w:szCs w:val="2"/>
                <w:color w:val="auto"/>
              </w:rPr>
            </w:pPr>
          </w:p>
        </w:tc>
        <w:tc>
          <w:tcPr>
            <w:tcW w:w="1040" w:type="dxa"/>
            <w:vAlign w:val="bottom"/>
            <w:tcBorders>
              <w:bottom w:val="single" w:sz="8" w:color="58585A"/>
            </w:tcBorders>
          </w:tcPr>
          <w:p>
            <w:pPr>
              <w:spacing w:after="0"/>
              <w:rPr>
                <w:sz w:val="2"/>
                <w:szCs w:val="2"/>
                <w:color w:val="auto"/>
              </w:rPr>
            </w:pPr>
          </w:p>
        </w:tc>
        <w:tc>
          <w:tcPr>
            <w:tcW w:w="700" w:type="dxa"/>
            <w:vAlign w:val="bottom"/>
            <w:tcBorders>
              <w:bottom w:val="single" w:sz="8" w:color="58585A"/>
            </w:tcBorders>
          </w:tcPr>
          <w:p>
            <w:pPr>
              <w:spacing w:after="0"/>
              <w:rPr>
                <w:sz w:val="2"/>
                <w:szCs w:val="2"/>
                <w:color w:val="auto"/>
              </w:rPr>
            </w:pPr>
          </w:p>
        </w:tc>
        <w:tc>
          <w:tcPr>
            <w:tcW w:w="420" w:type="dxa"/>
            <w:vAlign w:val="bottom"/>
            <w:tcBorders>
              <w:bottom w:val="single" w:sz="8" w:color="58585A"/>
            </w:tcBorders>
          </w:tcPr>
          <w:p>
            <w:pPr>
              <w:spacing w:after="0"/>
              <w:rPr>
                <w:sz w:val="2"/>
                <w:szCs w:val="2"/>
                <w:color w:val="auto"/>
              </w:rPr>
            </w:pPr>
          </w:p>
        </w:tc>
        <w:tc>
          <w:tcPr>
            <w:tcW w:w="1300" w:type="dxa"/>
            <w:vAlign w:val="bottom"/>
            <w:tcBorders>
              <w:bottom w:val="single" w:sz="8" w:color="58585A"/>
            </w:tcBorders>
          </w:tcPr>
          <w:p>
            <w:pPr>
              <w:spacing w:after="0"/>
              <w:rPr>
                <w:sz w:val="2"/>
                <w:szCs w:val="2"/>
                <w:color w:val="auto"/>
              </w:rPr>
            </w:pPr>
          </w:p>
        </w:tc>
        <w:tc>
          <w:tcPr>
            <w:tcW w:w="1140" w:type="dxa"/>
            <w:vAlign w:val="bottom"/>
            <w:tcBorders>
              <w:bottom w:val="single" w:sz="8" w:color="58585A"/>
            </w:tcBorders>
          </w:tcPr>
          <w:p>
            <w:pPr>
              <w:spacing w:after="0"/>
              <w:rPr>
                <w:sz w:val="2"/>
                <w:szCs w:val="2"/>
                <w:color w:val="auto"/>
              </w:rPr>
            </w:pPr>
          </w:p>
        </w:tc>
        <w:tc>
          <w:tcPr>
            <w:tcW w:w="1220" w:type="dxa"/>
            <w:vAlign w:val="bottom"/>
            <w:tcBorders>
              <w:bottom w:val="single" w:sz="8" w:color="58585A"/>
            </w:tcBorders>
          </w:tcPr>
          <w:p>
            <w:pPr>
              <w:spacing w:after="0"/>
              <w:rPr>
                <w:sz w:val="2"/>
                <w:szCs w:val="2"/>
                <w:color w:val="auto"/>
              </w:rPr>
            </w:pPr>
          </w:p>
        </w:tc>
        <w:tc>
          <w:tcPr>
            <w:tcW w:w="1040" w:type="dxa"/>
            <w:vAlign w:val="bottom"/>
            <w:tcBorders>
              <w:bottom w:val="single" w:sz="8" w:color="58585A"/>
            </w:tcBorders>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780" w:type="dxa"/>
            <w:vAlign w:val="bottom"/>
            <w:vMerge w:val="continue"/>
          </w:tcPr>
          <w:p>
            <w:pPr>
              <w:spacing w:after="0"/>
              <w:rPr>
                <w:sz w:val="8"/>
                <w:szCs w:val="8"/>
                <w:color w:val="auto"/>
              </w:rPr>
            </w:pPr>
          </w:p>
        </w:tc>
        <w:tc>
          <w:tcPr>
            <w:tcW w:w="760" w:type="dxa"/>
            <w:vAlign w:val="bottom"/>
            <w:gridSpan w:val="3"/>
            <w:vMerge w:val="restart"/>
          </w:tcPr>
          <w:p>
            <w:pPr>
              <w:jc w:val="right"/>
              <w:ind w:right="177"/>
              <w:spacing w:after="0"/>
              <w:rPr>
                <w:sz w:val="20"/>
                <w:szCs w:val="20"/>
                <w:color w:val="auto"/>
              </w:rPr>
            </w:pPr>
            <w:r>
              <w:rPr>
                <w:rFonts w:ascii="Arial" w:cs="Arial" w:eastAsia="Arial" w:hAnsi="Arial"/>
                <w:sz w:val="13"/>
                <w:szCs w:val="13"/>
                <w:color w:val="auto"/>
              </w:rPr>
              <w:t>2016</w:t>
            </w:r>
          </w:p>
        </w:tc>
        <w:tc>
          <w:tcPr>
            <w:tcW w:w="1040" w:type="dxa"/>
            <w:vAlign w:val="bottom"/>
            <w:vMerge w:val="restart"/>
          </w:tcPr>
          <w:p>
            <w:pPr>
              <w:jc w:val="right"/>
              <w:ind w:right="177"/>
              <w:spacing w:after="0"/>
              <w:rPr>
                <w:sz w:val="20"/>
                <w:szCs w:val="20"/>
                <w:color w:val="auto"/>
              </w:rPr>
            </w:pPr>
            <w:r>
              <w:rPr>
                <w:rFonts w:ascii="Arial" w:cs="Arial" w:eastAsia="Arial" w:hAnsi="Arial"/>
                <w:sz w:val="13"/>
                <w:szCs w:val="13"/>
                <w:color w:val="auto"/>
              </w:rPr>
              <w:t>585,600</w:t>
            </w:r>
          </w:p>
        </w:tc>
        <w:tc>
          <w:tcPr>
            <w:tcW w:w="700" w:type="dxa"/>
            <w:vAlign w:val="bottom"/>
            <w:vMerge w:val="restart"/>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Pr>
          <w:p>
            <w:pPr>
              <w:spacing w:after="0"/>
              <w:rPr>
                <w:sz w:val="8"/>
                <w:szCs w:val="8"/>
                <w:color w:val="auto"/>
              </w:rPr>
            </w:pPr>
          </w:p>
        </w:tc>
        <w:tc>
          <w:tcPr>
            <w:tcW w:w="1300" w:type="dxa"/>
            <w:vAlign w:val="bottom"/>
            <w:vMerge w:val="restart"/>
          </w:tcPr>
          <w:p>
            <w:pPr>
              <w:jc w:val="right"/>
              <w:ind w:right="297"/>
              <w:spacing w:after="0"/>
              <w:rPr>
                <w:sz w:val="20"/>
                <w:szCs w:val="20"/>
                <w:color w:val="auto"/>
              </w:rPr>
            </w:pPr>
            <w:r>
              <w:rPr>
                <w:rFonts w:ascii="Arial" w:cs="Arial" w:eastAsia="Arial" w:hAnsi="Arial"/>
                <w:sz w:val="13"/>
                <w:szCs w:val="13"/>
                <w:color w:val="auto"/>
              </w:rPr>
              <w:t>4,121,229</w:t>
            </w:r>
          </w:p>
        </w:tc>
        <w:tc>
          <w:tcPr>
            <w:tcW w:w="1140" w:type="dxa"/>
            <w:vAlign w:val="bottom"/>
            <w:vMerge w:val="restart"/>
          </w:tcPr>
          <w:p>
            <w:pPr>
              <w:jc w:val="right"/>
              <w:ind w:right="277"/>
              <w:spacing w:after="0"/>
              <w:rPr>
                <w:sz w:val="20"/>
                <w:szCs w:val="20"/>
                <w:color w:val="auto"/>
              </w:rPr>
            </w:pPr>
            <w:r>
              <w:rPr>
                <w:rFonts w:ascii="Arial" w:cs="Arial" w:eastAsia="Arial" w:hAnsi="Arial"/>
                <w:sz w:val="13"/>
                <w:szCs w:val="13"/>
                <w:color w:val="auto"/>
              </w:rPr>
              <w:t>439,200</w:t>
            </w:r>
          </w:p>
        </w:tc>
        <w:tc>
          <w:tcPr>
            <w:tcW w:w="1220" w:type="dxa"/>
            <w:vAlign w:val="bottom"/>
            <w:vMerge w:val="restart"/>
          </w:tcPr>
          <w:p>
            <w:pPr>
              <w:jc w:val="right"/>
              <w:ind w:right="358"/>
              <w:spacing w:after="0"/>
              <w:rPr>
                <w:sz w:val="20"/>
                <w:szCs w:val="20"/>
                <w:color w:val="auto"/>
              </w:rPr>
            </w:pPr>
            <w:r>
              <w:rPr>
                <w:rFonts w:ascii="Arial" w:cs="Arial" w:eastAsia="Arial" w:hAnsi="Arial"/>
                <w:sz w:val="13"/>
                <w:szCs w:val="13"/>
                <w:color w:val="auto"/>
              </w:rPr>
              <w:t>18,700</w:t>
            </w: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5,164,729</w:t>
            </w:r>
          </w:p>
        </w:tc>
        <w:tc>
          <w:tcPr>
            <w:tcW w:w="0" w:type="dxa"/>
            <w:vAlign w:val="bottom"/>
          </w:tcPr>
          <w:p>
            <w:pPr>
              <w:spacing w:after="0"/>
              <w:rPr>
                <w:sz w:val="1"/>
                <w:szCs w:val="1"/>
                <w:color w:val="auto"/>
              </w:rPr>
            </w:pPr>
          </w:p>
        </w:tc>
      </w:tr>
      <w:tr>
        <w:trPr>
          <w:trHeight w:val="57"/>
        </w:trPr>
        <w:tc>
          <w:tcPr>
            <w:tcW w:w="2780" w:type="dxa"/>
            <w:vAlign w:val="bottom"/>
            <w:tcBorders>
              <w:bottom w:val="single" w:sz="8" w:color="58585A"/>
            </w:tcBorders>
          </w:tcPr>
          <w:p>
            <w:pPr>
              <w:spacing w:after="0"/>
              <w:rPr>
                <w:sz w:val="4"/>
                <w:szCs w:val="4"/>
                <w:color w:val="auto"/>
              </w:rPr>
            </w:pPr>
          </w:p>
        </w:tc>
        <w:tc>
          <w:tcPr>
            <w:tcW w:w="760" w:type="dxa"/>
            <w:vAlign w:val="bottom"/>
            <w:tcBorders>
              <w:bottom w:val="single" w:sz="8" w:color="58585A"/>
            </w:tcBorders>
            <w:gridSpan w:val="3"/>
            <w:vMerge w:val="continue"/>
          </w:tcPr>
          <w:p>
            <w:pPr>
              <w:spacing w:after="0"/>
              <w:rPr>
                <w:sz w:val="4"/>
                <w:szCs w:val="4"/>
                <w:color w:val="auto"/>
              </w:rPr>
            </w:pPr>
          </w:p>
        </w:tc>
        <w:tc>
          <w:tcPr>
            <w:tcW w:w="1040" w:type="dxa"/>
            <w:vAlign w:val="bottom"/>
            <w:tcBorders>
              <w:bottom w:val="single" w:sz="8" w:color="58585A"/>
            </w:tcBorders>
            <w:vMerge w:val="continue"/>
          </w:tcPr>
          <w:p>
            <w:pPr>
              <w:spacing w:after="0"/>
              <w:rPr>
                <w:sz w:val="4"/>
                <w:szCs w:val="4"/>
                <w:color w:val="auto"/>
              </w:rPr>
            </w:pPr>
          </w:p>
        </w:tc>
        <w:tc>
          <w:tcPr>
            <w:tcW w:w="700" w:type="dxa"/>
            <w:vAlign w:val="bottom"/>
            <w:tcBorders>
              <w:bottom w:val="single" w:sz="8" w:color="58585A"/>
            </w:tcBorders>
            <w:vMerge w:val="continue"/>
          </w:tcPr>
          <w:p>
            <w:pPr>
              <w:spacing w:after="0"/>
              <w:rPr>
                <w:sz w:val="4"/>
                <w:szCs w:val="4"/>
                <w:color w:val="auto"/>
              </w:rPr>
            </w:pPr>
          </w:p>
        </w:tc>
        <w:tc>
          <w:tcPr>
            <w:tcW w:w="420" w:type="dxa"/>
            <w:vAlign w:val="bottom"/>
            <w:tcBorders>
              <w:bottom w:val="single" w:sz="8" w:color="58585A"/>
            </w:tcBorders>
          </w:tcPr>
          <w:p>
            <w:pPr>
              <w:spacing w:after="0"/>
              <w:rPr>
                <w:sz w:val="4"/>
                <w:szCs w:val="4"/>
                <w:color w:val="auto"/>
              </w:rPr>
            </w:pPr>
          </w:p>
        </w:tc>
        <w:tc>
          <w:tcPr>
            <w:tcW w:w="1300" w:type="dxa"/>
            <w:vAlign w:val="bottom"/>
            <w:tcBorders>
              <w:bottom w:val="single" w:sz="8" w:color="58585A"/>
            </w:tcBorders>
            <w:vMerge w:val="continue"/>
          </w:tcPr>
          <w:p>
            <w:pPr>
              <w:spacing w:after="0"/>
              <w:rPr>
                <w:sz w:val="4"/>
                <w:szCs w:val="4"/>
                <w:color w:val="auto"/>
              </w:rPr>
            </w:pPr>
          </w:p>
        </w:tc>
        <w:tc>
          <w:tcPr>
            <w:tcW w:w="1140" w:type="dxa"/>
            <w:vAlign w:val="bottom"/>
            <w:tcBorders>
              <w:bottom w:val="single" w:sz="8" w:color="58585A"/>
            </w:tcBorders>
            <w:vMerge w:val="continue"/>
          </w:tcPr>
          <w:p>
            <w:pPr>
              <w:spacing w:after="0"/>
              <w:rPr>
                <w:sz w:val="4"/>
                <w:szCs w:val="4"/>
                <w:color w:val="auto"/>
              </w:rPr>
            </w:pPr>
          </w:p>
        </w:tc>
        <w:tc>
          <w:tcPr>
            <w:tcW w:w="1220" w:type="dxa"/>
            <w:vAlign w:val="bottom"/>
            <w:tcBorders>
              <w:bottom w:val="single" w:sz="8" w:color="58585A"/>
            </w:tcBorders>
            <w:vMerge w:val="continue"/>
          </w:tcPr>
          <w:p>
            <w:pPr>
              <w:spacing w:after="0"/>
              <w:rPr>
                <w:sz w:val="4"/>
                <w:szCs w:val="4"/>
                <w:color w:val="auto"/>
              </w:rPr>
            </w:pPr>
          </w:p>
        </w:tc>
        <w:tc>
          <w:tcPr>
            <w:tcW w:w="1040" w:type="dxa"/>
            <w:vAlign w:val="bottom"/>
            <w:tcBorders>
              <w:bottom w:val="single" w:sz="8" w:color="58585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E7E7E8"/>
          </w:tcPr>
          <w:p>
            <w:pPr>
              <w:ind w:left="40"/>
              <w:spacing w:after="0"/>
              <w:rPr>
                <w:sz w:val="20"/>
                <w:szCs w:val="20"/>
                <w:color w:val="auto"/>
              </w:rPr>
            </w:pPr>
            <w:r>
              <w:rPr>
                <w:rFonts w:ascii="Arial" w:cs="Arial" w:eastAsia="Arial" w:hAnsi="Arial"/>
                <w:sz w:val="12"/>
                <w:szCs w:val="12"/>
                <w:b w:val="1"/>
                <w:bCs w:val="1"/>
                <w:color w:val="D61C5A"/>
              </w:rPr>
              <w:t>Daniel P. Van Plew</w:t>
            </w:r>
          </w:p>
        </w:tc>
        <w:tc>
          <w:tcPr>
            <w:tcW w:w="100" w:type="dxa"/>
            <w:vAlign w:val="bottom"/>
            <w:shd w:val="clear" w:color="auto" w:fill="E7E7E8"/>
          </w:tcPr>
          <w:p>
            <w:pPr>
              <w:spacing w:after="0"/>
              <w:rPr>
                <w:sz w:val="14"/>
                <w:szCs w:val="14"/>
                <w:color w:val="auto"/>
              </w:rPr>
            </w:pPr>
          </w:p>
        </w:tc>
        <w:tc>
          <w:tcPr>
            <w:tcW w:w="660" w:type="dxa"/>
            <w:vAlign w:val="bottom"/>
            <w:gridSpan w:val="2"/>
            <w:shd w:val="clear" w:color="auto" w:fill="E7E7E8"/>
          </w:tcPr>
          <w:p>
            <w:pPr>
              <w:jc w:val="right"/>
              <w:ind w:right="177"/>
              <w:spacing w:after="0"/>
              <w:rPr>
                <w:sz w:val="20"/>
                <w:szCs w:val="20"/>
                <w:color w:val="auto"/>
              </w:rPr>
            </w:pPr>
            <w:r>
              <w:rPr>
                <w:rFonts w:ascii="Arial" w:cs="Arial" w:eastAsia="Arial" w:hAnsi="Arial"/>
                <w:sz w:val="13"/>
                <w:szCs w:val="13"/>
                <w:color w:val="auto"/>
              </w:rPr>
              <w:t>2018</w:t>
            </w:r>
          </w:p>
        </w:tc>
        <w:tc>
          <w:tcPr>
            <w:tcW w:w="1040" w:type="dxa"/>
            <w:vAlign w:val="bottom"/>
            <w:shd w:val="clear" w:color="auto" w:fill="E7E7E8"/>
          </w:tcPr>
          <w:p>
            <w:pPr>
              <w:jc w:val="right"/>
              <w:ind w:right="177"/>
              <w:spacing w:after="0"/>
              <w:rPr>
                <w:sz w:val="20"/>
                <w:szCs w:val="20"/>
                <w:color w:val="auto"/>
              </w:rPr>
            </w:pPr>
            <w:r>
              <w:rPr>
                <w:rFonts w:ascii="Arial" w:cs="Arial" w:eastAsia="Arial" w:hAnsi="Arial"/>
                <w:sz w:val="13"/>
                <w:szCs w:val="13"/>
                <w:color w:val="auto"/>
              </w:rPr>
              <w:t>660,000</w:t>
            </w:r>
          </w:p>
        </w:tc>
        <w:tc>
          <w:tcPr>
            <w:tcW w:w="700" w:type="dxa"/>
            <w:vAlign w:val="bottom"/>
            <w:shd w:val="clear" w:color="auto" w:fill="E7E7E8"/>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shd w:val="clear" w:color="auto" w:fill="E7E7E8"/>
          </w:tcPr>
          <w:p>
            <w:pPr>
              <w:spacing w:after="0"/>
              <w:rPr>
                <w:sz w:val="14"/>
                <w:szCs w:val="14"/>
                <w:color w:val="auto"/>
              </w:rPr>
            </w:pPr>
          </w:p>
        </w:tc>
        <w:tc>
          <w:tcPr>
            <w:tcW w:w="1300" w:type="dxa"/>
            <w:vAlign w:val="bottom"/>
            <w:shd w:val="clear" w:color="auto" w:fill="E7E7E8"/>
          </w:tcPr>
          <w:p>
            <w:pPr>
              <w:jc w:val="right"/>
              <w:ind w:right="297"/>
              <w:spacing w:after="0"/>
              <w:rPr>
                <w:sz w:val="20"/>
                <w:szCs w:val="20"/>
                <w:color w:val="auto"/>
              </w:rPr>
            </w:pPr>
            <w:r>
              <w:rPr>
                <w:rFonts w:ascii="Arial" w:cs="Arial" w:eastAsia="Arial" w:hAnsi="Arial"/>
                <w:sz w:val="13"/>
                <w:szCs w:val="13"/>
                <w:color w:val="auto"/>
              </w:rPr>
              <w:t>7,650,147</w:t>
            </w:r>
          </w:p>
        </w:tc>
        <w:tc>
          <w:tcPr>
            <w:tcW w:w="1140" w:type="dxa"/>
            <w:vAlign w:val="bottom"/>
            <w:shd w:val="clear" w:color="auto" w:fill="E7E7E8"/>
          </w:tcPr>
          <w:p>
            <w:pPr>
              <w:jc w:val="right"/>
              <w:ind w:right="277"/>
              <w:spacing w:after="0"/>
              <w:rPr>
                <w:sz w:val="20"/>
                <w:szCs w:val="20"/>
                <w:color w:val="auto"/>
              </w:rPr>
            </w:pPr>
            <w:r>
              <w:rPr>
                <w:rFonts w:ascii="Arial" w:cs="Arial" w:eastAsia="Arial" w:hAnsi="Arial"/>
                <w:sz w:val="13"/>
                <w:szCs w:val="13"/>
                <w:color w:val="auto"/>
              </w:rPr>
              <w:t>677,160</w:t>
            </w:r>
          </w:p>
        </w:tc>
        <w:tc>
          <w:tcPr>
            <w:tcW w:w="1220" w:type="dxa"/>
            <w:vAlign w:val="bottom"/>
            <w:shd w:val="clear" w:color="auto" w:fill="E7E7E8"/>
          </w:tcPr>
          <w:p>
            <w:pPr>
              <w:jc w:val="right"/>
              <w:ind w:right="298"/>
              <w:spacing w:after="0" w:line="163" w:lineRule="exact"/>
              <w:rPr>
                <w:sz w:val="20"/>
                <w:szCs w:val="20"/>
                <w:color w:val="auto"/>
              </w:rPr>
            </w:pPr>
            <w:r>
              <w:rPr>
                <w:rFonts w:ascii="Arial" w:cs="Arial" w:eastAsia="Arial" w:hAnsi="Arial"/>
                <w:sz w:val="11"/>
                <w:szCs w:val="11"/>
                <w:color w:val="auto"/>
              </w:rPr>
              <w:t>19,915</w:t>
            </w:r>
            <w:r>
              <w:rPr>
                <w:rFonts w:ascii="Arial" w:cs="Arial" w:eastAsia="Arial" w:hAnsi="Arial"/>
                <w:sz w:val="18"/>
                <w:szCs w:val="18"/>
                <w:color w:val="auto"/>
                <w:vertAlign w:val="superscript"/>
              </w:rPr>
              <w:t>8</w:t>
            </w:r>
          </w:p>
        </w:tc>
        <w:tc>
          <w:tcPr>
            <w:tcW w:w="104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9,007,222</w:t>
            </w:r>
          </w:p>
        </w:tc>
        <w:tc>
          <w:tcPr>
            <w:tcW w:w="0" w:type="dxa"/>
            <w:vAlign w:val="bottom"/>
          </w:tcPr>
          <w:p>
            <w:pPr>
              <w:spacing w:after="0"/>
              <w:rPr>
                <w:sz w:val="1"/>
                <w:szCs w:val="1"/>
                <w:color w:val="auto"/>
              </w:rPr>
            </w:pPr>
          </w:p>
        </w:tc>
      </w:tr>
      <w:tr>
        <w:trPr>
          <w:trHeight w:val="78"/>
        </w:trPr>
        <w:tc>
          <w:tcPr>
            <w:tcW w:w="2780" w:type="dxa"/>
            <w:vAlign w:val="bottom"/>
            <w:tcBorders>
              <w:bottom w:val="single" w:sz="8" w:color="E7E7E8"/>
            </w:tcBorders>
            <w:shd w:val="clear" w:color="auto" w:fill="E7E7E8"/>
          </w:tcPr>
          <w:p>
            <w:pPr>
              <w:ind w:left="40"/>
              <w:spacing w:after="0" w:line="71" w:lineRule="exact"/>
              <w:rPr>
                <w:sz w:val="20"/>
                <w:szCs w:val="20"/>
                <w:color w:val="auto"/>
              </w:rPr>
            </w:pPr>
            <w:r>
              <w:rPr>
                <w:rFonts w:ascii="Arial" w:cs="Arial" w:eastAsia="Arial" w:hAnsi="Arial"/>
                <w:sz w:val="8"/>
                <w:szCs w:val="8"/>
                <w:b w:val="1"/>
                <w:bCs w:val="1"/>
                <w:color w:val="auto"/>
              </w:rPr>
              <w:t>Executive Vice President and General Manager,</w:t>
            </w:r>
          </w:p>
        </w:tc>
        <w:tc>
          <w:tcPr>
            <w:tcW w:w="100" w:type="dxa"/>
            <w:vAlign w:val="bottom"/>
            <w:tcBorders>
              <w:bottom w:val="single" w:sz="8" w:color="E7E7E8"/>
            </w:tcBorders>
            <w:shd w:val="clear" w:color="auto" w:fill="E7E7E8"/>
          </w:tcPr>
          <w:p>
            <w:pPr>
              <w:spacing w:after="0"/>
              <w:rPr>
                <w:sz w:val="6"/>
                <w:szCs w:val="6"/>
                <w:color w:val="auto"/>
              </w:rPr>
            </w:pPr>
          </w:p>
        </w:tc>
        <w:tc>
          <w:tcPr>
            <w:tcW w:w="120" w:type="dxa"/>
            <w:vAlign w:val="bottom"/>
            <w:tcBorders>
              <w:bottom w:val="single" w:sz="8" w:color="58585A"/>
            </w:tcBorders>
            <w:shd w:val="clear" w:color="auto" w:fill="E7E7E8"/>
          </w:tcPr>
          <w:p>
            <w:pPr>
              <w:spacing w:after="0"/>
              <w:rPr>
                <w:sz w:val="6"/>
                <w:szCs w:val="6"/>
                <w:color w:val="auto"/>
              </w:rPr>
            </w:pPr>
          </w:p>
        </w:tc>
        <w:tc>
          <w:tcPr>
            <w:tcW w:w="540" w:type="dxa"/>
            <w:vAlign w:val="bottom"/>
            <w:tcBorders>
              <w:bottom w:val="single" w:sz="8" w:color="58585A"/>
            </w:tcBorders>
            <w:shd w:val="clear" w:color="auto" w:fill="E7E7E8"/>
          </w:tcPr>
          <w:p>
            <w:pPr>
              <w:spacing w:after="0"/>
              <w:rPr>
                <w:sz w:val="6"/>
                <w:szCs w:val="6"/>
                <w:color w:val="auto"/>
              </w:rPr>
            </w:pPr>
          </w:p>
        </w:tc>
        <w:tc>
          <w:tcPr>
            <w:tcW w:w="1040" w:type="dxa"/>
            <w:vAlign w:val="bottom"/>
            <w:tcBorders>
              <w:bottom w:val="single" w:sz="8" w:color="58585A"/>
            </w:tcBorders>
            <w:shd w:val="clear" w:color="auto" w:fill="E7E7E8"/>
          </w:tcPr>
          <w:p>
            <w:pPr>
              <w:spacing w:after="0"/>
              <w:rPr>
                <w:sz w:val="6"/>
                <w:szCs w:val="6"/>
                <w:color w:val="auto"/>
              </w:rPr>
            </w:pPr>
          </w:p>
        </w:tc>
        <w:tc>
          <w:tcPr>
            <w:tcW w:w="700" w:type="dxa"/>
            <w:vAlign w:val="bottom"/>
            <w:tcBorders>
              <w:bottom w:val="single" w:sz="8" w:color="58585A"/>
            </w:tcBorders>
            <w:shd w:val="clear" w:color="auto" w:fill="E7E7E8"/>
          </w:tcPr>
          <w:p>
            <w:pPr>
              <w:spacing w:after="0"/>
              <w:rPr>
                <w:sz w:val="6"/>
                <w:szCs w:val="6"/>
                <w:color w:val="auto"/>
              </w:rPr>
            </w:pPr>
          </w:p>
        </w:tc>
        <w:tc>
          <w:tcPr>
            <w:tcW w:w="420" w:type="dxa"/>
            <w:vAlign w:val="bottom"/>
            <w:tcBorders>
              <w:bottom w:val="single" w:sz="8" w:color="58585A"/>
            </w:tcBorders>
            <w:shd w:val="clear" w:color="auto" w:fill="E7E7E8"/>
          </w:tcPr>
          <w:p>
            <w:pPr>
              <w:spacing w:after="0"/>
              <w:rPr>
                <w:sz w:val="6"/>
                <w:szCs w:val="6"/>
                <w:color w:val="auto"/>
              </w:rPr>
            </w:pPr>
          </w:p>
        </w:tc>
        <w:tc>
          <w:tcPr>
            <w:tcW w:w="1300" w:type="dxa"/>
            <w:vAlign w:val="bottom"/>
            <w:tcBorders>
              <w:bottom w:val="single" w:sz="8" w:color="58585A"/>
            </w:tcBorders>
            <w:shd w:val="clear" w:color="auto" w:fill="E7E7E8"/>
          </w:tcPr>
          <w:p>
            <w:pPr>
              <w:spacing w:after="0"/>
              <w:rPr>
                <w:sz w:val="6"/>
                <w:szCs w:val="6"/>
                <w:color w:val="auto"/>
              </w:rPr>
            </w:pPr>
          </w:p>
        </w:tc>
        <w:tc>
          <w:tcPr>
            <w:tcW w:w="1140" w:type="dxa"/>
            <w:vAlign w:val="bottom"/>
            <w:tcBorders>
              <w:bottom w:val="single" w:sz="8" w:color="58585A"/>
            </w:tcBorders>
            <w:shd w:val="clear" w:color="auto" w:fill="E7E7E8"/>
          </w:tcPr>
          <w:p>
            <w:pPr>
              <w:spacing w:after="0"/>
              <w:rPr>
                <w:sz w:val="6"/>
                <w:szCs w:val="6"/>
                <w:color w:val="auto"/>
              </w:rPr>
            </w:pPr>
          </w:p>
        </w:tc>
        <w:tc>
          <w:tcPr>
            <w:tcW w:w="1220" w:type="dxa"/>
            <w:vAlign w:val="bottom"/>
            <w:tcBorders>
              <w:bottom w:val="single" w:sz="8" w:color="58585A"/>
            </w:tcBorders>
            <w:shd w:val="clear" w:color="auto" w:fill="E7E7E8"/>
          </w:tcPr>
          <w:p>
            <w:pPr>
              <w:spacing w:after="0"/>
              <w:rPr>
                <w:sz w:val="6"/>
                <w:szCs w:val="6"/>
                <w:color w:val="auto"/>
              </w:rPr>
            </w:pPr>
          </w:p>
        </w:tc>
        <w:tc>
          <w:tcPr>
            <w:tcW w:w="1040" w:type="dxa"/>
            <w:vAlign w:val="bottom"/>
            <w:tcBorders>
              <w:bottom w:val="single" w:sz="8" w:color="58585A"/>
            </w:tcBorders>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780" w:type="dxa"/>
            <w:vAlign w:val="bottom"/>
            <w:tcBorders>
              <w:bottom w:val="single" w:sz="8" w:color="58585A"/>
            </w:tcBorders>
            <w:shd w:val="clear" w:color="auto" w:fill="E7E7E8"/>
          </w:tcPr>
          <w:p>
            <w:pPr>
              <w:ind w:left="40"/>
              <w:spacing w:after="0"/>
              <w:rPr>
                <w:sz w:val="20"/>
                <w:szCs w:val="20"/>
                <w:color w:val="auto"/>
              </w:rPr>
            </w:pPr>
            <w:r>
              <w:rPr>
                <w:rFonts w:ascii="Arial" w:cs="Arial" w:eastAsia="Arial" w:hAnsi="Arial"/>
                <w:sz w:val="11"/>
                <w:szCs w:val="11"/>
                <w:b w:val="1"/>
                <w:bCs w:val="1"/>
                <w:color w:val="auto"/>
              </w:rPr>
              <w:t>Industrial Operations and Product Supply</w:t>
            </w:r>
            <w:r>
              <w:rPr>
                <w:rFonts w:ascii="Arial" w:cs="Arial" w:eastAsia="Arial" w:hAnsi="Arial"/>
                <w:sz w:val="18"/>
                <w:szCs w:val="18"/>
                <w:b w:val="1"/>
                <w:bCs w:val="1"/>
                <w:color w:val="auto"/>
                <w:vertAlign w:val="superscript"/>
              </w:rPr>
              <w:t>7</w:t>
            </w:r>
          </w:p>
        </w:tc>
        <w:tc>
          <w:tcPr>
            <w:tcW w:w="100" w:type="dxa"/>
            <w:vAlign w:val="bottom"/>
            <w:tcBorders>
              <w:bottom w:val="single" w:sz="8" w:color="58585A"/>
            </w:tcBorders>
            <w:shd w:val="clear" w:color="auto" w:fill="E7E7E8"/>
          </w:tcPr>
          <w:p>
            <w:pPr>
              <w:spacing w:after="0"/>
              <w:rPr>
                <w:sz w:val="20"/>
                <w:szCs w:val="20"/>
                <w:color w:val="auto"/>
              </w:rPr>
            </w:pPr>
          </w:p>
        </w:tc>
        <w:tc>
          <w:tcPr>
            <w:tcW w:w="660" w:type="dxa"/>
            <w:vAlign w:val="bottom"/>
            <w:tcBorders>
              <w:bottom w:val="single" w:sz="8" w:color="58585A"/>
            </w:tcBorders>
            <w:gridSpan w:val="2"/>
            <w:shd w:val="clear" w:color="auto" w:fill="E7E7E8"/>
          </w:tcPr>
          <w:p>
            <w:pPr>
              <w:jc w:val="right"/>
              <w:ind w:right="177"/>
              <w:spacing w:after="0"/>
              <w:rPr>
                <w:sz w:val="20"/>
                <w:szCs w:val="20"/>
                <w:color w:val="auto"/>
              </w:rPr>
            </w:pPr>
            <w:r>
              <w:rPr>
                <w:rFonts w:ascii="Arial" w:cs="Arial" w:eastAsia="Arial" w:hAnsi="Arial"/>
                <w:sz w:val="13"/>
                <w:szCs w:val="13"/>
                <w:color w:val="auto"/>
              </w:rPr>
              <w:t>2017</w:t>
            </w:r>
          </w:p>
        </w:tc>
        <w:tc>
          <w:tcPr>
            <w:tcW w:w="1040" w:type="dxa"/>
            <w:vAlign w:val="bottom"/>
            <w:tcBorders>
              <w:bottom w:val="single" w:sz="8" w:color="58585A"/>
            </w:tcBorders>
            <w:shd w:val="clear" w:color="auto" w:fill="E7E7E8"/>
          </w:tcPr>
          <w:p>
            <w:pPr>
              <w:jc w:val="right"/>
              <w:ind w:right="177"/>
              <w:spacing w:after="0"/>
              <w:rPr>
                <w:sz w:val="20"/>
                <w:szCs w:val="20"/>
                <w:color w:val="auto"/>
              </w:rPr>
            </w:pPr>
            <w:r>
              <w:rPr>
                <w:rFonts w:ascii="Arial" w:cs="Arial" w:eastAsia="Arial" w:hAnsi="Arial"/>
                <w:sz w:val="13"/>
                <w:szCs w:val="13"/>
                <w:color w:val="auto"/>
              </w:rPr>
              <w:t>560,000</w:t>
            </w:r>
          </w:p>
        </w:tc>
        <w:tc>
          <w:tcPr>
            <w:tcW w:w="700" w:type="dxa"/>
            <w:vAlign w:val="bottom"/>
            <w:tcBorders>
              <w:bottom w:val="single" w:sz="8" w:color="58585A"/>
            </w:tcBorders>
            <w:shd w:val="clear" w:color="auto" w:fill="E7E7E8"/>
          </w:tcPr>
          <w:p>
            <w:pPr>
              <w:jc w:val="center"/>
              <w:ind w:left="37"/>
              <w:spacing w:after="0"/>
              <w:rPr>
                <w:sz w:val="20"/>
                <w:szCs w:val="20"/>
                <w:color w:val="auto"/>
              </w:rPr>
            </w:pPr>
            <w:r>
              <w:rPr>
                <w:rFonts w:ascii="Arial" w:cs="Arial" w:eastAsia="Arial" w:hAnsi="Arial"/>
                <w:sz w:val="13"/>
                <w:szCs w:val="13"/>
                <w:color w:val="auto"/>
                <w:w w:val="91"/>
              </w:rPr>
              <w:t>—</w:t>
            </w:r>
          </w:p>
        </w:tc>
        <w:tc>
          <w:tcPr>
            <w:tcW w:w="420" w:type="dxa"/>
            <w:vAlign w:val="bottom"/>
            <w:tcBorders>
              <w:bottom w:val="single" w:sz="8" w:color="58585A"/>
            </w:tcBorders>
            <w:shd w:val="clear" w:color="auto" w:fill="E7E7E8"/>
          </w:tcPr>
          <w:p>
            <w:pPr>
              <w:spacing w:after="0"/>
              <w:rPr>
                <w:sz w:val="20"/>
                <w:szCs w:val="20"/>
                <w:color w:val="auto"/>
              </w:rPr>
            </w:pPr>
          </w:p>
        </w:tc>
        <w:tc>
          <w:tcPr>
            <w:tcW w:w="1300" w:type="dxa"/>
            <w:vAlign w:val="bottom"/>
            <w:tcBorders>
              <w:bottom w:val="single" w:sz="8" w:color="58585A"/>
            </w:tcBorders>
            <w:shd w:val="clear" w:color="auto" w:fill="E7E7E8"/>
          </w:tcPr>
          <w:p>
            <w:pPr>
              <w:jc w:val="right"/>
              <w:ind w:right="297"/>
              <w:spacing w:after="0"/>
              <w:rPr>
                <w:sz w:val="20"/>
                <w:szCs w:val="20"/>
                <w:color w:val="auto"/>
              </w:rPr>
            </w:pPr>
            <w:r>
              <w:rPr>
                <w:rFonts w:ascii="Arial" w:cs="Arial" w:eastAsia="Arial" w:hAnsi="Arial"/>
                <w:sz w:val="13"/>
                <w:szCs w:val="13"/>
                <w:color w:val="auto"/>
              </w:rPr>
              <w:t>7,875,030</w:t>
            </w:r>
          </w:p>
        </w:tc>
        <w:tc>
          <w:tcPr>
            <w:tcW w:w="1140" w:type="dxa"/>
            <w:vAlign w:val="bottom"/>
            <w:tcBorders>
              <w:bottom w:val="single" w:sz="8" w:color="58585A"/>
            </w:tcBorders>
            <w:shd w:val="clear" w:color="auto" w:fill="E7E7E8"/>
          </w:tcPr>
          <w:p>
            <w:pPr>
              <w:jc w:val="right"/>
              <w:ind w:right="277"/>
              <w:spacing w:after="0"/>
              <w:rPr>
                <w:sz w:val="20"/>
                <w:szCs w:val="20"/>
                <w:color w:val="auto"/>
              </w:rPr>
            </w:pPr>
            <w:r>
              <w:rPr>
                <w:rFonts w:ascii="Arial" w:cs="Arial" w:eastAsia="Arial" w:hAnsi="Arial"/>
                <w:sz w:val="13"/>
                <w:szCs w:val="13"/>
                <w:color w:val="auto"/>
              </w:rPr>
              <w:t>524,160</w:t>
            </w:r>
          </w:p>
        </w:tc>
        <w:tc>
          <w:tcPr>
            <w:tcW w:w="1220" w:type="dxa"/>
            <w:vAlign w:val="bottom"/>
            <w:tcBorders>
              <w:bottom w:val="single" w:sz="8" w:color="58585A"/>
            </w:tcBorders>
            <w:shd w:val="clear" w:color="auto" w:fill="E7E7E8"/>
          </w:tcPr>
          <w:p>
            <w:pPr>
              <w:jc w:val="right"/>
              <w:ind w:right="358"/>
              <w:spacing w:after="0"/>
              <w:rPr>
                <w:sz w:val="20"/>
                <w:szCs w:val="20"/>
                <w:color w:val="auto"/>
              </w:rPr>
            </w:pPr>
            <w:r>
              <w:rPr>
                <w:rFonts w:ascii="Arial" w:cs="Arial" w:eastAsia="Arial" w:hAnsi="Arial"/>
                <w:sz w:val="13"/>
                <w:szCs w:val="13"/>
                <w:color w:val="auto"/>
              </w:rPr>
              <w:t>19,410</w:t>
            </w:r>
          </w:p>
        </w:tc>
        <w:tc>
          <w:tcPr>
            <w:tcW w:w="1040" w:type="dxa"/>
            <w:vAlign w:val="bottom"/>
            <w:tcBorders>
              <w:bottom w:val="single" w:sz="8" w:color="58585A"/>
            </w:tcBorders>
            <w:shd w:val="clear" w:color="auto" w:fill="E7E7E8"/>
          </w:tcPr>
          <w:p>
            <w:pPr>
              <w:jc w:val="right"/>
              <w:ind w:right="57"/>
              <w:spacing w:after="0"/>
              <w:rPr>
                <w:sz w:val="20"/>
                <w:szCs w:val="20"/>
                <w:color w:val="auto"/>
              </w:rPr>
            </w:pPr>
            <w:r>
              <w:rPr>
                <w:rFonts w:ascii="Arial" w:cs="Arial" w:eastAsia="Arial" w:hAnsi="Arial"/>
                <w:sz w:val="13"/>
                <w:szCs w:val="13"/>
                <w:color w:val="auto"/>
              </w:rPr>
              <w:t>8,978,600</w:t>
            </w:r>
          </w:p>
        </w:tc>
        <w:tc>
          <w:tcPr>
            <w:tcW w:w="0" w:type="dxa"/>
            <w:vAlign w:val="bottom"/>
          </w:tcPr>
          <w:p>
            <w:pPr>
              <w:spacing w:after="0"/>
              <w:rPr>
                <w:sz w:val="1"/>
                <w:szCs w:val="1"/>
                <w:color w:val="auto"/>
              </w:rPr>
            </w:pPr>
          </w:p>
        </w:tc>
      </w:tr>
      <w:tr>
        <w:trPr>
          <w:trHeight w:val="153"/>
        </w:trPr>
        <w:tc>
          <w:tcPr>
            <w:tcW w:w="2780" w:type="dxa"/>
            <w:vAlign w:val="bottom"/>
          </w:tcPr>
          <w:p>
            <w:pPr>
              <w:ind w:left="40"/>
              <w:spacing w:after="0"/>
              <w:rPr>
                <w:sz w:val="20"/>
                <w:szCs w:val="20"/>
                <w:color w:val="auto"/>
              </w:rPr>
            </w:pPr>
            <w:r>
              <w:rPr>
                <w:rFonts w:ascii="Arial" w:cs="Arial" w:eastAsia="Arial" w:hAnsi="Arial"/>
                <w:sz w:val="12"/>
                <w:szCs w:val="12"/>
                <w:b w:val="1"/>
                <w:bCs w:val="1"/>
                <w:color w:val="D61C5A"/>
              </w:rPr>
              <w:t>Marion McCourt</w:t>
            </w:r>
          </w:p>
        </w:tc>
        <w:tc>
          <w:tcPr>
            <w:tcW w:w="760" w:type="dxa"/>
            <w:vAlign w:val="bottom"/>
            <w:gridSpan w:val="3"/>
            <w:vMerge w:val="restart"/>
          </w:tcPr>
          <w:p>
            <w:pPr>
              <w:jc w:val="right"/>
              <w:ind w:right="177"/>
              <w:spacing w:after="0"/>
              <w:rPr>
                <w:sz w:val="20"/>
                <w:szCs w:val="20"/>
                <w:color w:val="auto"/>
              </w:rPr>
            </w:pPr>
            <w:r>
              <w:rPr>
                <w:rFonts w:ascii="Arial" w:cs="Arial" w:eastAsia="Arial" w:hAnsi="Arial"/>
                <w:sz w:val="13"/>
                <w:szCs w:val="13"/>
                <w:color w:val="auto"/>
              </w:rPr>
              <w:t>2018</w:t>
            </w: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401,923</w:t>
            </w:r>
            <w:r>
              <w:rPr>
                <w:rFonts w:ascii="Arial" w:cs="Arial" w:eastAsia="Arial" w:hAnsi="Arial"/>
                <w:sz w:val="20"/>
                <w:szCs w:val="20"/>
                <w:color w:val="auto"/>
                <w:vertAlign w:val="superscript"/>
              </w:rPr>
              <w:t>10</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4,671,325</w:t>
            </w:r>
          </w:p>
        </w:tc>
        <w:tc>
          <w:tcPr>
            <w:tcW w:w="420" w:type="dxa"/>
            <w:vAlign w:val="bottom"/>
            <w:vMerge w:val="restart"/>
          </w:tcPr>
          <w:p>
            <w:pPr>
              <w:jc w:val="right"/>
              <w:ind w:right="268"/>
              <w:spacing w:after="0"/>
              <w:rPr>
                <w:sz w:val="20"/>
                <w:szCs w:val="20"/>
                <w:color w:val="auto"/>
              </w:rPr>
            </w:pPr>
            <w:r>
              <w:rPr>
                <w:rFonts w:ascii="Arial" w:cs="Arial" w:eastAsia="Arial" w:hAnsi="Arial"/>
                <w:sz w:val="10"/>
                <w:szCs w:val="10"/>
                <w:color w:val="auto"/>
                <w:w w:val="71"/>
              </w:rPr>
              <w:t>11</w:t>
            </w:r>
          </w:p>
        </w:tc>
        <w:tc>
          <w:tcPr>
            <w:tcW w:w="1300" w:type="dxa"/>
            <w:vAlign w:val="bottom"/>
            <w:vMerge w:val="restart"/>
          </w:tcPr>
          <w:p>
            <w:pPr>
              <w:jc w:val="right"/>
              <w:ind w:right="177"/>
              <w:spacing w:after="0"/>
              <w:rPr>
                <w:sz w:val="20"/>
                <w:szCs w:val="20"/>
                <w:color w:val="auto"/>
              </w:rPr>
            </w:pPr>
            <w:r>
              <w:rPr>
                <w:rFonts w:ascii="Arial" w:cs="Arial" w:eastAsia="Arial" w:hAnsi="Arial"/>
                <w:sz w:val="13"/>
                <w:szCs w:val="13"/>
                <w:color w:val="auto"/>
              </w:rPr>
              <w:t>4,769,876</w:t>
            </w:r>
            <w:r>
              <w:rPr>
                <w:rFonts w:ascii="Arial" w:cs="Arial" w:eastAsia="Arial" w:hAnsi="Arial"/>
                <w:sz w:val="20"/>
                <w:szCs w:val="20"/>
                <w:color w:val="auto"/>
                <w:vertAlign w:val="superscript"/>
              </w:rPr>
              <w:t>12</w:t>
            </w:r>
          </w:p>
        </w:tc>
        <w:tc>
          <w:tcPr>
            <w:tcW w:w="1140" w:type="dxa"/>
            <w:vAlign w:val="bottom"/>
            <w:vMerge w:val="restart"/>
          </w:tcPr>
          <w:p>
            <w:pPr>
              <w:jc w:val="right"/>
              <w:ind w:right="277"/>
              <w:spacing w:after="0"/>
              <w:rPr>
                <w:sz w:val="20"/>
                <w:szCs w:val="20"/>
                <w:color w:val="auto"/>
              </w:rPr>
            </w:pPr>
            <w:r>
              <w:rPr>
                <w:rFonts w:ascii="Arial" w:cs="Arial" w:eastAsia="Arial" w:hAnsi="Arial"/>
                <w:sz w:val="13"/>
                <w:szCs w:val="13"/>
                <w:color w:val="auto"/>
              </w:rPr>
              <w:t>372,281</w:t>
            </w:r>
          </w:p>
        </w:tc>
        <w:tc>
          <w:tcPr>
            <w:tcW w:w="1220" w:type="dxa"/>
            <w:vAlign w:val="bottom"/>
            <w:vMerge w:val="restart"/>
          </w:tcPr>
          <w:p>
            <w:pPr>
              <w:jc w:val="right"/>
              <w:ind w:right="238"/>
              <w:spacing w:after="0"/>
              <w:rPr>
                <w:sz w:val="20"/>
                <w:szCs w:val="20"/>
                <w:color w:val="auto"/>
              </w:rPr>
            </w:pPr>
            <w:r>
              <w:rPr>
                <w:rFonts w:ascii="Arial" w:cs="Arial" w:eastAsia="Arial" w:hAnsi="Arial"/>
                <w:sz w:val="13"/>
                <w:szCs w:val="13"/>
                <w:color w:val="auto"/>
              </w:rPr>
              <w:t>9,250</w:t>
            </w:r>
            <w:r>
              <w:rPr>
                <w:rFonts w:ascii="Arial" w:cs="Arial" w:eastAsia="Arial" w:hAnsi="Arial"/>
                <w:sz w:val="20"/>
                <w:szCs w:val="20"/>
                <w:color w:val="auto"/>
                <w:vertAlign w:val="superscript"/>
              </w:rPr>
              <w:t>13</w:t>
            </w: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10,224,655</w:t>
            </w:r>
          </w:p>
        </w:tc>
        <w:tc>
          <w:tcPr>
            <w:tcW w:w="0" w:type="dxa"/>
            <w:vAlign w:val="bottom"/>
          </w:tcPr>
          <w:p>
            <w:pPr>
              <w:spacing w:after="0"/>
              <w:rPr>
                <w:sz w:val="1"/>
                <w:szCs w:val="1"/>
                <w:color w:val="auto"/>
              </w:rPr>
            </w:pPr>
          </w:p>
        </w:tc>
      </w:tr>
      <w:tr>
        <w:trPr>
          <w:trHeight w:val="152"/>
        </w:trPr>
        <w:tc>
          <w:tcPr>
            <w:tcW w:w="2780" w:type="dxa"/>
            <w:vAlign w:val="bottom"/>
            <w:vMerge w:val="restart"/>
          </w:tcPr>
          <w:p>
            <w:pPr>
              <w:ind w:left="40"/>
              <w:spacing w:after="0" w:line="204" w:lineRule="exact"/>
              <w:rPr>
                <w:sz w:val="20"/>
                <w:szCs w:val="20"/>
                <w:color w:val="auto"/>
              </w:rPr>
            </w:pPr>
            <w:r>
              <w:rPr>
                <w:rFonts w:ascii="Arial" w:cs="Arial" w:eastAsia="Arial" w:hAnsi="Arial"/>
                <w:sz w:val="11"/>
                <w:szCs w:val="11"/>
                <w:b w:val="1"/>
                <w:bCs w:val="1"/>
                <w:color w:val="auto"/>
              </w:rPr>
              <w:t>Senior Vice President, Commercial</w:t>
            </w:r>
            <w:r>
              <w:rPr>
                <w:rFonts w:ascii="Arial" w:cs="Arial" w:eastAsia="Arial" w:hAnsi="Arial"/>
                <w:sz w:val="18"/>
                <w:szCs w:val="18"/>
                <w:b w:val="1"/>
                <w:bCs w:val="1"/>
                <w:color w:val="auto"/>
                <w:vertAlign w:val="superscript"/>
              </w:rPr>
              <w:t>9</w:t>
            </w:r>
          </w:p>
        </w:tc>
        <w:tc>
          <w:tcPr>
            <w:tcW w:w="760" w:type="dxa"/>
            <w:vAlign w:val="bottom"/>
            <w:gridSpan w:val="3"/>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05BA8"/>
            </w:tcBorders>
            <w:vMerge w:val="continue"/>
          </w:tcPr>
          <w:p>
            <w:pPr>
              <w:spacing w:after="0"/>
              <w:rPr>
                <w:sz w:val="4"/>
                <w:szCs w:val="4"/>
                <w:color w:val="auto"/>
              </w:rPr>
            </w:pPr>
          </w:p>
        </w:tc>
        <w:tc>
          <w:tcPr>
            <w:tcW w:w="100" w:type="dxa"/>
            <w:vAlign w:val="bottom"/>
            <w:tcBorders>
              <w:bottom w:val="single" w:sz="8" w:color="205BA8"/>
            </w:tcBorders>
          </w:tcPr>
          <w:p>
            <w:pPr>
              <w:spacing w:after="0"/>
              <w:rPr>
                <w:sz w:val="4"/>
                <w:szCs w:val="4"/>
                <w:color w:val="auto"/>
              </w:rPr>
            </w:pPr>
          </w:p>
        </w:tc>
        <w:tc>
          <w:tcPr>
            <w:tcW w:w="120" w:type="dxa"/>
            <w:vAlign w:val="bottom"/>
            <w:tcBorders>
              <w:bottom w:val="single" w:sz="8" w:color="205BA8"/>
            </w:tcBorders>
          </w:tcPr>
          <w:p>
            <w:pPr>
              <w:spacing w:after="0"/>
              <w:rPr>
                <w:sz w:val="4"/>
                <w:szCs w:val="4"/>
                <w:color w:val="auto"/>
              </w:rPr>
            </w:pPr>
          </w:p>
        </w:tc>
        <w:tc>
          <w:tcPr>
            <w:tcW w:w="540" w:type="dxa"/>
            <w:vAlign w:val="bottom"/>
            <w:tcBorders>
              <w:bottom w:val="single" w:sz="8" w:color="205BA8"/>
            </w:tcBorders>
          </w:tcPr>
          <w:p>
            <w:pPr>
              <w:spacing w:after="0"/>
              <w:rPr>
                <w:sz w:val="4"/>
                <w:szCs w:val="4"/>
                <w:color w:val="auto"/>
              </w:rPr>
            </w:pPr>
          </w:p>
        </w:tc>
        <w:tc>
          <w:tcPr>
            <w:tcW w:w="1040" w:type="dxa"/>
            <w:vAlign w:val="bottom"/>
            <w:tcBorders>
              <w:bottom w:val="single" w:sz="8" w:color="205BA8"/>
            </w:tcBorders>
          </w:tcPr>
          <w:p>
            <w:pPr>
              <w:spacing w:after="0"/>
              <w:rPr>
                <w:sz w:val="4"/>
                <w:szCs w:val="4"/>
                <w:color w:val="auto"/>
              </w:rPr>
            </w:pPr>
          </w:p>
        </w:tc>
        <w:tc>
          <w:tcPr>
            <w:tcW w:w="700" w:type="dxa"/>
            <w:vAlign w:val="bottom"/>
            <w:tcBorders>
              <w:bottom w:val="single" w:sz="8" w:color="205BA8"/>
            </w:tcBorders>
            <w:vMerge w:val="continue"/>
          </w:tcPr>
          <w:p>
            <w:pPr>
              <w:spacing w:after="0"/>
              <w:rPr>
                <w:sz w:val="4"/>
                <w:szCs w:val="4"/>
                <w:color w:val="auto"/>
              </w:rPr>
            </w:pPr>
          </w:p>
        </w:tc>
        <w:tc>
          <w:tcPr>
            <w:tcW w:w="420" w:type="dxa"/>
            <w:vAlign w:val="bottom"/>
            <w:tcBorders>
              <w:bottom w:val="single" w:sz="8" w:color="205BA8"/>
            </w:tcBorders>
          </w:tcPr>
          <w:p>
            <w:pPr>
              <w:spacing w:after="0"/>
              <w:rPr>
                <w:sz w:val="4"/>
                <w:szCs w:val="4"/>
                <w:color w:val="auto"/>
              </w:rPr>
            </w:pPr>
          </w:p>
        </w:tc>
        <w:tc>
          <w:tcPr>
            <w:tcW w:w="1300" w:type="dxa"/>
            <w:vAlign w:val="bottom"/>
            <w:tcBorders>
              <w:bottom w:val="single" w:sz="8" w:color="205BA8"/>
            </w:tcBorders>
          </w:tcPr>
          <w:p>
            <w:pPr>
              <w:spacing w:after="0"/>
              <w:rPr>
                <w:sz w:val="4"/>
                <w:szCs w:val="4"/>
                <w:color w:val="auto"/>
              </w:rPr>
            </w:pPr>
          </w:p>
        </w:tc>
        <w:tc>
          <w:tcPr>
            <w:tcW w:w="1140" w:type="dxa"/>
            <w:vAlign w:val="bottom"/>
            <w:tcBorders>
              <w:bottom w:val="single" w:sz="8" w:color="205BA8"/>
            </w:tcBorders>
          </w:tcPr>
          <w:p>
            <w:pPr>
              <w:spacing w:after="0"/>
              <w:rPr>
                <w:sz w:val="4"/>
                <w:szCs w:val="4"/>
                <w:color w:val="auto"/>
              </w:rPr>
            </w:pPr>
          </w:p>
        </w:tc>
        <w:tc>
          <w:tcPr>
            <w:tcW w:w="1220" w:type="dxa"/>
            <w:vAlign w:val="bottom"/>
            <w:tcBorders>
              <w:bottom w:val="single" w:sz="8" w:color="205BA8"/>
            </w:tcBorders>
          </w:tcPr>
          <w:p>
            <w:pPr>
              <w:spacing w:after="0"/>
              <w:rPr>
                <w:sz w:val="4"/>
                <w:szCs w:val="4"/>
                <w:color w:val="auto"/>
              </w:rPr>
            </w:pPr>
          </w:p>
        </w:tc>
        <w:tc>
          <w:tcPr>
            <w:tcW w:w="1040" w:type="dxa"/>
            <w:vAlign w:val="bottom"/>
            <w:tcBorders>
              <w:bottom w:val="single" w:sz="8" w:color="205BA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0403"/>
          </w:cols>
          <w:pgMar w:left="757" w:top="1440" w:right="739" w:bottom="1440" w:gutter="0" w:footer="0" w:header="0"/>
        </w:sectPr>
      </w:pPr>
    </w:p>
    <w:p>
      <w:pPr>
        <w:ind w:left="203" w:right="40" w:hanging="203"/>
        <w:spacing w:after="0" w:line="232" w:lineRule="auto"/>
        <w:tabs>
          <w:tab w:leader="none" w:pos="203" w:val="left"/>
        </w:tabs>
        <w:numPr>
          <w:ilvl w:val="0"/>
          <w:numId w:val="95"/>
        </w:numPr>
        <w:rPr>
          <w:rFonts w:ascii="Arial" w:cs="Arial" w:eastAsia="Arial" w:hAnsi="Arial"/>
          <w:sz w:val="14"/>
          <w:szCs w:val="14"/>
          <w:b w:val="1"/>
          <w:bCs w:val="1"/>
          <w:color w:val="205BA8"/>
        </w:rPr>
      </w:pPr>
      <w:r>
        <w:rPr>
          <w:rFonts w:ascii="Arial" w:cs="Arial" w:eastAsia="Arial" w:hAnsi="Arial"/>
          <w:sz w:val="14"/>
          <w:szCs w:val="14"/>
          <w:color w:val="auto"/>
        </w:rPr>
        <w:t>The amounts in columns (e) and (f) reflect the respective aggregate grant date fair values (disregarding estimated forfeitures) of restricted stock and stock option awards granted in 2018, 2017, and 2016, respectively, pursuant to the Amended and Restated Regeneron Pharmaceuticals, Inc. 2014 Long-Term Incentive Plan or the Regeneron Pharmaceuticals, Inc. 2014 Long-Term Incentive Plan, as applicable. Assumptions used in the calculation of these amounts are included in Note 14 to the Company’s audited financial</w:t>
      </w:r>
    </w:p>
    <w:p>
      <w:pPr>
        <w:spacing w:after="0" w:line="2" w:lineRule="exact"/>
        <w:rPr>
          <w:sz w:val="20"/>
          <w:szCs w:val="20"/>
          <w:color w:val="auto"/>
        </w:rPr>
      </w:pPr>
    </w:p>
    <w:p>
      <w:pPr>
        <w:ind w:left="203" w:right="40"/>
        <w:spacing w:after="0" w:line="232" w:lineRule="auto"/>
        <w:rPr>
          <w:sz w:val="20"/>
          <w:szCs w:val="20"/>
          <w:color w:val="auto"/>
        </w:rPr>
      </w:pPr>
      <w:r>
        <w:rPr>
          <w:rFonts w:ascii="Arial" w:cs="Arial" w:eastAsia="Arial" w:hAnsi="Arial"/>
          <w:sz w:val="14"/>
          <w:szCs w:val="14"/>
          <w:color w:val="auto"/>
        </w:rPr>
        <w:t>statements for the fiscal year ended December 31, 2018 included in the 2018 Annual Report.</w:t>
      </w:r>
    </w:p>
    <w:p>
      <w:pPr>
        <w:spacing w:after="0" w:line="1" w:lineRule="exact"/>
        <w:rPr>
          <w:sz w:val="20"/>
          <w:szCs w:val="20"/>
          <w:color w:val="auto"/>
        </w:rPr>
      </w:pPr>
    </w:p>
    <w:p>
      <w:pPr>
        <w:ind w:left="203" w:right="160" w:hanging="203"/>
        <w:spacing w:after="0" w:line="250" w:lineRule="auto"/>
        <w:tabs>
          <w:tab w:leader="none" w:pos="203" w:val="left"/>
        </w:tabs>
        <w:numPr>
          <w:ilvl w:val="0"/>
          <w:numId w:val="96"/>
        </w:numPr>
        <w:rPr>
          <w:rFonts w:ascii="Arial" w:cs="Arial" w:eastAsia="Arial" w:hAnsi="Arial"/>
          <w:sz w:val="13"/>
          <w:szCs w:val="13"/>
          <w:b w:val="1"/>
          <w:bCs w:val="1"/>
          <w:color w:val="205BA8"/>
        </w:rPr>
      </w:pPr>
      <w:r>
        <w:rPr>
          <w:rFonts w:ascii="Arial" w:cs="Arial" w:eastAsia="Arial" w:hAnsi="Arial"/>
          <w:sz w:val="13"/>
          <w:szCs w:val="13"/>
          <w:color w:val="auto"/>
        </w:rPr>
        <w:t>Non-equity incentive plan compensation amounts (consisting of cash incentives paid to the NEOs in respect of the relevant year under the Regeneron Pharmaceuticals, Inc. Cash Incentive Bonus Plan) are shown in</w:t>
      </w:r>
    </w:p>
    <w:p>
      <w:pPr>
        <w:ind w:left="203"/>
        <w:spacing w:after="0" w:line="233" w:lineRule="auto"/>
        <w:rPr>
          <w:sz w:val="20"/>
          <w:szCs w:val="20"/>
          <w:color w:val="auto"/>
        </w:rPr>
      </w:pPr>
      <w:r>
        <w:rPr>
          <w:rFonts w:ascii="Arial" w:cs="Arial" w:eastAsia="Arial" w:hAnsi="Arial"/>
          <w:sz w:val="14"/>
          <w:szCs w:val="14"/>
          <w:color w:val="auto"/>
        </w:rPr>
        <w:t>the year in which they were accrued and earned.</w:t>
      </w:r>
    </w:p>
    <w:p>
      <w:pPr>
        <w:ind w:left="203" w:hanging="203"/>
        <w:spacing w:after="0" w:line="250" w:lineRule="auto"/>
        <w:tabs>
          <w:tab w:leader="none" w:pos="203" w:val="left"/>
        </w:tabs>
        <w:numPr>
          <w:ilvl w:val="0"/>
          <w:numId w:val="97"/>
        </w:numPr>
        <w:rPr>
          <w:rFonts w:ascii="Arial" w:cs="Arial" w:eastAsia="Arial" w:hAnsi="Arial"/>
          <w:sz w:val="13"/>
          <w:szCs w:val="13"/>
          <w:b w:val="1"/>
          <w:bCs w:val="1"/>
          <w:color w:val="205BA8"/>
        </w:rPr>
      </w:pPr>
      <w:r>
        <w:rPr>
          <w:rFonts w:ascii="Arial" w:cs="Arial" w:eastAsia="Arial" w:hAnsi="Arial"/>
          <w:sz w:val="13"/>
          <w:szCs w:val="13"/>
          <w:color w:val="auto"/>
        </w:rPr>
        <w:t>See the subsection “Additional Compensation Information–Perquisites and Personal Benefits” below for further information. Certain 2018 perquisites and other personal benefits are quantified for each of the NEOs in the footnotes to this table below based on the actual additional cost incurred by us in providing</w:t>
      </w:r>
    </w:p>
    <w:p>
      <w:pPr>
        <w:ind w:left="203"/>
        <w:spacing w:after="0" w:line="233" w:lineRule="auto"/>
        <w:rPr>
          <w:sz w:val="20"/>
          <w:szCs w:val="20"/>
          <w:color w:val="auto"/>
        </w:rPr>
      </w:pPr>
      <w:r>
        <w:rPr>
          <w:rFonts w:ascii="Arial" w:cs="Arial" w:eastAsia="Arial" w:hAnsi="Arial"/>
          <w:sz w:val="14"/>
          <w:szCs w:val="14"/>
          <w:color w:val="auto"/>
        </w:rPr>
        <w:t>the perquisite or other personal benefit.</w:t>
      </w:r>
    </w:p>
    <w:p>
      <w:pPr>
        <w:ind w:left="203" w:hanging="203"/>
        <w:spacing w:after="0" w:line="233" w:lineRule="auto"/>
        <w:tabs>
          <w:tab w:leader="none" w:pos="203" w:val="left"/>
        </w:tabs>
        <w:numPr>
          <w:ilvl w:val="0"/>
          <w:numId w:val="98"/>
        </w:numPr>
        <w:rPr>
          <w:rFonts w:ascii="Arial" w:cs="Arial" w:eastAsia="Arial" w:hAnsi="Arial"/>
          <w:sz w:val="14"/>
          <w:szCs w:val="14"/>
          <w:b w:val="1"/>
          <w:bCs w:val="1"/>
          <w:color w:val="205BA8"/>
        </w:rPr>
      </w:pPr>
      <w:r>
        <w:rPr>
          <w:rFonts w:ascii="Arial" w:cs="Arial" w:eastAsia="Arial" w:hAnsi="Arial"/>
          <w:sz w:val="14"/>
          <w:szCs w:val="14"/>
          <w:color w:val="auto"/>
        </w:rPr>
        <w:t>Consists of (i) $20,724 for life insurance premiums, (ii) $28,160 for long-term disability insurance premiums, (iii) $15,116 for medical malpractice insurance premiums, (iv) $11,000 for 401(k) Savings Plan matching contributions in respect of 2018 paid in February 2019, (v) $10,665 for tax and financial planning advisory services, (vi) $280,000 for fees the Company paid on behalf of Dr. Schleifer associated with a filing required to be made by Dr. Schleifer under the Hart-Scott-Rodino Antitrust Improvements Act of 1976, as amended, which related to an anticipated acquisition by Dr. Schleifer of common stock upon exercise of his stock options (as described further in the subsection “Additional Compensation Information–Perquisites and Personal Benefits” below), (vii) $268,697 for a tax reimbursement related to the fees referenced in (vi), and (viii) $237,669 and $24,401 for personal use of Company-provided aircraft and secure car transportation, respectively, in each case in accordance with our security policy (calculated as described in the subsection “Additional Compensation Information–Perquisites and Personal Benefits” below).</w:t>
      </w:r>
    </w:p>
    <w:p>
      <w:pPr>
        <w:spacing w:after="0" w:line="200" w:lineRule="exact"/>
        <w:rPr>
          <w:sz w:val="20"/>
          <w:szCs w:val="20"/>
          <w:color w:val="auto"/>
        </w:rPr>
      </w:pPr>
    </w:p>
    <w:p>
      <w:pPr>
        <w:spacing w:after="0" w:line="284"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-94615</wp:posOffset>
            </wp:positionV>
            <wp:extent cx="717550" cy="825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8" w:right="20" w:hanging="198"/>
        <w:spacing w:after="0" w:line="232" w:lineRule="auto"/>
        <w:tabs>
          <w:tab w:leader="none" w:pos="198" w:val="left"/>
        </w:tabs>
        <w:numPr>
          <w:ilvl w:val="0"/>
          <w:numId w:val="99"/>
        </w:numPr>
        <w:rPr>
          <w:rFonts w:ascii="Arial" w:cs="Arial" w:eastAsia="Arial" w:hAnsi="Arial"/>
          <w:sz w:val="14"/>
          <w:szCs w:val="14"/>
          <w:b w:val="1"/>
          <w:bCs w:val="1"/>
          <w:color w:val="205BA8"/>
        </w:rPr>
      </w:pPr>
      <w:r>
        <w:rPr>
          <w:rFonts w:ascii="Arial" w:cs="Arial" w:eastAsia="Arial" w:hAnsi="Arial"/>
          <w:sz w:val="14"/>
          <w:szCs w:val="14"/>
          <w:color w:val="auto"/>
        </w:rPr>
        <w:t>Consists of (i) $11,000 for 401(k) Savings Plan matching contributions in respect of 2018 paid in February 2019, (ii) $8,535 for tax and financial planning advisory services, (iii) $125,000 for fees the Company paid on behalf of Dr. Yancopoulos associated with a filing required to be made by Dr. Yancopoulos under the Hart-Scott-Rodino Antitrust Improvements Act of 1976, as amended, which related to an anticipated acquisition by Dr. Yancopoulos of common stock upon exercise of his stock options (as described further in the subsection “Additional Compensation Information– Perquisites and Personal Benefits” below), (iv) $119,954 for a tax reimbursement related to the fees referenced in (iii), and (v) $130,017 and $5,212 for personal use of Company-provided aircraft and secure car transportation, respectively, in each case in accordance with our security</w:t>
      </w:r>
    </w:p>
    <w:p>
      <w:pPr>
        <w:spacing w:after="0" w:line="3" w:lineRule="exact"/>
        <w:rPr>
          <w:sz w:val="20"/>
          <w:szCs w:val="20"/>
          <w:color w:val="auto"/>
        </w:rPr>
      </w:pPr>
    </w:p>
    <w:p>
      <w:pPr>
        <w:ind w:left="198" w:right="200"/>
        <w:spacing w:after="0" w:line="232" w:lineRule="auto"/>
        <w:rPr>
          <w:sz w:val="20"/>
          <w:szCs w:val="20"/>
          <w:color w:val="auto"/>
        </w:rPr>
      </w:pPr>
      <w:r>
        <w:rPr>
          <w:rFonts w:ascii="Arial" w:cs="Arial" w:eastAsia="Arial" w:hAnsi="Arial"/>
          <w:sz w:val="14"/>
          <w:szCs w:val="14"/>
          <w:color w:val="auto"/>
        </w:rPr>
        <w:t>policy (calculated as described in the subsection “Additional Compensation Information–Perquisites and Personal Benefits” below).</w:t>
      </w:r>
    </w:p>
    <w:p>
      <w:pPr>
        <w:ind w:left="198" w:hanging="198"/>
        <w:spacing w:after="0" w:line="233" w:lineRule="auto"/>
        <w:tabs>
          <w:tab w:leader="none" w:pos="198" w:val="left"/>
        </w:tabs>
        <w:numPr>
          <w:ilvl w:val="0"/>
          <w:numId w:val="100"/>
        </w:numPr>
        <w:rPr>
          <w:rFonts w:ascii="Arial" w:cs="Arial" w:eastAsia="Arial" w:hAnsi="Arial"/>
          <w:sz w:val="14"/>
          <w:szCs w:val="14"/>
          <w:b w:val="1"/>
          <w:bCs w:val="1"/>
          <w:color w:val="205BA8"/>
        </w:rPr>
      </w:pPr>
      <w:r>
        <w:rPr>
          <w:rFonts w:ascii="Arial" w:cs="Arial" w:eastAsia="Arial" w:hAnsi="Arial"/>
          <w:sz w:val="14"/>
          <w:szCs w:val="14"/>
          <w:color w:val="auto"/>
        </w:rPr>
        <w:t>Consists of (i) $11,000 for 401(k) Savings Plan matching contributions in</w:t>
      </w:r>
    </w:p>
    <w:p>
      <w:pPr>
        <w:ind w:left="198" w:right="280"/>
        <w:spacing w:after="0" w:line="232" w:lineRule="auto"/>
        <w:rPr>
          <w:sz w:val="20"/>
          <w:szCs w:val="20"/>
          <w:color w:val="auto"/>
        </w:rPr>
      </w:pPr>
      <w:r>
        <w:rPr>
          <w:rFonts w:ascii="Arial" w:cs="Arial" w:eastAsia="Arial" w:hAnsi="Arial"/>
          <w:sz w:val="14"/>
          <w:szCs w:val="14"/>
          <w:color w:val="auto"/>
        </w:rPr>
        <w:t>respect of 2018 paid in February 2019 and (ii) $8,535 for tax and financial planning advisory services.</w:t>
      </w:r>
    </w:p>
    <w:p>
      <w:pPr>
        <w:ind w:left="198" w:hanging="198"/>
        <w:spacing w:after="0" w:line="233" w:lineRule="auto"/>
        <w:tabs>
          <w:tab w:leader="none" w:pos="198" w:val="left"/>
        </w:tabs>
        <w:numPr>
          <w:ilvl w:val="0"/>
          <w:numId w:val="101"/>
        </w:numPr>
        <w:rPr>
          <w:rFonts w:ascii="Arial" w:cs="Arial" w:eastAsia="Arial" w:hAnsi="Arial"/>
          <w:sz w:val="14"/>
          <w:szCs w:val="14"/>
          <w:b w:val="1"/>
          <w:bCs w:val="1"/>
          <w:color w:val="205BA8"/>
        </w:rPr>
      </w:pPr>
      <w:r>
        <w:rPr>
          <w:rFonts w:ascii="Arial" w:cs="Arial" w:eastAsia="Arial" w:hAnsi="Arial"/>
          <w:sz w:val="14"/>
          <w:szCs w:val="14"/>
          <w:color w:val="auto"/>
        </w:rPr>
        <w:t>Mr. Van Plew qualified as an NEO for 2018 and 2017 but not for 2016.</w:t>
      </w:r>
    </w:p>
    <w:p>
      <w:pPr>
        <w:ind w:left="198" w:right="220" w:hanging="208"/>
        <w:spacing w:after="0" w:line="232" w:lineRule="auto"/>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8 </w:t>
      </w:r>
      <w:r>
        <w:rPr>
          <w:rFonts w:ascii="Arial" w:cs="Arial" w:eastAsia="Arial" w:hAnsi="Arial"/>
          <w:sz w:val="14"/>
          <w:szCs w:val="14"/>
          <w:color w:val="000000"/>
        </w:rPr>
        <w:t>Consists of (i) $9,250 for 401(k) Savings Plan matching contributions in</w:t>
      </w:r>
      <w:r>
        <w:rPr>
          <w:rFonts w:ascii="Arial" w:cs="Arial" w:eastAsia="Arial" w:hAnsi="Arial"/>
          <w:sz w:val="14"/>
          <w:szCs w:val="14"/>
          <w:b w:val="1"/>
          <w:bCs w:val="1"/>
          <w:color w:val="205BA8"/>
        </w:rPr>
        <w:t xml:space="preserve"> </w:t>
      </w:r>
      <w:r>
        <w:rPr>
          <w:rFonts w:ascii="Arial" w:cs="Arial" w:eastAsia="Arial" w:hAnsi="Arial"/>
          <w:sz w:val="14"/>
          <w:szCs w:val="14"/>
          <w:color w:val="000000"/>
        </w:rPr>
        <w:t>respect of 2018 paid in February 2019 and (ii) $10,665 for tax and financial planning advisory services.</w:t>
      </w:r>
    </w:p>
    <w:p>
      <w:pPr>
        <w:ind w:left="198" w:right="240" w:hanging="208"/>
        <w:spacing w:after="0" w:line="232" w:lineRule="auto"/>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9 </w:t>
      </w:r>
      <w:r>
        <w:rPr>
          <w:rFonts w:ascii="Arial" w:cs="Arial" w:eastAsia="Arial" w:hAnsi="Arial"/>
          <w:sz w:val="14"/>
          <w:szCs w:val="14"/>
          <w:color w:val="000000"/>
        </w:rPr>
        <w:t>Ms. McCourt joined the Company in 2018 and qualified as an NEO for that</w:t>
      </w:r>
      <w:r>
        <w:rPr>
          <w:rFonts w:ascii="Arial" w:cs="Arial" w:eastAsia="Arial" w:hAnsi="Arial"/>
          <w:sz w:val="14"/>
          <w:szCs w:val="14"/>
          <w:b w:val="1"/>
          <w:bCs w:val="1"/>
          <w:color w:val="205BA8"/>
        </w:rPr>
        <w:t xml:space="preserve"> </w:t>
      </w:r>
      <w:r>
        <w:rPr>
          <w:rFonts w:ascii="Arial" w:cs="Arial" w:eastAsia="Arial" w:hAnsi="Arial"/>
          <w:sz w:val="14"/>
          <w:szCs w:val="14"/>
          <w:color w:val="000000"/>
        </w:rPr>
        <w:t>year.</w:t>
      </w:r>
    </w:p>
    <w:p>
      <w:pPr>
        <w:ind w:left="198" w:right="220" w:hanging="208"/>
        <w:spacing w:after="0" w:line="232" w:lineRule="auto"/>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10 </w:t>
      </w:r>
      <w:r>
        <w:rPr>
          <w:rFonts w:ascii="Arial" w:cs="Arial" w:eastAsia="Arial" w:hAnsi="Arial"/>
          <w:sz w:val="14"/>
          <w:szCs w:val="14"/>
          <w:color w:val="000000"/>
        </w:rPr>
        <w:t>Represents Ms. McCourt’s base salary paid from February 12, 2018 (the</w:t>
      </w:r>
      <w:r>
        <w:rPr>
          <w:rFonts w:ascii="Arial" w:cs="Arial" w:eastAsia="Arial" w:hAnsi="Arial"/>
          <w:sz w:val="14"/>
          <w:szCs w:val="14"/>
          <w:b w:val="1"/>
          <w:bCs w:val="1"/>
          <w:color w:val="205BA8"/>
        </w:rPr>
        <w:t xml:space="preserve"> </w:t>
      </w:r>
      <w:r>
        <w:rPr>
          <w:rFonts w:ascii="Arial" w:cs="Arial" w:eastAsia="Arial" w:hAnsi="Arial"/>
          <w:sz w:val="14"/>
          <w:szCs w:val="14"/>
          <w:color w:val="000000"/>
        </w:rPr>
        <w:t>starting date of Ms. McCourt’s employment with the Company) through the end of 2018.</w:t>
      </w:r>
    </w:p>
    <w:p>
      <w:pPr>
        <w:ind w:left="198" w:right="40" w:hanging="208"/>
        <w:spacing w:after="0" w:line="232" w:lineRule="auto"/>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11 </w:t>
      </w:r>
      <w:r>
        <w:rPr>
          <w:rFonts w:ascii="Arial" w:cs="Arial" w:eastAsia="Arial" w:hAnsi="Arial"/>
          <w:sz w:val="14"/>
          <w:szCs w:val="14"/>
          <w:color w:val="000000"/>
        </w:rPr>
        <w:t>Consists of the aggregate grant date fair value of (i) 2,500 shares of restricted</w:t>
      </w:r>
      <w:r>
        <w:rPr>
          <w:rFonts w:ascii="Arial" w:cs="Arial" w:eastAsia="Arial" w:hAnsi="Arial"/>
          <w:sz w:val="14"/>
          <w:szCs w:val="14"/>
          <w:b w:val="1"/>
          <w:bCs w:val="1"/>
          <w:color w:val="205BA8"/>
        </w:rPr>
        <w:t xml:space="preserve"> </w:t>
      </w:r>
      <w:r>
        <w:rPr>
          <w:rFonts w:ascii="Arial" w:cs="Arial" w:eastAsia="Arial" w:hAnsi="Arial"/>
          <w:sz w:val="14"/>
          <w:szCs w:val="14"/>
          <w:color w:val="000000"/>
        </w:rPr>
        <w:t>stock granted in connection with commencement of Ms. McCourt’s employment and (ii) 10,000 shares of restricted stock granted as part of Ms. McCourt’s 2018 year-end equity award.</w:t>
      </w:r>
    </w:p>
    <w:p>
      <w:pPr>
        <w:spacing w:after="0" w:line="1" w:lineRule="exact"/>
        <w:rPr>
          <w:rFonts w:ascii="Arial" w:cs="Arial" w:eastAsia="Arial" w:hAnsi="Arial"/>
          <w:sz w:val="14"/>
          <w:szCs w:val="14"/>
          <w:b w:val="1"/>
          <w:bCs w:val="1"/>
          <w:color w:val="205BA8"/>
        </w:rPr>
      </w:pPr>
    </w:p>
    <w:p>
      <w:pPr>
        <w:ind w:left="198" w:right="20" w:hanging="208"/>
        <w:spacing w:after="0" w:line="250" w:lineRule="auto"/>
        <w:rPr>
          <w:rFonts w:ascii="Arial" w:cs="Arial" w:eastAsia="Arial" w:hAnsi="Arial"/>
          <w:sz w:val="14"/>
          <w:szCs w:val="14"/>
          <w:b w:val="1"/>
          <w:bCs w:val="1"/>
          <w:color w:val="205BA8"/>
        </w:rPr>
      </w:pPr>
      <w:r>
        <w:rPr>
          <w:rFonts w:ascii="Arial" w:cs="Arial" w:eastAsia="Arial" w:hAnsi="Arial"/>
          <w:sz w:val="13"/>
          <w:szCs w:val="13"/>
          <w:b w:val="1"/>
          <w:bCs w:val="1"/>
          <w:color w:val="205BA8"/>
        </w:rPr>
        <w:t xml:space="preserve">12 </w:t>
      </w:r>
      <w:r>
        <w:rPr>
          <w:rFonts w:ascii="Arial" w:cs="Arial" w:eastAsia="Arial" w:hAnsi="Arial"/>
          <w:sz w:val="13"/>
          <w:szCs w:val="13"/>
          <w:color w:val="000000"/>
        </w:rPr>
        <w:t>Consists of the aggregate grant date fair value of (i) 20,000 stock options</w:t>
      </w:r>
      <w:r>
        <w:rPr>
          <w:rFonts w:ascii="Arial" w:cs="Arial" w:eastAsia="Arial" w:hAnsi="Arial"/>
          <w:sz w:val="13"/>
          <w:szCs w:val="13"/>
          <w:b w:val="1"/>
          <w:bCs w:val="1"/>
          <w:color w:val="205BA8"/>
        </w:rPr>
        <w:t xml:space="preserve"> </w:t>
      </w:r>
      <w:r>
        <w:rPr>
          <w:rFonts w:ascii="Arial" w:cs="Arial" w:eastAsia="Arial" w:hAnsi="Arial"/>
          <w:sz w:val="13"/>
          <w:szCs w:val="13"/>
          <w:color w:val="000000"/>
        </w:rPr>
        <w:t>granted in connection with commencement of Ms. McCourt’s employment and</w:t>
      </w:r>
    </w:p>
    <w:p>
      <w:pPr>
        <w:ind w:left="198" w:right="360" w:firstLine="10"/>
        <w:spacing w:after="0" w:line="232" w:lineRule="auto"/>
        <w:tabs>
          <w:tab w:leader="none" w:pos="39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10,000 stock options granted as part of Ms. McCourt’s 2018 year-end equity award.</w:t>
      </w:r>
    </w:p>
    <w:p>
      <w:pPr>
        <w:spacing w:after="0" w:line="1" w:lineRule="exact"/>
        <w:rPr>
          <w:sz w:val="20"/>
          <w:szCs w:val="20"/>
          <w:color w:val="auto"/>
        </w:rPr>
      </w:pPr>
    </w:p>
    <w:p>
      <w:pPr>
        <w:ind w:left="198" w:right="100" w:hanging="198"/>
        <w:spacing w:after="0" w:line="239" w:lineRule="auto"/>
        <w:tabs>
          <w:tab w:leader="none" w:pos="198" w:val="left"/>
        </w:tabs>
        <w:numPr>
          <w:ilvl w:val="0"/>
          <w:numId w:val="103"/>
        </w:numPr>
        <w:rPr>
          <w:rFonts w:ascii="Arial" w:cs="Arial" w:eastAsia="Arial" w:hAnsi="Arial"/>
          <w:sz w:val="14"/>
          <w:szCs w:val="14"/>
          <w:b w:val="1"/>
          <w:bCs w:val="1"/>
          <w:color w:val="205BA8"/>
        </w:rPr>
      </w:pPr>
      <w:r>
        <w:rPr>
          <w:rFonts w:ascii="Arial" w:cs="Arial" w:eastAsia="Arial" w:hAnsi="Arial"/>
          <w:sz w:val="14"/>
          <w:szCs w:val="14"/>
          <w:color w:val="auto"/>
        </w:rPr>
        <w:t>Consists of $9,250 for 401(k) Savings Plan matching contributions in respect of 2018 paid in February 2019.</w:t>
      </w:r>
    </w:p>
    <w:p>
      <w:pPr>
        <w:spacing w:after="0" w:line="175" w:lineRule="exact"/>
        <w:rPr>
          <w:sz w:val="20"/>
          <w:szCs w:val="20"/>
          <w:color w:val="auto"/>
        </w:rPr>
      </w:pPr>
    </w:p>
    <w:p>
      <w:pPr>
        <w:ind w:left="418"/>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164465</wp:posOffset>
            </wp:positionV>
            <wp:extent cx="7251700" cy="330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4983" w:space="422"/>
            <w:col w:w="4998"/>
          </w:cols>
          <w:pgMar w:left="757" w:top="1440" w:right="739" w:bottom="1440" w:gutter="0" w:footer="0" w:header="0"/>
          <w:type w:val="continuous"/>
        </w:sectPr>
      </w:pPr>
    </w:p>
    <w:bookmarkStart w:id="91" w:name="page92"/>
    <w:bookmarkEnd w:id="91"/>
    <w:p>
      <w:pPr>
        <w:ind w:left="546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D61C5A"/>
        </w:rPr>
        <w:t>2018 Grants of Plan-Based Awards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and explanatory footnotes provide information regarding the annual cash incentive and equity awards granted to our NEOs during 2018.</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156"/>
        </w:trPr>
        <w:tc>
          <w:tcPr>
            <w:tcW w:w="1640" w:type="dxa"/>
            <w:vAlign w:val="bottom"/>
            <w:tcBorders>
              <w:top w:val="single" w:sz="8" w:color="205BA8"/>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A</w:t>
            </w:r>
          </w:p>
        </w:tc>
        <w:tc>
          <w:tcPr>
            <w:tcW w:w="100" w:type="dxa"/>
            <w:vAlign w:val="bottom"/>
            <w:tcBorders>
              <w:top w:val="single" w:sz="8" w:color="205BA8"/>
              <w:bottom w:val="single" w:sz="8" w:color="205BA8"/>
            </w:tcBorders>
          </w:tcPr>
          <w:p>
            <w:pPr>
              <w:spacing w:after="0"/>
              <w:rPr>
                <w:sz w:val="13"/>
                <w:szCs w:val="13"/>
                <w:color w:val="auto"/>
              </w:rPr>
            </w:pPr>
          </w:p>
        </w:tc>
        <w:tc>
          <w:tcPr>
            <w:tcW w:w="1240" w:type="dxa"/>
            <w:vAlign w:val="bottom"/>
            <w:tcBorders>
              <w:top w:val="single" w:sz="8" w:color="205BA8"/>
              <w:bottom w:val="single" w:sz="8" w:color="205BA8"/>
            </w:tcBorders>
          </w:tcPr>
          <w:p>
            <w:pPr>
              <w:ind w:left="520"/>
              <w:spacing w:after="0"/>
              <w:rPr>
                <w:sz w:val="20"/>
                <w:szCs w:val="20"/>
                <w:color w:val="auto"/>
              </w:rPr>
            </w:pPr>
            <w:r>
              <w:rPr>
                <w:rFonts w:ascii="Arial" w:cs="Arial" w:eastAsia="Arial" w:hAnsi="Arial"/>
                <w:sz w:val="11"/>
                <w:szCs w:val="11"/>
                <w:b w:val="1"/>
                <w:bCs w:val="1"/>
                <w:color w:val="205BA8"/>
              </w:rPr>
              <w:t>B</w:t>
            </w:r>
          </w:p>
        </w:tc>
        <w:tc>
          <w:tcPr>
            <w:tcW w:w="780" w:type="dxa"/>
            <w:vAlign w:val="bottom"/>
            <w:tcBorders>
              <w:top w:val="single" w:sz="8" w:color="205BA8"/>
              <w:bottom w:val="single" w:sz="8" w:color="205BA8"/>
            </w:tcBorders>
          </w:tcPr>
          <w:p>
            <w:pPr>
              <w:jc w:val="center"/>
              <w:ind w:right="119"/>
              <w:spacing w:after="0"/>
              <w:rPr>
                <w:sz w:val="20"/>
                <w:szCs w:val="20"/>
                <w:color w:val="auto"/>
              </w:rPr>
            </w:pPr>
            <w:r>
              <w:rPr>
                <w:rFonts w:ascii="Arial" w:cs="Arial" w:eastAsia="Arial" w:hAnsi="Arial"/>
                <w:sz w:val="11"/>
                <w:szCs w:val="11"/>
                <w:b w:val="1"/>
                <w:bCs w:val="1"/>
                <w:color w:val="205BA8"/>
              </w:rPr>
              <w:t>C</w:t>
            </w:r>
          </w:p>
        </w:tc>
        <w:tc>
          <w:tcPr>
            <w:tcW w:w="960" w:type="dxa"/>
            <w:vAlign w:val="bottom"/>
            <w:tcBorders>
              <w:top w:val="single" w:sz="8" w:color="205BA8"/>
              <w:bottom w:val="single" w:sz="8" w:color="205BA8"/>
            </w:tcBorders>
          </w:tcPr>
          <w:p>
            <w:pPr>
              <w:jc w:val="center"/>
              <w:ind w:right="98"/>
              <w:spacing w:after="0"/>
              <w:rPr>
                <w:sz w:val="20"/>
                <w:szCs w:val="20"/>
                <w:color w:val="auto"/>
              </w:rPr>
            </w:pPr>
            <w:r>
              <w:rPr>
                <w:rFonts w:ascii="Arial" w:cs="Arial" w:eastAsia="Arial" w:hAnsi="Arial"/>
                <w:sz w:val="11"/>
                <w:szCs w:val="11"/>
                <w:b w:val="1"/>
                <w:bCs w:val="1"/>
                <w:color w:val="205BA8"/>
              </w:rPr>
              <w:t>D</w:t>
            </w:r>
          </w:p>
        </w:tc>
        <w:tc>
          <w:tcPr>
            <w:tcW w:w="94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81"/>
              </w:rPr>
              <w:t>E</w:t>
            </w:r>
          </w:p>
        </w:tc>
        <w:tc>
          <w:tcPr>
            <w:tcW w:w="98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I</w:t>
            </w:r>
          </w:p>
        </w:tc>
        <w:tc>
          <w:tcPr>
            <w:tcW w:w="92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97"/>
              </w:rPr>
              <w:t>J</w:t>
            </w:r>
          </w:p>
        </w:tc>
        <w:tc>
          <w:tcPr>
            <w:tcW w:w="86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K</w:t>
            </w:r>
          </w:p>
        </w:tc>
        <w:tc>
          <w:tcPr>
            <w:tcW w:w="960" w:type="dxa"/>
            <w:vAlign w:val="bottom"/>
            <w:tcBorders>
              <w:top w:val="single" w:sz="8" w:color="205BA8"/>
              <w:bottom w:val="single" w:sz="8" w:color="205BA8"/>
            </w:tcBorders>
          </w:tcPr>
          <w:p>
            <w:pPr>
              <w:spacing w:after="0"/>
              <w:rPr>
                <w:sz w:val="13"/>
                <w:szCs w:val="13"/>
                <w:color w:val="auto"/>
              </w:rPr>
            </w:pPr>
          </w:p>
        </w:tc>
        <w:tc>
          <w:tcPr>
            <w:tcW w:w="102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w w:val="88"/>
              </w:rPr>
              <w:t>L</w:t>
            </w:r>
          </w:p>
        </w:tc>
        <w:tc>
          <w:tcPr>
            <w:tcW w:w="0" w:type="dxa"/>
            <w:vAlign w:val="bottom"/>
          </w:tcPr>
          <w:p>
            <w:pPr>
              <w:spacing w:after="0"/>
              <w:rPr>
                <w:sz w:val="1"/>
                <w:szCs w:val="1"/>
                <w:color w:val="auto"/>
              </w:rPr>
            </w:pPr>
          </w:p>
        </w:tc>
      </w:tr>
      <w:tr>
        <w:trPr>
          <w:trHeight w:val="124"/>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1"/>
                <w:szCs w:val="11"/>
                <w:b w:val="1"/>
                <w:bCs w:val="1"/>
                <w:color w:val="205BA8"/>
              </w:rPr>
              <w:t>All other</w:t>
            </w: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205BA8"/>
              </w:rPr>
              <w:t>option awards:</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80" w:type="dxa"/>
            <w:vAlign w:val="bottom"/>
            <w:gridSpan w:val="3"/>
            <w:vMerge w:val="restart"/>
          </w:tcPr>
          <w:p>
            <w:pPr>
              <w:ind w:left="400"/>
              <w:spacing w:after="0"/>
              <w:rPr>
                <w:sz w:val="20"/>
                <w:szCs w:val="20"/>
                <w:color w:val="auto"/>
              </w:rPr>
            </w:pPr>
            <w:r>
              <w:rPr>
                <w:rFonts w:ascii="Arial" w:cs="Arial" w:eastAsia="Arial" w:hAnsi="Arial"/>
                <w:sz w:val="11"/>
                <w:szCs w:val="11"/>
                <w:b w:val="1"/>
                <w:bCs w:val="1"/>
                <w:color w:val="205BA8"/>
              </w:rPr>
              <w:t>Estimated Possible Payouts Under</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205BA8"/>
                <w:w w:val="98"/>
              </w:rPr>
              <w:t>All other</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205BA8"/>
              </w:rPr>
              <w:t>number of</w:t>
            </w:r>
          </w:p>
        </w:tc>
        <w:tc>
          <w:tcPr>
            <w:tcW w:w="860" w:type="dxa"/>
            <w:vAlign w:val="bottom"/>
          </w:tcPr>
          <w:p>
            <w:pPr>
              <w:spacing w:after="0"/>
              <w:rPr>
                <w:sz w:val="12"/>
                <w:szCs w:val="12"/>
                <w:color w:val="auto"/>
              </w:rPr>
            </w:pPr>
          </w:p>
        </w:tc>
        <w:tc>
          <w:tcPr>
            <w:tcW w:w="960" w:type="dxa"/>
            <w:vAlign w:val="bottom"/>
          </w:tcPr>
          <w:p>
            <w:pPr>
              <w:jc w:val="center"/>
              <w:ind w:right="19"/>
              <w:spacing w:after="0"/>
              <w:rPr>
                <w:sz w:val="20"/>
                <w:szCs w:val="20"/>
                <w:color w:val="auto"/>
              </w:rPr>
            </w:pPr>
            <w:r>
              <w:rPr>
                <w:rFonts w:ascii="Arial" w:cs="Arial" w:eastAsia="Arial" w:hAnsi="Arial"/>
                <w:sz w:val="11"/>
                <w:szCs w:val="11"/>
                <w:b w:val="1"/>
                <w:bCs w:val="1"/>
                <w:color w:val="205BA8"/>
              </w:rPr>
              <w:t>Closing price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205BA8"/>
              </w:rPr>
              <w:t>Grant date fair</w:t>
            </w:r>
          </w:p>
        </w:tc>
        <w:tc>
          <w:tcPr>
            <w:tcW w:w="0" w:type="dxa"/>
            <w:vAlign w:val="bottom"/>
          </w:tcPr>
          <w:p>
            <w:pPr>
              <w:spacing w:after="0"/>
              <w:rPr>
                <w:sz w:val="1"/>
                <w:szCs w:val="1"/>
                <w:color w:val="auto"/>
              </w:rPr>
            </w:pPr>
          </w:p>
        </w:tc>
      </w:tr>
      <w:tr>
        <w:trPr>
          <w:trHeight w:val="96"/>
        </w:trPr>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80" w:type="dxa"/>
            <w:vAlign w:val="bottom"/>
            <w:gridSpan w:val="3"/>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stock awards:</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securities</w:t>
            </w: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Exercise or</w:t>
            </w:r>
          </w:p>
        </w:tc>
        <w:tc>
          <w:tcPr>
            <w:tcW w:w="96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205BA8"/>
              </w:rPr>
              <w:t>of Company</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value of stock</w:t>
            </w: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80" w:type="dxa"/>
            <w:vAlign w:val="bottom"/>
            <w:gridSpan w:val="3"/>
            <w:vMerge w:val="restart"/>
          </w:tcPr>
          <w:p>
            <w:pPr>
              <w:ind w:left="400"/>
              <w:spacing w:after="0" w:line="202" w:lineRule="exact"/>
              <w:rPr>
                <w:sz w:val="20"/>
                <w:szCs w:val="20"/>
                <w:color w:val="auto"/>
              </w:rPr>
            </w:pPr>
            <w:r>
              <w:rPr>
                <w:rFonts w:ascii="Arial" w:cs="Arial" w:eastAsia="Arial" w:hAnsi="Arial"/>
                <w:sz w:val="11"/>
                <w:szCs w:val="11"/>
                <w:b w:val="1"/>
                <w:bCs w:val="1"/>
                <w:color w:val="205BA8"/>
              </w:rPr>
              <w:t>Non-Equity Incentive Plan Awards</w:t>
            </w:r>
            <w:r>
              <w:rPr>
                <w:rFonts w:ascii="Arial" w:cs="Arial" w:eastAsia="Arial" w:hAnsi="Arial"/>
                <w:sz w:val="18"/>
                <w:szCs w:val="18"/>
                <w:b w:val="1"/>
                <w:bCs w:val="1"/>
                <w:color w:val="205BA8"/>
                <w:vertAlign w:val="superscript"/>
              </w:rPr>
              <w:t>1</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80" w:type="dxa"/>
            <w:vAlign w:val="bottom"/>
            <w:tcBorders>
              <w:bottom w:val="single" w:sz="8" w:color="205BA8"/>
            </w:tcBorders>
            <w:gridSpan w:val="3"/>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205BA8"/>
              </w:rPr>
              <w:t>number of</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205BA8"/>
              </w:rPr>
              <w:t>underlying</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205BA8"/>
              </w:rPr>
              <w:t>base price of</w:t>
            </w:r>
          </w:p>
        </w:tc>
        <w:tc>
          <w:tcPr>
            <w:tcW w:w="960" w:type="dxa"/>
            <w:vAlign w:val="bottom"/>
          </w:tcPr>
          <w:p>
            <w:pPr>
              <w:jc w:val="center"/>
              <w:ind w:right="19"/>
              <w:spacing w:after="0"/>
              <w:rPr>
                <w:sz w:val="20"/>
                <w:szCs w:val="20"/>
                <w:color w:val="auto"/>
              </w:rPr>
            </w:pPr>
            <w:r>
              <w:rPr>
                <w:rFonts w:ascii="Arial" w:cs="Arial" w:eastAsia="Arial" w:hAnsi="Arial"/>
                <w:sz w:val="11"/>
                <w:szCs w:val="11"/>
                <w:b w:val="1"/>
                <w:bCs w:val="1"/>
                <w:color w:val="205BA8"/>
              </w:rPr>
              <w:t>common stock</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205BA8"/>
              </w:rPr>
              <w:t>and option</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vMerge w:val="restart"/>
          </w:tcPr>
          <w:p>
            <w:pPr>
              <w:jc w:val="center"/>
              <w:ind w:right="99"/>
              <w:spacing w:after="0"/>
              <w:rPr>
                <w:sz w:val="20"/>
                <w:szCs w:val="20"/>
                <w:color w:val="auto"/>
              </w:rPr>
            </w:pPr>
            <w:r>
              <w:rPr>
                <w:rFonts w:ascii="Arial" w:cs="Arial" w:eastAsia="Arial" w:hAnsi="Arial"/>
                <w:sz w:val="11"/>
                <w:szCs w:val="11"/>
                <w:b w:val="1"/>
                <w:bCs w:val="1"/>
                <w:color w:val="205BA8"/>
              </w:rPr>
              <w:t>Threshold</w:t>
            </w:r>
          </w:p>
        </w:tc>
        <w:tc>
          <w:tcPr>
            <w:tcW w:w="96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205BA8"/>
                <w:w w:val="95"/>
              </w:rPr>
              <w:t>Target</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Maximum</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shares of stock</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options</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205BA8"/>
              </w:rPr>
              <w:t>option awards</w:t>
            </w:r>
          </w:p>
        </w:tc>
        <w:tc>
          <w:tcPr>
            <w:tcW w:w="960" w:type="dxa"/>
            <w:vAlign w:val="bottom"/>
          </w:tcPr>
          <w:p>
            <w:pPr>
              <w:jc w:val="center"/>
              <w:ind w:right="19"/>
              <w:spacing w:after="0"/>
              <w:rPr>
                <w:sz w:val="20"/>
                <w:szCs w:val="20"/>
                <w:color w:val="auto"/>
              </w:rPr>
            </w:pPr>
            <w:r>
              <w:rPr>
                <w:rFonts w:ascii="Arial" w:cs="Arial" w:eastAsia="Arial" w:hAnsi="Arial"/>
                <w:sz w:val="11"/>
                <w:szCs w:val="11"/>
                <w:b w:val="1"/>
                <w:bCs w:val="1"/>
                <w:color w:val="205BA8"/>
              </w:rPr>
              <w:t>on grant date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205BA8"/>
              </w:rPr>
              <w:t>awards</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60" w:type="dxa"/>
            <w:vAlign w:val="bottom"/>
            <w:vMerge w:val="restart"/>
          </w:tcPr>
          <w:p>
            <w:pPr>
              <w:jc w:val="center"/>
              <w:spacing w:after="0" w:line="190" w:lineRule="exact"/>
              <w:rPr>
                <w:sz w:val="20"/>
                <w:szCs w:val="20"/>
                <w:color w:val="auto"/>
              </w:rPr>
            </w:pPr>
            <w:r>
              <w:rPr>
                <w:rFonts w:ascii="Arial" w:cs="Arial" w:eastAsia="Arial" w:hAnsi="Arial"/>
                <w:sz w:val="11"/>
                <w:szCs w:val="11"/>
                <w:b w:val="1"/>
                <w:bCs w:val="1"/>
                <w:color w:val="205BA8"/>
                <w:w w:val="96"/>
              </w:rPr>
              <w:t>($/Sh)</w:t>
            </w:r>
            <w:r>
              <w:rPr>
                <w:rFonts w:ascii="Arial" w:cs="Arial" w:eastAsia="Arial" w:hAnsi="Arial"/>
                <w:sz w:val="18"/>
                <w:szCs w:val="18"/>
                <w:b w:val="1"/>
                <w:bCs w:val="1"/>
                <w:color w:val="205BA8"/>
                <w:w w:val="96"/>
                <w:vertAlign w:val="superscript"/>
              </w:rPr>
              <w:t>2</w:t>
            </w:r>
          </w:p>
        </w:tc>
        <w:tc>
          <w:tcPr>
            <w:tcW w:w="960" w:type="dxa"/>
            <w:vAlign w:val="bottom"/>
            <w:vMerge w:val="restart"/>
          </w:tcPr>
          <w:p>
            <w:pPr>
              <w:jc w:val="center"/>
              <w:ind w:right="19"/>
              <w:spacing w:after="0" w:line="190" w:lineRule="exact"/>
              <w:rPr>
                <w:sz w:val="20"/>
                <w:szCs w:val="20"/>
                <w:color w:val="auto"/>
              </w:rPr>
            </w:pPr>
            <w:r>
              <w:rPr>
                <w:rFonts w:ascii="Arial" w:cs="Arial" w:eastAsia="Arial" w:hAnsi="Arial"/>
                <w:sz w:val="11"/>
                <w:szCs w:val="11"/>
                <w:b w:val="1"/>
                <w:bCs w:val="1"/>
                <w:color w:val="205BA8"/>
                <w:w w:val="96"/>
              </w:rPr>
              <w:t>($/Sh)</w:t>
            </w:r>
            <w:r>
              <w:rPr>
                <w:rFonts w:ascii="Arial" w:cs="Arial" w:eastAsia="Arial" w:hAnsi="Arial"/>
                <w:sz w:val="18"/>
                <w:szCs w:val="18"/>
                <w:b w:val="1"/>
                <w:bCs w:val="1"/>
                <w:color w:val="205BA8"/>
                <w:w w:val="96"/>
                <w:vertAlign w:val="superscript"/>
              </w:rPr>
              <w:t>2</w:t>
            </w:r>
          </w:p>
        </w:tc>
        <w:tc>
          <w:tcPr>
            <w:tcW w:w="1020" w:type="dxa"/>
            <w:vAlign w:val="bottom"/>
            <w:vMerge w:val="restart"/>
          </w:tcPr>
          <w:p>
            <w:pPr>
              <w:jc w:val="center"/>
              <w:spacing w:after="0" w:line="190" w:lineRule="exact"/>
              <w:rPr>
                <w:sz w:val="20"/>
                <w:szCs w:val="20"/>
                <w:color w:val="auto"/>
              </w:rPr>
            </w:pPr>
            <w:r>
              <w:rPr>
                <w:rFonts w:ascii="Arial" w:cs="Arial" w:eastAsia="Arial" w:hAnsi="Arial"/>
                <w:sz w:val="11"/>
                <w:szCs w:val="11"/>
                <w:b w:val="1"/>
                <w:bCs w:val="1"/>
                <w:color w:val="205BA8"/>
                <w:w w:val="89"/>
              </w:rPr>
              <w:t>($)</w:t>
            </w:r>
            <w:r>
              <w:rPr>
                <w:rFonts w:ascii="Arial" w:cs="Arial" w:eastAsia="Arial" w:hAnsi="Arial"/>
                <w:sz w:val="18"/>
                <w:szCs w:val="18"/>
                <w:b w:val="1"/>
                <w:bCs w:val="1"/>
                <w:color w:val="205BA8"/>
                <w:w w:val="89"/>
                <w:vertAlign w:val="superscript"/>
              </w:rPr>
              <w:t>3</w:t>
            </w:r>
          </w:p>
        </w:tc>
        <w:tc>
          <w:tcPr>
            <w:tcW w:w="0" w:type="dxa"/>
            <w:vAlign w:val="bottom"/>
          </w:tcPr>
          <w:p>
            <w:pPr>
              <w:spacing w:after="0" w:line="20" w:lineRule="exact"/>
              <w:rPr>
                <w:sz w:val="1"/>
                <w:szCs w:val="1"/>
                <w:color w:val="auto"/>
              </w:rPr>
            </w:pPr>
          </w:p>
        </w:tc>
      </w:tr>
      <w:tr>
        <w:trPr>
          <w:trHeight w:val="161"/>
        </w:trPr>
        <w:tc>
          <w:tcPr>
            <w:tcW w:w="1640" w:type="dxa"/>
            <w:vAlign w:val="bottom"/>
            <w:tcBorders>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Name</w:t>
            </w:r>
          </w:p>
        </w:tc>
        <w:tc>
          <w:tcPr>
            <w:tcW w:w="100" w:type="dxa"/>
            <w:vAlign w:val="bottom"/>
            <w:tcBorders>
              <w:bottom w:val="single" w:sz="8" w:color="205BA8"/>
            </w:tcBorders>
          </w:tcPr>
          <w:p>
            <w:pPr>
              <w:spacing w:after="0"/>
              <w:rPr>
                <w:sz w:val="13"/>
                <w:szCs w:val="13"/>
                <w:color w:val="auto"/>
              </w:rPr>
            </w:pPr>
          </w:p>
        </w:tc>
        <w:tc>
          <w:tcPr>
            <w:tcW w:w="1240" w:type="dxa"/>
            <w:vAlign w:val="bottom"/>
            <w:tcBorders>
              <w:bottom w:val="single" w:sz="8" w:color="205BA8"/>
            </w:tcBorders>
          </w:tcPr>
          <w:p>
            <w:pPr>
              <w:ind w:left="280"/>
              <w:spacing w:after="0"/>
              <w:rPr>
                <w:sz w:val="20"/>
                <w:szCs w:val="20"/>
                <w:color w:val="auto"/>
              </w:rPr>
            </w:pPr>
            <w:r>
              <w:rPr>
                <w:rFonts w:ascii="Arial" w:cs="Arial" w:eastAsia="Arial" w:hAnsi="Arial"/>
                <w:sz w:val="11"/>
                <w:szCs w:val="11"/>
                <w:b w:val="1"/>
                <w:bCs w:val="1"/>
                <w:color w:val="205BA8"/>
              </w:rPr>
              <w:t>Grant date</w:t>
            </w:r>
          </w:p>
        </w:tc>
        <w:tc>
          <w:tcPr>
            <w:tcW w:w="780" w:type="dxa"/>
            <w:vAlign w:val="bottom"/>
            <w:tcBorders>
              <w:bottom w:val="single" w:sz="8" w:color="205BA8"/>
            </w:tcBorders>
          </w:tcPr>
          <w:p>
            <w:pPr>
              <w:jc w:val="center"/>
              <w:ind w:right="99"/>
              <w:spacing w:after="0"/>
              <w:rPr>
                <w:sz w:val="20"/>
                <w:szCs w:val="20"/>
                <w:color w:val="auto"/>
              </w:rPr>
            </w:pPr>
            <w:r>
              <w:rPr>
                <w:rFonts w:ascii="Arial" w:cs="Arial" w:eastAsia="Arial" w:hAnsi="Arial"/>
                <w:sz w:val="11"/>
                <w:szCs w:val="11"/>
                <w:b w:val="1"/>
                <w:bCs w:val="1"/>
                <w:color w:val="205BA8"/>
              </w:rPr>
              <w:t>($)</w:t>
            </w:r>
          </w:p>
        </w:tc>
        <w:tc>
          <w:tcPr>
            <w:tcW w:w="960" w:type="dxa"/>
            <w:vAlign w:val="bottom"/>
            <w:tcBorders>
              <w:bottom w:val="single" w:sz="8" w:color="205BA8"/>
            </w:tcBorders>
          </w:tcPr>
          <w:p>
            <w:pPr>
              <w:jc w:val="center"/>
              <w:ind w:right="98"/>
              <w:spacing w:after="0"/>
              <w:rPr>
                <w:sz w:val="20"/>
                <w:szCs w:val="20"/>
                <w:color w:val="auto"/>
              </w:rPr>
            </w:pPr>
            <w:r>
              <w:rPr>
                <w:rFonts w:ascii="Arial" w:cs="Arial" w:eastAsia="Arial" w:hAnsi="Arial"/>
                <w:sz w:val="11"/>
                <w:szCs w:val="11"/>
                <w:b w:val="1"/>
                <w:bCs w:val="1"/>
                <w:color w:val="205BA8"/>
                <w:w w:val="88"/>
              </w:rPr>
              <w:t>($)</w:t>
            </w:r>
          </w:p>
        </w:tc>
        <w:tc>
          <w:tcPr>
            <w:tcW w:w="9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9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or units (#)</w:t>
            </w:r>
          </w:p>
        </w:tc>
        <w:tc>
          <w:tcPr>
            <w:tcW w:w="92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860" w:type="dxa"/>
            <w:vAlign w:val="bottom"/>
            <w:tcBorders>
              <w:bottom w:val="single" w:sz="8" w:color="205BA8"/>
            </w:tcBorders>
            <w:vMerge w:val="continue"/>
          </w:tcPr>
          <w:p>
            <w:pPr>
              <w:spacing w:after="0"/>
              <w:rPr>
                <w:sz w:val="13"/>
                <w:szCs w:val="13"/>
                <w:color w:val="auto"/>
              </w:rPr>
            </w:pPr>
          </w:p>
        </w:tc>
        <w:tc>
          <w:tcPr>
            <w:tcW w:w="960" w:type="dxa"/>
            <w:vAlign w:val="bottom"/>
            <w:tcBorders>
              <w:bottom w:val="single" w:sz="8" w:color="205BA8"/>
            </w:tcBorders>
            <w:vMerge w:val="continue"/>
          </w:tcPr>
          <w:p>
            <w:pPr>
              <w:spacing w:after="0"/>
              <w:rPr>
                <w:sz w:val="13"/>
                <w:szCs w:val="13"/>
                <w:color w:val="auto"/>
              </w:rPr>
            </w:pPr>
          </w:p>
        </w:tc>
        <w:tc>
          <w:tcPr>
            <w:tcW w:w="1020" w:type="dxa"/>
            <w:vAlign w:val="bottom"/>
            <w:tcBorders>
              <w:bottom w:val="single" w:sz="8" w:color="205BA8"/>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40"/>
              <w:spacing w:after="0"/>
              <w:rPr>
                <w:sz w:val="20"/>
                <w:szCs w:val="20"/>
                <w:color w:val="auto"/>
              </w:rPr>
            </w:pPr>
            <w:r>
              <w:rPr>
                <w:rFonts w:ascii="Arial" w:cs="Arial" w:eastAsia="Arial" w:hAnsi="Arial"/>
                <w:sz w:val="12"/>
                <w:szCs w:val="12"/>
                <w:b w:val="1"/>
                <w:bCs w:val="1"/>
                <w:color w:val="D61C5A"/>
              </w:rPr>
              <w:t>Leonard S. Schleifer,</w:t>
            </w:r>
          </w:p>
        </w:tc>
        <w:tc>
          <w:tcPr>
            <w:tcW w:w="100" w:type="dxa"/>
            <w:vAlign w:val="bottom"/>
          </w:tcPr>
          <w:p>
            <w:pPr>
              <w:spacing w:after="0"/>
              <w:rPr>
                <w:sz w:val="15"/>
                <w:szCs w:val="15"/>
                <w:color w:val="auto"/>
              </w:rPr>
            </w:pPr>
          </w:p>
        </w:tc>
        <w:tc>
          <w:tcPr>
            <w:tcW w:w="1240" w:type="dxa"/>
            <w:vAlign w:val="bottom"/>
            <w:tcBorders>
              <w:bottom w:val="single" w:sz="8" w:color="58585A"/>
            </w:tcBorders>
          </w:tcPr>
          <w:p>
            <w:pPr>
              <w:ind w:left="8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1,596,600</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3,193,200</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640" w:type="dxa"/>
            <w:vAlign w:val="bottom"/>
            <w:tcBorders>
              <w:bottom w:val="single" w:sz="8" w:color="58585A"/>
            </w:tcBorders>
          </w:tcPr>
          <w:p>
            <w:pPr>
              <w:ind w:left="40"/>
              <w:spacing w:after="0" w:line="127" w:lineRule="exact"/>
              <w:rPr>
                <w:sz w:val="20"/>
                <w:szCs w:val="20"/>
                <w:color w:val="auto"/>
              </w:rPr>
            </w:pPr>
            <w:r>
              <w:rPr>
                <w:rFonts w:ascii="Arial" w:cs="Arial" w:eastAsia="Arial" w:hAnsi="Arial"/>
                <w:sz w:val="12"/>
                <w:szCs w:val="12"/>
                <w:b w:val="1"/>
                <w:bCs w:val="1"/>
                <w:color w:val="D61C5A"/>
              </w:rPr>
              <w:t>M.D., Ph.D.</w:t>
            </w:r>
          </w:p>
        </w:tc>
        <w:tc>
          <w:tcPr>
            <w:tcW w:w="1340" w:type="dxa"/>
            <w:vAlign w:val="bottom"/>
            <w:tcBorders>
              <w:bottom w:val="single" w:sz="8" w:color="58585A"/>
            </w:tcBorders>
            <w:gridSpan w:val="2"/>
          </w:tcPr>
          <w:p>
            <w:pPr>
              <w:ind w:left="400"/>
              <w:spacing w:after="0" w:line="182"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4</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129,013</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381.40</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377.96</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21,339,913</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2"/>
                <w:szCs w:val="12"/>
                <w:b w:val="1"/>
                <w:bCs w:val="1"/>
                <w:color w:val="D61C5A"/>
              </w:rPr>
              <w:t>George D. Yancopoulos,</w:t>
            </w:r>
          </w:p>
        </w:tc>
        <w:tc>
          <w:tcPr>
            <w:tcW w:w="100" w:type="dxa"/>
            <w:vAlign w:val="bottom"/>
            <w:tcBorders>
              <w:bottom w:val="single" w:sz="8" w:color="E7E7E8"/>
            </w:tcBorders>
            <w:shd w:val="clear" w:color="auto" w:fill="E7E7E8"/>
          </w:tcPr>
          <w:p>
            <w:pPr>
              <w:spacing w:after="0"/>
              <w:rPr>
                <w:sz w:val="14"/>
                <w:szCs w:val="14"/>
                <w:color w:val="auto"/>
              </w:rPr>
            </w:pPr>
          </w:p>
        </w:tc>
        <w:tc>
          <w:tcPr>
            <w:tcW w:w="1240" w:type="dxa"/>
            <w:vAlign w:val="bottom"/>
            <w:tcBorders>
              <w:bottom w:val="single" w:sz="8" w:color="58585A"/>
            </w:tcBorders>
            <w:shd w:val="clear" w:color="auto" w:fill="E7E7E8"/>
          </w:tcPr>
          <w:p>
            <w:pPr>
              <w:ind w:left="8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shd w:val="clear" w:color="auto" w:fill="E7E7E8"/>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7E7E8"/>
          </w:tcPr>
          <w:p>
            <w:pPr>
              <w:jc w:val="right"/>
              <w:ind w:right="138"/>
              <w:spacing w:after="0"/>
              <w:rPr>
                <w:sz w:val="20"/>
                <w:szCs w:val="20"/>
                <w:color w:val="auto"/>
              </w:rPr>
            </w:pPr>
            <w:r>
              <w:rPr>
                <w:rFonts w:ascii="Arial" w:cs="Arial" w:eastAsia="Arial" w:hAnsi="Arial"/>
                <w:sz w:val="13"/>
                <w:szCs w:val="13"/>
                <w:color w:val="auto"/>
              </w:rPr>
              <w:t>1,357,080</w:t>
            </w:r>
          </w:p>
        </w:tc>
        <w:tc>
          <w:tcPr>
            <w:tcW w:w="940" w:type="dxa"/>
            <w:vAlign w:val="bottom"/>
            <w:tcBorders>
              <w:bottom w:val="single" w:sz="8" w:color="58585A"/>
            </w:tcBorders>
            <w:shd w:val="clear" w:color="auto" w:fill="E7E7E8"/>
          </w:tcPr>
          <w:p>
            <w:pPr>
              <w:jc w:val="right"/>
              <w:ind w:right="58"/>
              <w:spacing w:after="0"/>
              <w:rPr>
                <w:sz w:val="20"/>
                <w:szCs w:val="20"/>
                <w:color w:val="auto"/>
              </w:rPr>
            </w:pPr>
            <w:r>
              <w:rPr>
                <w:rFonts w:ascii="Arial" w:cs="Arial" w:eastAsia="Arial" w:hAnsi="Arial"/>
                <w:sz w:val="13"/>
                <w:szCs w:val="13"/>
                <w:color w:val="auto"/>
              </w:rPr>
              <w:t>2,714,160</w:t>
            </w:r>
          </w:p>
        </w:tc>
        <w:tc>
          <w:tcPr>
            <w:tcW w:w="980" w:type="dxa"/>
            <w:vAlign w:val="bottom"/>
            <w:tcBorders>
              <w:bottom w:val="single" w:sz="8" w:color="58585A"/>
            </w:tcBorders>
            <w:shd w:val="clear" w:color="auto" w:fill="E7E7E8"/>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7E7E8"/>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7E7E8"/>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7E7E8"/>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shd w:val="clear" w:color="auto" w:fill="E7E7E8"/>
          </w:tcPr>
          <w:p>
            <w:pPr>
              <w:jc w:val="right"/>
              <w:ind w:right="5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640" w:type="dxa"/>
            <w:vAlign w:val="bottom"/>
            <w:tcBorders>
              <w:bottom w:val="single" w:sz="8" w:color="58585A"/>
            </w:tcBorders>
            <w:shd w:val="clear" w:color="auto" w:fill="E7E7E8"/>
          </w:tcPr>
          <w:p>
            <w:pPr>
              <w:ind w:left="40"/>
              <w:spacing w:after="0" w:line="127" w:lineRule="exact"/>
              <w:rPr>
                <w:sz w:val="20"/>
                <w:szCs w:val="20"/>
                <w:color w:val="auto"/>
              </w:rPr>
            </w:pPr>
            <w:r>
              <w:rPr>
                <w:rFonts w:ascii="Arial" w:cs="Arial" w:eastAsia="Arial" w:hAnsi="Arial"/>
                <w:sz w:val="12"/>
                <w:szCs w:val="12"/>
                <w:b w:val="1"/>
                <w:bCs w:val="1"/>
                <w:color w:val="D61C5A"/>
              </w:rPr>
              <w:t>M.D., Ph.D.</w:t>
            </w:r>
          </w:p>
        </w:tc>
        <w:tc>
          <w:tcPr>
            <w:tcW w:w="100" w:type="dxa"/>
            <w:vAlign w:val="bottom"/>
            <w:tcBorders>
              <w:bottom w:val="single" w:sz="8" w:color="58585A"/>
            </w:tcBorders>
            <w:shd w:val="clear" w:color="auto" w:fill="E7E7E8"/>
          </w:tcPr>
          <w:p>
            <w:pPr>
              <w:spacing w:after="0"/>
              <w:rPr>
                <w:sz w:val="15"/>
                <w:szCs w:val="15"/>
                <w:color w:val="auto"/>
              </w:rPr>
            </w:pPr>
          </w:p>
        </w:tc>
        <w:tc>
          <w:tcPr>
            <w:tcW w:w="1240" w:type="dxa"/>
            <w:vAlign w:val="bottom"/>
            <w:tcBorders>
              <w:bottom w:val="single" w:sz="8" w:color="58585A"/>
            </w:tcBorders>
            <w:shd w:val="clear" w:color="auto" w:fill="E7E7E8"/>
          </w:tcPr>
          <w:p>
            <w:pPr>
              <w:ind w:left="300"/>
              <w:spacing w:after="0" w:line="182"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4</w:t>
            </w:r>
          </w:p>
        </w:tc>
        <w:tc>
          <w:tcPr>
            <w:tcW w:w="780" w:type="dxa"/>
            <w:vAlign w:val="bottom"/>
            <w:tcBorders>
              <w:bottom w:val="single" w:sz="8" w:color="58585A"/>
            </w:tcBorders>
            <w:shd w:val="clear" w:color="auto" w:fill="E7E7E8"/>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7E7E8"/>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7E7E8"/>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7E7E8"/>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7E7E8"/>
          </w:tcPr>
          <w:p>
            <w:pPr>
              <w:jc w:val="right"/>
              <w:ind w:right="100"/>
              <w:spacing w:after="0"/>
              <w:rPr>
                <w:sz w:val="20"/>
                <w:szCs w:val="20"/>
                <w:color w:val="auto"/>
              </w:rPr>
            </w:pPr>
            <w:r>
              <w:rPr>
                <w:rFonts w:ascii="Arial" w:cs="Arial" w:eastAsia="Arial" w:hAnsi="Arial"/>
                <w:sz w:val="13"/>
                <w:szCs w:val="13"/>
                <w:color w:val="auto"/>
              </w:rPr>
              <w:t>129,013</w:t>
            </w:r>
          </w:p>
        </w:tc>
        <w:tc>
          <w:tcPr>
            <w:tcW w:w="860" w:type="dxa"/>
            <w:vAlign w:val="bottom"/>
            <w:tcBorders>
              <w:bottom w:val="single" w:sz="8" w:color="58585A"/>
            </w:tcBorders>
            <w:shd w:val="clear" w:color="auto" w:fill="E7E7E8"/>
          </w:tcPr>
          <w:p>
            <w:pPr>
              <w:jc w:val="right"/>
              <w:ind w:right="99"/>
              <w:spacing w:after="0"/>
              <w:rPr>
                <w:sz w:val="20"/>
                <w:szCs w:val="20"/>
                <w:color w:val="auto"/>
              </w:rPr>
            </w:pPr>
            <w:r>
              <w:rPr>
                <w:rFonts w:ascii="Arial" w:cs="Arial" w:eastAsia="Arial" w:hAnsi="Arial"/>
                <w:sz w:val="13"/>
                <w:szCs w:val="13"/>
                <w:color w:val="auto"/>
              </w:rPr>
              <w:t>381.40</w:t>
            </w:r>
          </w:p>
        </w:tc>
        <w:tc>
          <w:tcPr>
            <w:tcW w:w="960" w:type="dxa"/>
            <w:vAlign w:val="bottom"/>
            <w:tcBorders>
              <w:bottom w:val="single" w:sz="8" w:color="58585A"/>
            </w:tcBorders>
            <w:shd w:val="clear" w:color="auto" w:fill="E7E7E8"/>
          </w:tcPr>
          <w:p>
            <w:pPr>
              <w:jc w:val="right"/>
              <w:ind w:right="179"/>
              <w:spacing w:after="0"/>
              <w:rPr>
                <w:sz w:val="20"/>
                <w:szCs w:val="20"/>
                <w:color w:val="auto"/>
              </w:rPr>
            </w:pPr>
            <w:r>
              <w:rPr>
                <w:rFonts w:ascii="Arial" w:cs="Arial" w:eastAsia="Arial" w:hAnsi="Arial"/>
                <w:sz w:val="13"/>
                <w:szCs w:val="13"/>
                <w:color w:val="auto"/>
              </w:rPr>
              <w:t>377.96</w:t>
            </w:r>
          </w:p>
        </w:tc>
        <w:tc>
          <w:tcPr>
            <w:tcW w:w="1020" w:type="dxa"/>
            <w:vAlign w:val="bottom"/>
            <w:tcBorders>
              <w:bottom w:val="single" w:sz="8" w:color="58585A"/>
            </w:tcBorders>
            <w:shd w:val="clear" w:color="auto" w:fill="E7E7E8"/>
          </w:tcPr>
          <w:p>
            <w:pPr>
              <w:jc w:val="right"/>
              <w:ind w:right="59"/>
              <w:spacing w:after="0"/>
              <w:rPr>
                <w:sz w:val="20"/>
                <w:szCs w:val="20"/>
                <w:color w:val="auto"/>
              </w:rPr>
            </w:pPr>
            <w:r>
              <w:rPr>
                <w:rFonts w:ascii="Arial" w:cs="Arial" w:eastAsia="Arial" w:hAnsi="Arial"/>
                <w:sz w:val="13"/>
                <w:szCs w:val="13"/>
                <w:color w:val="auto"/>
              </w:rPr>
              <w:t>21,339,913</w:t>
            </w: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58585A"/>
            </w:tcBorders>
          </w:tcPr>
          <w:p>
            <w:pPr>
              <w:ind w:left="8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340,000</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612,000</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1640" w:type="dxa"/>
            <w:vAlign w:val="bottom"/>
          </w:tcPr>
          <w:p>
            <w:pPr>
              <w:ind w:left="40"/>
              <w:spacing w:after="0"/>
              <w:rPr>
                <w:sz w:val="20"/>
                <w:szCs w:val="20"/>
                <w:color w:val="auto"/>
              </w:rPr>
            </w:pPr>
            <w:r>
              <w:rPr>
                <w:rFonts w:ascii="Arial" w:cs="Arial" w:eastAsia="Arial" w:hAnsi="Arial"/>
                <w:sz w:val="12"/>
                <w:szCs w:val="12"/>
                <w:b w:val="1"/>
                <w:bCs w:val="1"/>
                <w:color w:val="D61C5A"/>
              </w:rPr>
              <w:t>Robert E. Landry</w:t>
            </w:r>
          </w:p>
        </w:tc>
        <w:tc>
          <w:tcPr>
            <w:tcW w:w="100" w:type="dxa"/>
            <w:vAlign w:val="bottom"/>
          </w:tcPr>
          <w:p>
            <w:pPr>
              <w:spacing w:after="0"/>
              <w:rPr>
                <w:sz w:val="15"/>
                <w:szCs w:val="15"/>
                <w:color w:val="auto"/>
              </w:rPr>
            </w:pPr>
          </w:p>
        </w:tc>
        <w:tc>
          <w:tcPr>
            <w:tcW w:w="1240" w:type="dxa"/>
            <w:vAlign w:val="bottom"/>
            <w:tcBorders>
              <w:bottom w:val="single" w:sz="8" w:color="58585A"/>
            </w:tcBorders>
          </w:tcPr>
          <w:p>
            <w:pPr>
              <w:ind w:left="300"/>
              <w:spacing w:after="0" w:line="178"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4</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20,000</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381.40</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377.96</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3,308,184</w:t>
            </w:r>
          </w:p>
        </w:tc>
        <w:tc>
          <w:tcPr>
            <w:tcW w:w="0" w:type="dxa"/>
            <w:vAlign w:val="bottom"/>
          </w:tcPr>
          <w:p>
            <w:pPr>
              <w:spacing w:after="0"/>
              <w:rPr>
                <w:sz w:val="1"/>
                <w:szCs w:val="1"/>
                <w:color w:val="auto"/>
              </w:rPr>
            </w:pPr>
          </w:p>
        </w:tc>
      </w:tr>
      <w:tr>
        <w:trPr>
          <w:trHeight w:val="175"/>
        </w:trPr>
        <w:tc>
          <w:tcPr>
            <w:tcW w:w="1640" w:type="dxa"/>
            <w:vAlign w:val="bottom"/>
            <w:tcBorders>
              <w:bottom w:val="single" w:sz="8" w:color="58585A"/>
            </w:tcBorders>
          </w:tcPr>
          <w:p>
            <w:pPr>
              <w:spacing w:after="0"/>
              <w:rPr>
                <w:sz w:val="15"/>
                <w:szCs w:val="15"/>
                <w:color w:val="auto"/>
              </w:rPr>
            </w:pPr>
          </w:p>
        </w:tc>
        <w:tc>
          <w:tcPr>
            <w:tcW w:w="1340" w:type="dxa"/>
            <w:vAlign w:val="bottom"/>
            <w:tcBorders>
              <w:bottom w:val="single" w:sz="8" w:color="58585A"/>
            </w:tcBorders>
            <w:gridSpan w:val="2"/>
          </w:tcPr>
          <w:p>
            <w:pPr>
              <w:ind w:left="400"/>
              <w:spacing w:after="0" w:line="175"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5</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12,500</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4,767,500</w:t>
            </w:r>
          </w:p>
        </w:tc>
        <w:tc>
          <w:tcPr>
            <w:tcW w:w="0" w:type="dxa"/>
            <w:vAlign w:val="bottom"/>
          </w:tcPr>
          <w:p>
            <w:pPr>
              <w:spacing w:after="0"/>
              <w:rPr>
                <w:sz w:val="1"/>
                <w:szCs w:val="1"/>
                <w:color w:val="auto"/>
              </w:rPr>
            </w:pPr>
          </w:p>
        </w:tc>
      </w:tr>
      <w:tr>
        <w:trPr>
          <w:trHeight w:val="173"/>
        </w:trPr>
        <w:tc>
          <w:tcPr>
            <w:tcW w:w="1640" w:type="dxa"/>
            <w:vAlign w:val="bottom"/>
            <w:tcBorders>
              <w:bottom w:val="single" w:sz="8" w:color="E7E7E8"/>
            </w:tcBorders>
            <w:vMerge w:val="restart"/>
            <w:shd w:val="clear" w:color="auto" w:fill="E7E7E8"/>
          </w:tcPr>
          <w:p>
            <w:pPr>
              <w:ind w:left="40"/>
              <w:spacing w:after="0"/>
              <w:rPr>
                <w:sz w:val="20"/>
                <w:szCs w:val="20"/>
                <w:color w:val="auto"/>
              </w:rPr>
            </w:pPr>
            <w:r>
              <w:rPr>
                <w:rFonts w:ascii="Arial" w:cs="Arial" w:eastAsia="Arial" w:hAnsi="Arial"/>
                <w:sz w:val="12"/>
                <w:szCs w:val="12"/>
                <w:b w:val="1"/>
                <w:bCs w:val="1"/>
                <w:color w:val="D61C5A"/>
              </w:rPr>
              <w:t>Daniel P. Van Plew</w:t>
            </w:r>
          </w:p>
        </w:tc>
        <w:tc>
          <w:tcPr>
            <w:tcW w:w="100" w:type="dxa"/>
            <w:vAlign w:val="bottom"/>
            <w:tcBorders>
              <w:bottom w:val="single" w:sz="8" w:color="E7E7E8"/>
            </w:tcBorders>
            <w:shd w:val="clear" w:color="auto" w:fill="E7E7E8"/>
          </w:tcPr>
          <w:p>
            <w:pPr>
              <w:spacing w:after="0"/>
              <w:rPr>
                <w:sz w:val="15"/>
                <w:szCs w:val="15"/>
                <w:color w:val="auto"/>
              </w:rPr>
            </w:pPr>
          </w:p>
        </w:tc>
        <w:tc>
          <w:tcPr>
            <w:tcW w:w="1240" w:type="dxa"/>
            <w:vAlign w:val="bottom"/>
            <w:tcBorders>
              <w:bottom w:val="single" w:sz="8" w:color="58585A"/>
            </w:tcBorders>
            <w:shd w:val="clear" w:color="auto" w:fill="E7E7E8"/>
          </w:tcPr>
          <w:p>
            <w:pPr>
              <w:ind w:left="8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shd w:val="clear" w:color="auto" w:fill="E7E7E8"/>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7E7E8"/>
          </w:tcPr>
          <w:p>
            <w:pPr>
              <w:jc w:val="right"/>
              <w:ind w:right="138"/>
              <w:spacing w:after="0"/>
              <w:rPr>
                <w:sz w:val="20"/>
                <w:szCs w:val="20"/>
                <w:color w:val="auto"/>
              </w:rPr>
            </w:pPr>
            <w:r>
              <w:rPr>
                <w:rFonts w:ascii="Arial" w:cs="Arial" w:eastAsia="Arial" w:hAnsi="Arial"/>
                <w:sz w:val="13"/>
                <w:szCs w:val="13"/>
                <w:color w:val="auto"/>
              </w:rPr>
              <w:t>396,000</w:t>
            </w:r>
          </w:p>
        </w:tc>
        <w:tc>
          <w:tcPr>
            <w:tcW w:w="940" w:type="dxa"/>
            <w:vAlign w:val="bottom"/>
            <w:tcBorders>
              <w:bottom w:val="single" w:sz="8" w:color="58585A"/>
            </w:tcBorders>
            <w:shd w:val="clear" w:color="auto" w:fill="E7E7E8"/>
          </w:tcPr>
          <w:p>
            <w:pPr>
              <w:jc w:val="right"/>
              <w:ind w:right="58"/>
              <w:spacing w:after="0"/>
              <w:rPr>
                <w:sz w:val="20"/>
                <w:szCs w:val="20"/>
                <w:color w:val="auto"/>
              </w:rPr>
            </w:pPr>
            <w:r>
              <w:rPr>
                <w:rFonts w:ascii="Arial" w:cs="Arial" w:eastAsia="Arial" w:hAnsi="Arial"/>
                <w:sz w:val="13"/>
                <w:szCs w:val="13"/>
                <w:color w:val="auto"/>
              </w:rPr>
              <w:t>712,800</w:t>
            </w:r>
          </w:p>
        </w:tc>
        <w:tc>
          <w:tcPr>
            <w:tcW w:w="980" w:type="dxa"/>
            <w:vAlign w:val="bottom"/>
            <w:tcBorders>
              <w:bottom w:val="single" w:sz="8" w:color="58585A"/>
            </w:tcBorders>
            <w:shd w:val="clear" w:color="auto" w:fill="E7E7E8"/>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7E7E8"/>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7E7E8"/>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7E7E8"/>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shd w:val="clear" w:color="auto" w:fill="E7E7E8"/>
          </w:tcPr>
          <w:p>
            <w:pPr>
              <w:jc w:val="right"/>
              <w:ind w:right="5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6"/>
        </w:trPr>
        <w:tc>
          <w:tcPr>
            <w:tcW w:w="1640" w:type="dxa"/>
            <w:vAlign w:val="bottom"/>
            <w:vMerge w:val="continue"/>
            <w:shd w:val="clear" w:color="auto" w:fill="E7E7E8"/>
          </w:tcPr>
          <w:p>
            <w:pPr>
              <w:spacing w:after="0"/>
              <w:rPr>
                <w:sz w:val="4"/>
                <w:szCs w:val="4"/>
                <w:color w:val="auto"/>
              </w:rPr>
            </w:pPr>
          </w:p>
        </w:tc>
        <w:tc>
          <w:tcPr>
            <w:tcW w:w="100" w:type="dxa"/>
            <w:vAlign w:val="bottom"/>
            <w:shd w:val="clear" w:color="auto" w:fill="E7E7E8"/>
          </w:tcPr>
          <w:p>
            <w:pPr>
              <w:spacing w:after="0"/>
              <w:rPr>
                <w:sz w:val="4"/>
                <w:szCs w:val="4"/>
                <w:color w:val="auto"/>
              </w:rPr>
            </w:pPr>
          </w:p>
        </w:tc>
        <w:tc>
          <w:tcPr>
            <w:tcW w:w="1240" w:type="dxa"/>
            <w:vAlign w:val="bottom"/>
            <w:vMerge w:val="restart"/>
            <w:shd w:val="clear" w:color="auto" w:fill="E7E7E8"/>
          </w:tcPr>
          <w:p>
            <w:pPr>
              <w:ind w:left="300"/>
              <w:spacing w:after="0" w:line="177"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4</w:t>
            </w:r>
          </w:p>
        </w:tc>
        <w:tc>
          <w:tcPr>
            <w:tcW w:w="780" w:type="dxa"/>
            <w:vAlign w:val="bottom"/>
            <w:vMerge w:val="restart"/>
            <w:shd w:val="clear" w:color="auto" w:fill="E7E7E8"/>
          </w:tcPr>
          <w:p>
            <w:pPr>
              <w:ind w:left="2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7E7E8"/>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E7E7E8"/>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7E7E8"/>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7E7E8"/>
          </w:tcPr>
          <w:p>
            <w:pPr>
              <w:jc w:val="right"/>
              <w:ind w:right="100"/>
              <w:spacing w:after="0"/>
              <w:rPr>
                <w:sz w:val="20"/>
                <w:szCs w:val="20"/>
                <w:color w:val="auto"/>
              </w:rPr>
            </w:pPr>
            <w:r>
              <w:rPr>
                <w:rFonts w:ascii="Arial" w:cs="Arial" w:eastAsia="Arial" w:hAnsi="Arial"/>
                <w:sz w:val="13"/>
                <w:szCs w:val="13"/>
                <w:color w:val="auto"/>
              </w:rPr>
              <w:t>46,250</w:t>
            </w:r>
          </w:p>
        </w:tc>
        <w:tc>
          <w:tcPr>
            <w:tcW w:w="860" w:type="dxa"/>
            <w:vAlign w:val="bottom"/>
            <w:vMerge w:val="restart"/>
            <w:shd w:val="clear" w:color="auto" w:fill="E7E7E8"/>
          </w:tcPr>
          <w:p>
            <w:pPr>
              <w:jc w:val="right"/>
              <w:ind w:right="99"/>
              <w:spacing w:after="0"/>
              <w:rPr>
                <w:sz w:val="20"/>
                <w:szCs w:val="20"/>
                <w:color w:val="auto"/>
              </w:rPr>
            </w:pPr>
            <w:r>
              <w:rPr>
                <w:rFonts w:ascii="Arial" w:cs="Arial" w:eastAsia="Arial" w:hAnsi="Arial"/>
                <w:sz w:val="13"/>
                <w:szCs w:val="13"/>
                <w:color w:val="auto"/>
              </w:rPr>
              <w:t>381.40</w:t>
            </w:r>
          </w:p>
        </w:tc>
        <w:tc>
          <w:tcPr>
            <w:tcW w:w="960" w:type="dxa"/>
            <w:vAlign w:val="bottom"/>
            <w:vMerge w:val="restart"/>
            <w:shd w:val="clear" w:color="auto" w:fill="E7E7E8"/>
          </w:tcPr>
          <w:p>
            <w:pPr>
              <w:jc w:val="right"/>
              <w:ind w:right="179"/>
              <w:spacing w:after="0"/>
              <w:rPr>
                <w:sz w:val="20"/>
                <w:szCs w:val="20"/>
                <w:color w:val="auto"/>
              </w:rPr>
            </w:pPr>
            <w:r>
              <w:rPr>
                <w:rFonts w:ascii="Arial" w:cs="Arial" w:eastAsia="Arial" w:hAnsi="Arial"/>
                <w:sz w:val="13"/>
                <w:szCs w:val="13"/>
                <w:color w:val="auto"/>
              </w:rPr>
              <w:t>377.96</w:t>
            </w:r>
          </w:p>
        </w:tc>
        <w:tc>
          <w:tcPr>
            <w:tcW w:w="1020" w:type="dxa"/>
            <w:vAlign w:val="bottom"/>
            <w:vMerge w:val="restart"/>
            <w:shd w:val="clear" w:color="auto" w:fill="E7E7E8"/>
          </w:tcPr>
          <w:p>
            <w:pPr>
              <w:jc w:val="right"/>
              <w:ind w:right="59"/>
              <w:spacing w:after="0"/>
              <w:rPr>
                <w:sz w:val="20"/>
                <w:szCs w:val="20"/>
                <w:color w:val="auto"/>
              </w:rPr>
            </w:pPr>
            <w:r>
              <w:rPr>
                <w:rFonts w:ascii="Arial" w:cs="Arial" w:eastAsia="Arial" w:hAnsi="Arial"/>
                <w:sz w:val="13"/>
                <w:szCs w:val="13"/>
                <w:color w:val="auto"/>
              </w:rPr>
              <w:t>7,650,147</w:t>
            </w:r>
          </w:p>
        </w:tc>
        <w:tc>
          <w:tcPr>
            <w:tcW w:w="0" w:type="dxa"/>
            <w:vAlign w:val="bottom"/>
          </w:tcPr>
          <w:p>
            <w:pPr>
              <w:spacing w:after="0"/>
              <w:rPr>
                <w:sz w:val="1"/>
                <w:szCs w:val="1"/>
                <w:color w:val="auto"/>
              </w:rPr>
            </w:pPr>
          </w:p>
        </w:tc>
      </w:tr>
      <w:tr>
        <w:trPr>
          <w:trHeight w:val="120"/>
        </w:trPr>
        <w:tc>
          <w:tcPr>
            <w:tcW w:w="1640" w:type="dxa"/>
            <w:vAlign w:val="bottom"/>
            <w:tcBorders>
              <w:bottom w:val="single" w:sz="8" w:color="58585A"/>
            </w:tcBorders>
            <w:shd w:val="clear" w:color="auto" w:fill="E7E7E8"/>
          </w:tcPr>
          <w:p>
            <w:pPr>
              <w:spacing w:after="0"/>
              <w:rPr>
                <w:sz w:val="10"/>
                <w:szCs w:val="10"/>
                <w:color w:val="auto"/>
              </w:rPr>
            </w:pPr>
          </w:p>
        </w:tc>
        <w:tc>
          <w:tcPr>
            <w:tcW w:w="100" w:type="dxa"/>
            <w:vAlign w:val="bottom"/>
            <w:tcBorders>
              <w:bottom w:val="single" w:sz="8" w:color="58585A"/>
            </w:tcBorders>
            <w:shd w:val="clear" w:color="auto" w:fill="E7E7E8"/>
          </w:tcPr>
          <w:p>
            <w:pPr>
              <w:spacing w:after="0"/>
              <w:rPr>
                <w:sz w:val="10"/>
                <w:szCs w:val="10"/>
                <w:color w:val="auto"/>
              </w:rPr>
            </w:pPr>
          </w:p>
        </w:tc>
        <w:tc>
          <w:tcPr>
            <w:tcW w:w="1240" w:type="dxa"/>
            <w:vAlign w:val="bottom"/>
            <w:tcBorders>
              <w:bottom w:val="single" w:sz="8" w:color="58585A"/>
            </w:tcBorders>
            <w:vMerge w:val="continue"/>
            <w:shd w:val="clear" w:color="auto" w:fill="E7E7E8"/>
          </w:tcPr>
          <w:p>
            <w:pPr>
              <w:spacing w:after="0"/>
              <w:rPr>
                <w:sz w:val="10"/>
                <w:szCs w:val="10"/>
                <w:color w:val="auto"/>
              </w:rPr>
            </w:pPr>
          </w:p>
        </w:tc>
        <w:tc>
          <w:tcPr>
            <w:tcW w:w="780" w:type="dxa"/>
            <w:vAlign w:val="bottom"/>
            <w:tcBorders>
              <w:bottom w:val="single" w:sz="8" w:color="58585A"/>
            </w:tcBorders>
            <w:vMerge w:val="continue"/>
            <w:shd w:val="clear" w:color="auto" w:fill="E7E7E8"/>
          </w:tcPr>
          <w:p>
            <w:pPr>
              <w:spacing w:after="0"/>
              <w:rPr>
                <w:sz w:val="10"/>
                <w:szCs w:val="10"/>
                <w:color w:val="auto"/>
              </w:rPr>
            </w:pPr>
          </w:p>
        </w:tc>
        <w:tc>
          <w:tcPr>
            <w:tcW w:w="960" w:type="dxa"/>
            <w:vAlign w:val="bottom"/>
            <w:tcBorders>
              <w:bottom w:val="single" w:sz="8" w:color="58585A"/>
            </w:tcBorders>
            <w:vMerge w:val="continue"/>
            <w:shd w:val="clear" w:color="auto" w:fill="E7E7E8"/>
          </w:tcPr>
          <w:p>
            <w:pPr>
              <w:spacing w:after="0"/>
              <w:rPr>
                <w:sz w:val="10"/>
                <w:szCs w:val="10"/>
                <w:color w:val="auto"/>
              </w:rPr>
            </w:pPr>
          </w:p>
        </w:tc>
        <w:tc>
          <w:tcPr>
            <w:tcW w:w="940" w:type="dxa"/>
            <w:vAlign w:val="bottom"/>
            <w:tcBorders>
              <w:bottom w:val="single" w:sz="8" w:color="58585A"/>
            </w:tcBorders>
            <w:vMerge w:val="continue"/>
            <w:shd w:val="clear" w:color="auto" w:fill="E7E7E8"/>
          </w:tcPr>
          <w:p>
            <w:pPr>
              <w:spacing w:after="0"/>
              <w:rPr>
                <w:sz w:val="10"/>
                <w:szCs w:val="10"/>
                <w:color w:val="auto"/>
              </w:rPr>
            </w:pPr>
          </w:p>
        </w:tc>
        <w:tc>
          <w:tcPr>
            <w:tcW w:w="980" w:type="dxa"/>
            <w:vAlign w:val="bottom"/>
            <w:tcBorders>
              <w:bottom w:val="single" w:sz="8" w:color="58585A"/>
            </w:tcBorders>
            <w:vMerge w:val="continue"/>
            <w:shd w:val="clear" w:color="auto" w:fill="E7E7E8"/>
          </w:tcPr>
          <w:p>
            <w:pPr>
              <w:spacing w:after="0"/>
              <w:rPr>
                <w:sz w:val="10"/>
                <w:szCs w:val="10"/>
                <w:color w:val="auto"/>
              </w:rPr>
            </w:pPr>
          </w:p>
        </w:tc>
        <w:tc>
          <w:tcPr>
            <w:tcW w:w="920" w:type="dxa"/>
            <w:vAlign w:val="bottom"/>
            <w:tcBorders>
              <w:bottom w:val="single" w:sz="8" w:color="58585A"/>
            </w:tcBorders>
            <w:vMerge w:val="continue"/>
            <w:shd w:val="clear" w:color="auto" w:fill="E7E7E8"/>
          </w:tcPr>
          <w:p>
            <w:pPr>
              <w:spacing w:after="0"/>
              <w:rPr>
                <w:sz w:val="10"/>
                <w:szCs w:val="10"/>
                <w:color w:val="auto"/>
              </w:rPr>
            </w:pPr>
          </w:p>
        </w:tc>
        <w:tc>
          <w:tcPr>
            <w:tcW w:w="860" w:type="dxa"/>
            <w:vAlign w:val="bottom"/>
            <w:tcBorders>
              <w:bottom w:val="single" w:sz="8" w:color="58585A"/>
            </w:tcBorders>
            <w:vMerge w:val="continue"/>
            <w:shd w:val="clear" w:color="auto" w:fill="E7E7E8"/>
          </w:tcPr>
          <w:p>
            <w:pPr>
              <w:spacing w:after="0"/>
              <w:rPr>
                <w:sz w:val="10"/>
                <w:szCs w:val="10"/>
                <w:color w:val="auto"/>
              </w:rPr>
            </w:pPr>
          </w:p>
        </w:tc>
        <w:tc>
          <w:tcPr>
            <w:tcW w:w="960" w:type="dxa"/>
            <w:vAlign w:val="bottom"/>
            <w:tcBorders>
              <w:bottom w:val="single" w:sz="8" w:color="58585A"/>
            </w:tcBorders>
            <w:vMerge w:val="continue"/>
            <w:shd w:val="clear" w:color="auto" w:fill="E7E7E8"/>
          </w:tcPr>
          <w:p>
            <w:pPr>
              <w:spacing w:after="0"/>
              <w:rPr>
                <w:sz w:val="10"/>
                <w:szCs w:val="10"/>
                <w:color w:val="auto"/>
              </w:rPr>
            </w:pPr>
          </w:p>
        </w:tc>
        <w:tc>
          <w:tcPr>
            <w:tcW w:w="1020" w:type="dxa"/>
            <w:vAlign w:val="bottom"/>
            <w:tcBorders>
              <w:bottom w:val="single" w:sz="8" w:color="58585A"/>
            </w:tcBorders>
            <w:vMerge w:val="continue"/>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58585A"/>
            </w:tcBorders>
          </w:tcPr>
          <w:p>
            <w:pPr>
              <w:ind w:left="8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237,500</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427,500</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58585A"/>
            </w:tcBorders>
          </w:tcPr>
          <w:p>
            <w:pPr>
              <w:ind w:left="300"/>
              <w:spacing w:after="0" w:line="177"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4</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10,000</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381.40</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377.96</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1,654,092</w:t>
            </w:r>
          </w:p>
        </w:tc>
        <w:tc>
          <w:tcPr>
            <w:tcW w:w="0" w:type="dxa"/>
            <w:vAlign w:val="bottom"/>
          </w:tcPr>
          <w:p>
            <w:pPr>
              <w:spacing w:after="0"/>
              <w:rPr>
                <w:sz w:val="1"/>
                <w:szCs w:val="1"/>
                <w:color w:val="auto"/>
              </w:rPr>
            </w:pPr>
          </w:p>
        </w:tc>
      </w:tr>
      <w:tr>
        <w:trPr>
          <w:trHeight w:val="175"/>
        </w:trPr>
        <w:tc>
          <w:tcPr>
            <w:tcW w:w="1640" w:type="dxa"/>
            <w:vAlign w:val="bottom"/>
          </w:tcPr>
          <w:p>
            <w:pPr>
              <w:ind w:left="40"/>
              <w:spacing w:after="0"/>
              <w:rPr>
                <w:sz w:val="20"/>
                <w:szCs w:val="20"/>
                <w:color w:val="auto"/>
              </w:rPr>
            </w:pPr>
            <w:r>
              <w:rPr>
                <w:rFonts w:ascii="Arial" w:cs="Arial" w:eastAsia="Arial" w:hAnsi="Arial"/>
                <w:sz w:val="12"/>
                <w:szCs w:val="12"/>
                <w:b w:val="1"/>
                <w:bCs w:val="1"/>
                <w:color w:val="D61C5A"/>
              </w:rPr>
              <w:t>Marion McCourt</w:t>
            </w:r>
          </w:p>
        </w:tc>
        <w:tc>
          <w:tcPr>
            <w:tcW w:w="100" w:type="dxa"/>
            <w:vAlign w:val="bottom"/>
          </w:tcPr>
          <w:p>
            <w:pPr>
              <w:spacing w:after="0"/>
              <w:rPr>
                <w:sz w:val="15"/>
                <w:szCs w:val="15"/>
                <w:color w:val="auto"/>
              </w:rPr>
            </w:pPr>
          </w:p>
        </w:tc>
        <w:tc>
          <w:tcPr>
            <w:tcW w:w="1240" w:type="dxa"/>
            <w:vAlign w:val="bottom"/>
            <w:tcBorders>
              <w:bottom w:val="single" w:sz="8" w:color="58585A"/>
            </w:tcBorders>
          </w:tcPr>
          <w:p>
            <w:pPr>
              <w:ind w:left="300"/>
              <w:spacing w:after="0" w:line="175" w:lineRule="exact"/>
              <w:rPr>
                <w:sz w:val="20"/>
                <w:szCs w:val="20"/>
                <w:color w:val="auto"/>
              </w:rPr>
            </w:pPr>
            <w:r>
              <w:rPr>
                <w:rFonts w:ascii="Arial" w:cs="Arial" w:eastAsia="Arial" w:hAnsi="Arial"/>
                <w:sz w:val="13"/>
                <w:szCs w:val="13"/>
                <w:color w:val="auto"/>
              </w:rPr>
              <w:t>12/12/2018</w:t>
            </w:r>
            <w:r>
              <w:rPr>
                <w:rFonts w:ascii="Arial" w:cs="Arial" w:eastAsia="Arial" w:hAnsi="Arial"/>
                <w:sz w:val="20"/>
                <w:szCs w:val="20"/>
                <w:color w:val="auto"/>
                <w:vertAlign w:val="superscript"/>
              </w:rPr>
              <w:t>5</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10,000</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3,814,000</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58585A"/>
            </w:tcBorders>
          </w:tcPr>
          <w:p>
            <w:pPr>
              <w:jc w:val="right"/>
              <w:ind w:right="118"/>
              <w:spacing w:after="0" w:line="175" w:lineRule="exact"/>
              <w:rPr>
                <w:sz w:val="20"/>
                <w:szCs w:val="20"/>
                <w:color w:val="auto"/>
              </w:rPr>
            </w:pPr>
            <w:r>
              <w:rPr>
                <w:rFonts w:ascii="Arial" w:cs="Arial" w:eastAsia="Arial" w:hAnsi="Arial"/>
                <w:sz w:val="13"/>
                <w:szCs w:val="13"/>
                <w:color w:val="auto"/>
              </w:rPr>
              <w:t>2/12/2018</w:t>
            </w:r>
            <w:r>
              <w:rPr>
                <w:rFonts w:ascii="Arial" w:cs="Arial" w:eastAsia="Arial" w:hAnsi="Arial"/>
                <w:sz w:val="20"/>
                <w:szCs w:val="20"/>
                <w:color w:val="auto"/>
                <w:vertAlign w:val="superscript"/>
              </w:rPr>
              <w:t>4,6</w:t>
            </w:r>
          </w:p>
        </w:tc>
        <w:tc>
          <w:tcPr>
            <w:tcW w:w="780" w:type="dxa"/>
            <w:vAlign w:val="bottom"/>
            <w:tcBorders>
              <w:bottom w:val="single" w:sz="8" w:color="58585A"/>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ind w:right="119"/>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00"/>
              <w:spacing w:after="0"/>
              <w:rPr>
                <w:sz w:val="20"/>
                <w:szCs w:val="20"/>
                <w:color w:val="auto"/>
              </w:rPr>
            </w:pPr>
            <w:r>
              <w:rPr>
                <w:rFonts w:ascii="Arial" w:cs="Arial" w:eastAsia="Arial" w:hAnsi="Arial"/>
                <w:sz w:val="13"/>
                <w:szCs w:val="13"/>
                <w:color w:val="auto"/>
              </w:rPr>
              <w:t>20,000</w:t>
            </w:r>
          </w:p>
        </w:tc>
        <w:tc>
          <w:tcPr>
            <w:tcW w:w="860" w:type="dxa"/>
            <w:vAlign w:val="bottom"/>
            <w:tcBorders>
              <w:bottom w:val="single" w:sz="8" w:color="58585A"/>
            </w:tcBorders>
          </w:tcPr>
          <w:p>
            <w:pPr>
              <w:jc w:val="right"/>
              <w:ind w:right="99"/>
              <w:spacing w:after="0"/>
              <w:rPr>
                <w:sz w:val="20"/>
                <w:szCs w:val="20"/>
                <w:color w:val="auto"/>
              </w:rPr>
            </w:pPr>
            <w:r>
              <w:rPr>
                <w:rFonts w:ascii="Arial" w:cs="Arial" w:eastAsia="Arial" w:hAnsi="Arial"/>
                <w:sz w:val="13"/>
                <w:szCs w:val="13"/>
                <w:color w:val="auto"/>
              </w:rPr>
              <w:t>342.93</w:t>
            </w:r>
          </w:p>
        </w:tc>
        <w:tc>
          <w:tcPr>
            <w:tcW w:w="960" w:type="dxa"/>
            <w:vAlign w:val="bottom"/>
            <w:tcBorders>
              <w:bottom w:val="single" w:sz="8" w:color="58585A"/>
            </w:tcBorders>
          </w:tcPr>
          <w:p>
            <w:pPr>
              <w:jc w:val="right"/>
              <w:ind w:right="179"/>
              <w:spacing w:after="0"/>
              <w:rPr>
                <w:sz w:val="20"/>
                <w:szCs w:val="20"/>
                <w:color w:val="auto"/>
              </w:rPr>
            </w:pPr>
            <w:r>
              <w:rPr>
                <w:rFonts w:ascii="Arial" w:cs="Arial" w:eastAsia="Arial" w:hAnsi="Arial"/>
                <w:sz w:val="13"/>
                <w:szCs w:val="13"/>
                <w:color w:val="auto"/>
              </w:rPr>
              <w:t>342.67</w:t>
            </w:r>
          </w:p>
        </w:tc>
        <w:tc>
          <w:tcPr>
            <w:tcW w:w="10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3,115,784</w:t>
            </w:r>
          </w:p>
        </w:tc>
        <w:tc>
          <w:tcPr>
            <w:tcW w:w="0" w:type="dxa"/>
            <w:vAlign w:val="bottom"/>
          </w:tcPr>
          <w:p>
            <w:pPr>
              <w:spacing w:after="0"/>
              <w:rPr>
                <w:sz w:val="1"/>
                <w:szCs w:val="1"/>
                <w:color w:val="auto"/>
              </w:rPr>
            </w:pPr>
          </w:p>
        </w:tc>
      </w:tr>
      <w:tr>
        <w:trPr>
          <w:trHeight w:val="175"/>
        </w:trPr>
        <w:tc>
          <w:tcPr>
            <w:tcW w:w="1640" w:type="dxa"/>
            <w:vAlign w:val="bottom"/>
            <w:tcBorders>
              <w:bottom w:val="single" w:sz="8" w:color="205BA8"/>
            </w:tcBorders>
          </w:tcPr>
          <w:p>
            <w:pPr>
              <w:spacing w:after="0"/>
              <w:rPr>
                <w:sz w:val="15"/>
                <w:szCs w:val="15"/>
                <w:color w:val="auto"/>
              </w:rPr>
            </w:pPr>
          </w:p>
        </w:tc>
        <w:tc>
          <w:tcPr>
            <w:tcW w:w="1340" w:type="dxa"/>
            <w:vAlign w:val="bottom"/>
            <w:tcBorders>
              <w:bottom w:val="single" w:sz="8" w:color="205BA8"/>
            </w:tcBorders>
            <w:gridSpan w:val="2"/>
          </w:tcPr>
          <w:p>
            <w:pPr>
              <w:jc w:val="right"/>
              <w:ind w:right="118"/>
              <w:spacing w:after="0" w:line="175" w:lineRule="exact"/>
              <w:rPr>
                <w:sz w:val="20"/>
                <w:szCs w:val="20"/>
                <w:color w:val="auto"/>
              </w:rPr>
            </w:pPr>
            <w:r>
              <w:rPr>
                <w:rFonts w:ascii="Arial" w:cs="Arial" w:eastAsia="Arial" w:hAnsi="Arial"/>
                <w:sz w:val="13"/>
                <w:szCs w:val="13"/>
                <w:color w:val="auto"/>
              </w:rPr>
              <w:t>2/12/2018</w:t>
            </w:r>
            <w:r>
              <w:rPr>
                <w:rFonts w:ascii="Arial" w:cs="Arial" w:eastAsia="Arial" w:hAnsi="Arial"/>
                <w:sz w:val="20"/>
                <w:szCs w:val="20"/>
                <w:color w:val="auto"/>
                <w:vertAlign w:val="superscript"/>
              </w:rPr>
              <w:t>5,6</w:t>
            </w:r>
          </w:p>
        </w:tc>
        <w:tc>
          <w:tcPr>
            <w:tcW w:w="780" w:type="dxa"/>
            <w:vAlign w:val="bottom"/>
            <w:tcBorders>
              <w:bottom w:val="single" w:sz="8" w:color="205BA8"/>
            </w:tcBorders>
          </w:tcPr>
          <w:p>
            <w:pPr>
              <w:ind w:left="2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205BA8"/>
            </w:tcBorders>
          </w:tcPr>
          <w:p>
            <w:pPr>
              <w:jc w:val="right"/>
              <w:ind w:right="13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05BA8"/>
            </w:tcBorders>
          </w:tcPr>
          <w:p>
            <w:pPr>
              <w:jc w:val="right"/>
              <w:ind w:right="5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205BA8"/>
            </w:tcBorders>
          </w:tcPr>
          <w:p>
            <w:pPr>
              <w:jc w:val="right"/>
              <w:ind w:right="119"/>
              <w:spacing w:after="0"/>
              <w:rPr>
                <w:sz w:val="20"/>
                <w:szCs w:val="20"/>
                <w:color w:val="auto"/>
              </w:rPr>
            </w:pPr>
            <w:r>
              <w:rPr>
                <w:rFonts w:ascii="Arial" w:cs="Arial" w:eastAsia="Arial" w:hAnsi="Arial"/>
                <w:sz w:val="13"/>
                <w:szCs w:val="13"/>
                <w:color w:val="auto"/>
              </w:rPr>
              <w:t>2,500</w:t>
            </w:r>
          </w:p>
        </w:tc>
        <w:tc>
          <w:tcPr>
            <w:tcW w:w="920" w:type="dxa"/>
            <w:vAlign w:val="bottom"/>
            <w:tcBorders>
              <w:bottom w:val="single" w:sz="8" w:color="205BA8"/>
            </w:tcBorders>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05BA8"/>
            </w:tcBorders>
          </w:tcPr>
          <w:p>
            <w:pPr>
              <w:jc w:val="right"/>
              <w:ind w:right="9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205BA8"/>
            </w:tcBorders>
          </w:tcPr>
          <w:p>
            <w:pPr>
              <w:jc w:val="right"/>
              <w:ind w:right="17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205BA8"/>
            </w:tcBorders>
          </w:tcPr>
          <w:p>
            <w:pPr>
              <w:jc w:val="right"/>
              <w:ind w:right="59"/>
              <w:spacing w:after="0"/>
              <w:rPr>
                <w:sz w:val="20"/>
                <w:szCs w:val="20"/>
                <w:color w:val="auto"/>
              </w:rPr>
            </w:pPr>
            <w:r>
              <w:rPr>
                <w:rFonts w:ascii="Arial" w:cs="Arial" w:eastAsia="Arial" w:hAnsi="Arial"/>
                <w:sz w:val="13"/>
                <w:szCs w:val="13"/>
                <w:color w:val="auto"/>
              </w:rPr>
              <w:t>857,325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right="580" w:hanging="203"/>
        <w:spacing w:after="0" w:line="239" w:lineRule="auto"/>
        <w:tabs>
          <w:tab w:leader="none" w:pos="720" w:val="left"/>
        </w:tabs>
        <w:numPr>
          <w:ilvl w:val="0"/>
          <w:numId w:val="104"/>
        </w:numPr>
        <w:rPr>
          <w:rFonts w:ascii="Arial" w:cs="Arial" w:eastAsia="Arial" w:hAnsi="Arial"/>
          <w:sz w:val="14"/>
          <w:szCs w:val="14"/>
          <w:b w:val="1"/>
          <w:bCs w:val="1"/>
          <w:color w:val="205BA8"/>
        </w:rPr>
      </w:pPr>
      <w:r>
        <w:rPr>
          <w:rFonts w:ascii="Arial" w:cs="Arial" w:eastAsia="Arial" w:hAnsi="Arial"/>
          <w:sz w:val="14"/>
          <w:szCs w:val="14"/>
          <w:color w:val="auto"/>
        </w:rPr>
        <w:t>Cash incentive awards under the Regeneron Pharmaceuticals, Inc. Cash Incentive Bonus Plan. The actual cash incentive awards earned in respect of 2018 and paid out in January 2019 are reported as “Non-Equity Incentive Plan Compensation” in the Summary Compensation Table above.</w:t>
      </w:r>
    </w:p>
    <w:p>
      <w:pPr>
        <w:spacing w:after="0" w:line="43" w:lineRule="exact"/>
        <w:rPr>
          <w:sz w:val="20"/>
          <w:szCs w:val="20"/>
          <w:color w:val="auto"/>
        </w:rPr>
      </w:pPr>
    </w:p>
    <w:p>
      <w:pPr>
        <w:ind w:left="720" w:right="580" w:hanging="203"/>
        <w:spacing w:after="0" w:line="239" w:lineRule="auto"/>
        <w:tabs>
          <w:tab w:leader="none" w:pos="720" w:val="left"/>
        </w:tabs>
        <w:numPr>
          <w:ilvl w:val="0"/>
          <w:numId w:val="105"/>
        </w:numPr>
        <w:rPr>
          <w:rFonts w:ascii="Arial" w:cs="Arial" w:eastAsia="Arial" w:hAnsi="Arial"/>
          <w:sz w:val="14"/>
          <w:szCs w:val="14"/>
          <w:b w:val="1"/>
          <w:bCs w:val="1"/>
          <w:color w:val="205BA8"/>
        </w:rPr>
      </w:pPr>
      <w:r>
        <w:rPr>
          <w:rFonts w:ascii="Arial" w:cs="Arial" w:eastAsia="Arial" w:hAnsi="Arial"/>
          <w:sz w:val="14"/>
          <w:szCs w:val="14"/>
          <w:color w:val="auto"/>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43" w:lineRule="exact"/>
        <w:rPr>
          <w:sz w:val="20"/>
          <w:szCs w:val="20"/>
          <w:color w:val="auto"/>
        </w:rPr>
      </w:pPr>
    </w:p>
    <w:p>
      <w:pPr>
        <w:jc w:val="both"/>
        <w:ind w:left="720" w:right="720" w:hanging="203"/>
        <w:spacing w:after="0" w:line="237" w:lineRule="auto"/>
        <w:tabs>
          <w:tab w:leader="none" w:pos="720" w:val="left"/>
        </w:tabs>
        <w:numPr>
          <w:ilvl w:val="0"/>
          <w:numId w:val="106"/>
        </w:numPr>
        <w:rPr>
          <w:rFonts w:ascii="Arial" w:cs="Arial" w:eastAsia="Arial" w:hAnsi="Arial"/>
          <w:sz w:val="14"/>
          <w:szCs w:val="14"/>
          <w:b w:val="1"/>
          <w:bCs w:val="1"/>
          <w:color w:val="205BA8"/>
        </w:rPr>
      </w:pPr>
      <w:r>
        <w:rPr>
          <w:rFonts w:ascii="Arial" w:cs="Arial" w:eastAsia="Arial" w:hAnsi="Arial"/>
          <w:sz w:val="14"/>
          <w:szCs w:val="14"/>
          <w:color w:val="auto"/>
        </w:rPr>
        <w:t>The amounts in this column represent the grant date fair value of the awards made pursuant to the Amended and Restated Regeneron Pharmaceuticals, Inc. 2014 Long-Term Incentive Plan. The assumptions used in the calculation of these amounts are included in Note 14 to the Company’s audited financial statements for the fiscal year ended December 31, 2018 included in the 2018 Annual Report.</w:t>
      </w:r>
    </w:p>
    <w:p>
      <w:pPr>
        <w:spacing w:after="0" w:line="43" w:lineRule="exact"/>
        <w:rPr>
          <w:sz w:val="20"/>
          <w:szCs w:val="20"/>
          <w:color w:val="auto"/>
        </w:rPr>
      </w:pPr>
    </w:p>
    <w:p>
      <w:pPr>
        <w:ind w:left="720" w:right="680" w:hanging="203"/>
        <w:spacing w:after="0" w:line="239" w:lineRule="auto"/>
        <w:tabs>
          <w:tab w:leader="none" w:pos="720" w:val="left"/>
        </w:tabs>
        <w:numPr>
          <w:ilvl w:val="0"/>
          <w:numId w:val="107"/>
        </w:numPr>
        <w:rPr>
          <w:rFonts w:ascii="Arial" w:cs="Arial" w:eastAsia="Arial" w:hAnsi="Arial"/>
          <w:sz w:val="14"/>
          <w:szCs w:val="14"/>
          <w:b w:val="1"/>
          <w:bCs w:val="1"/>
          <w:color w:val="205BA8"/>
        </w:rPr>
      </w:pPr>
      <w:r>
        <w:rPr>
          <w:rFonts w:ascii="Arial" w:cs="Arial" w:eastAsia="Arial" w:hAnsi="Arial"/>
          <w:sz w:val="14"/>
          <w:szCs w:val="14"/>
          <w:color w:val="auto"/>
        </w:rPr>
        <w:t>The NEO received a non-qualified stock option award that vests subject to continued employment at a rate of 25% per year over the first four years of the maximum ten-year option term.</w:t>
      </w:r>
    </w:p>
    <w:p>
      <w:pPr>
        <w:spacing w:after="0" w:line="43" w:lineRule="exact"/>
        <w:rPr>
          <w:sz w:val="20"/>
          <w:szCs w:val="20"/>
          <w:color w:val="auto"/>
        </w:rPr>
      </w:pPr>
    </w:p>
    <w:p>
      <w:pPr>
        <w:ind w:left="720" w:hanging="203"/>
        <w:spacing w:after="0"/>
        <w:tabs>
          <w:tab w:leader="none" w:pos="720" w:val="left"/>
        </w:tabs>
        <w:numPr>
          <w:ilvl w:val="0"/>
          <w:numId w:val="108"/>
        </w:numPr>
        <w:rPr>
          <w:rFonts w:ascii="Arial" w:cs="Arial" w:eastAsia="Arial" w:hAnsi="Arial"/>
          <w:sz w:val="14"/>
          <w:szCs w:val="14"/>
          <w:b w:val="1"/>
          <w:bCs w:val="1"/>
          <w:color w:val="205BA8"/>
        </w:rPr>
      </w:pPr>
      <w:r>
        <w:rPr>
          <w:rFonts w:ascii="Arial" w:cs="Arial" w:eastAsia="Arial" w:hAnsi="Arial"/>
          <w:sz w:val="14"/>
          <w:szCs w:val="14"/>
          <w:color w:val="auto"/>
        </w:rPr>
        <w:t>The NEO received a restricted stock award that vests 100% on the fifth anniversary of the date of grant, subject to the NEO’s continued employment.</w:t>
      </w:r>
    </w:p>
    <w:p>
      <w:pPr>
        <w:spacing w:after="0" w:line="30" w:lineRule="exact"/>
        <w:rPr>
          <w:rFonts w:ascii="Arial" w:cs="Arial" w:eastAsia="Arial" w:hAnsi="Arial"/>
          <w:sz w:val="14"/>
          <w:szCs w:val="14"/>
          <w:b w:val="1"/>
          <w:bCs w:val="1"/>
          <w:color w:val="205BA8"/>
        </w:rPr>
      </w:pPr>
    </w:p>
    <w:p>
      <w:pPr>
        <w:ind w:left="520"/>
        <w:spacing w:after="0"/>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6  </w:t>
      </w:r>
      <w:r>
        <w:rPr>
          <w:rFonts w:ascii="Arial" w:cs="Arial" w:eastAsia="Arial" w:hAnsi="Arial"/>
          <w:sz w:val="14"/>
          <w:szCs w:val="14"/>
          <w:color w:val="000000"/>
        </w:rPr>
        <w:t>Equity award granted in connection with commencement of the NEO’s employment.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79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2" w:name="page93"/>
    <w:bookmarkEnd w:id="92"/>
    <w:p>
      <w:pPr>
        <w:ind w:left="52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D61C5A"/>
        </w:rPr>
        <w:t>Outstanding Equity Awards at 2018 Fiscal Year-End</w:t>
      </w:r>
    </w:p>
    <w:p>
      <w:pPr>
        <w:spacing w:after="0" w:line="217" w:lineRule="exact"/>
        <w:rPr>
          <w:sz w:val="20"/>
          <w:szCs w:val="20"/>
          <w:color w:val="auto"/>
        </w:rPr>
      </w:pPr>
    </w:p>
    <w:p>
      <w:pPr>
        <w:ind w:left="520" w:right="520"/>
        <w:spacing w:after="0" w:line="229" w:lineRule="auto"/>
        <w:rPr>
          <w:sz w:val="20"/>
          <w:szCs w:val="20"/>
          <w:color w:val="auto"/>
        </w:rPr>
      </w:pPr>
      <w:r>
        <w:rPr>
          <w:rFonts w:ascii="Arial" w:cs="Arial" w:eastAsia="Arial" w:hAnsi="Arial"/>
          <w:sz w:val="15"/>
          <w:szCs w:val="15"/>
          <w:color w:val="auto"/>
        </w:rPr>
        <w:t>The following table and explanatory footnotes provide information regarding unexercised stock options and unvested restricted stock awards held by our NEOs as of December 31,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0" w:type="dxa"/>
            <w:vAlign w:val="bottom"/>
          </w:tcPr>
          <w:p>
            <w:pPr>
              <w:spacing w:after="0"/>
              <w:rPr>
                <w:sz w:val="12"/>
                <w:szCs w:val="12"/>
                <w:color w:val="auto"/>
              </w:rPr>
            </w:pPr>
          </w:p>
        </w:tc>
        <w:tc>
          <w:tcPr>
            <w:tcW w:w="2180" w:type="dxa"/>
            <w:vAlign w:val="bottom"/>
            <w:tcBorders>
              <w:top w:val="single" w:sz="8" w:color="205BA8"/>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A</w:t>
            </w:r>
          </w:p>
        </w:tc>
        <w:tc>
          <w:tcPr>
            <w:tcW w:w="100" w:type="dxa"/>
            <w:vAlign w:val="bottom"/>
            <w:tcBorders>
              <w:top w:val="single" w:sz="8" w:color="205BA8"/>
              <w:bottom w:val="single" w:sz="8" w:color="205BA8"/>
            </w:tcBorders>
          </w:tcPr>
          <w:p>
            <w:pPr>
              <w:spacing w:after="0"/>
              <w:rPr>
                <w:sz w:val="12"/>
                <w:szCs w:val="12"/>
                <w:color w:val="auto"/>
              </w:rPr>
            </w:pPr>
          </w:p>
        </w:tc>
        <w:tc>
          <w:tcPr>
            <w:tcW w:w="100" w:type="dxa"/>
            <w:vAlign w:val="bottom"/>
            <w:tcBorders>
              <w:top w:val="single" w:sz="8" w:color="205BA8"/>
              <w:bottom w:val="single" w:sz="8" w:color="205BA8"/>
            </w:tcBorders>
          </w:tcPr>
          <w:p>
            <w:pPr>
              <w:spacing w:after="0"/>
              <w:rPr>
                <w:sz w:val="12"/>
                <w:szCs w:val="12"/>
                <w:color w:val="auto"/>
              </w:rPr>
            </w:pPr>
          </w:p>
        </w:tc>
        <w:tc>
          <w:tcPr>
            <w:tcW w:w="720" w:type="dxa"/>
            <w:vAlign w:val="bottom"/>
            <w:tcBorders>
              <w:top w:val="single" w:sz="8" w:color="205BA8"/>
              <w:bottom w:val="single" w:sz="8" w:color="205BA8"/>
            </w:tcBorders>
            <w:gridSpan w:val="2"/>
          </w:tcPr>
          <w:p>
            <w:pPr>
              <w:jc w:val="center"/>
              <w:ind w:right="120"/>
              <w:spacing w:after="0"/>
              <w:rPr>
                <w:sz w:val="20"/>
                <w:szCs w:val="20"/>
                <w:color w:val="auto"/>
              </w:rPr>
            </w:pPr>
            <w:r>
              <w:rPr>
                <w:rFonts w:ascii="Arial" w:cs="Arial" w:eastAsia="Arial" w:hAnsi="Arial"/>
                <w:sz w:val="11"/>
                <w:szCs w:val="11"/>
                <w:b w:val="1"/>
                <w:bCs w:val="1"/>
                <w:color w:val="205BA8"/>
              </w:rPr>
              <w:t>B</w:t>
            </w:r>
          </w:p>
        </w:tc>
        <w:tc>
          <w:tcPr>
            <w:tcW w:w="220" w:type="dxa"/>
            <w:vAlign w:val="bottom"/>
            <w:tcBorders>
              <w:top w:val="single" w:sz="8" w:color="205BA8"/>
              <w:bottom w:val="single" w:sz="8" w:color="205BA8"/>
            </w:tcBorders>
          </w:tcPr>
          <w:p>
            <w:pPr>
              <w:spacing w:after="0"/>
              <w:rPr>
                <w:sz w:val="12"/>
                <w:szCs w:val="12"/>
                <w:color w:val="auto"/>
              </w:rPr>
            </w:pPr>
          </w:p>
        </w:tc>
        <w:tc>
          <w:tcPr>
            <w:tcW w:w="720" w:type="dxa"/>
            <w:vAlign w:val="bottom"/>
            <w:tcBorders>
              <w:top w:val="single" w:sz="8" w:color="205BA8"/>
              <w:bottom w:val="single" w:sz="8" w:color="205BA8"/>
            </w:tcBorders>
            <w:gridSpan w:val="2"/>
          </w:tcPr>
          <w:p>
            <w:pPr>
              <w:jc w:val="center"/>
              <w:ind w:right="120"/>
              <w:spacing w:after="0"/>
              <w:rPr>
                <w:sz w:val="20"/>
                <w:szCs w:val="20"/>
                <w:color w:val="auto"/>
              </w:rPr>
            </w:pPr>
            <w:r>
              <w:rPr>
                <w:rFonts w:ascii="Arial" w:cs="Arial" w:eastAsia="Arial" w:hAnsi="Arial"/>
                <w:sz w:val="11"/>
                <w:szCs w:val="11"/>
                <w:b w:val="1"/>
                <w:bCs w:val="1"/>
                <w:color w:val="205BA8"/>
              </w:rPr>
              <w:t>C</w:t>
            </w:r>
          </w:p>
        </w:tc>
        <w:tc>
          <w:tcPr>
            <w:tcW w:w="220" w:type="dxa"/>
            <w:vAlign w:val="bottom"/>
            <w:tcBorders>
              <w:top w:val="single" w:sz="8" w:color="205BA8"/>
              <w:bottom w:val="single" w:sz="8" w:color="205BA8"/>
            </w:tcBorders>
          </w:tcPr>
          <w:p>
            <w:pPr>
              <w:spacing w:after="0"/>
              <w:rPr>
                <w:sz w:val="12"/>
                <w:szCs w:val="12"/>
                <w:color w:val="auto"/>
              </w:rPr>
            </w:pPr>
          </w:p>
        </w:tc>
        <w:tc>
          <w:tcPr>
            <w:tcW w:w="720" w:type="dxa"/>
            <w:vAlign w:val="bottom"/>
            <w:tcBorders>
              <w:top w:val="single" w:sz="8" w:color="205BA8"/>
              <w:bottom w:val="single" w:sz="8" w:color="205BA8"/>
            </w:tcBorders>
          </w:tcPr>
          <w:p>
            <w:pPr>
              <w:jc w:val="center"/>
              <w:ind w:right="59"/>
              <w:spacing w:after="0"/>
              <w:rPr>
                <w:sz w:val="20"/>
                <w:szCs w:val="20"/>
                <w:color w:val="auto"/>
              </w:rPr>
            </w:pPr>
            <w:r>
              <w:rPr>
                <w:rFonts w:ascii="Arial" w:cs="Arial" w:eastAsia="Arial" w:hAnsi="Arial"/>
                <w:sz w:val="11"/>
                <w:szCs w:val="11"/>
                <w:b w:val="1"/>
                <w:bCs w:val="1"/>
                <w:color w:val="205BA8"/>
              </w:rPr>
              <w:t>D</w:t>
            </w:r>
          </w:p>
        </w:tc>
        <w:tc>
          <w:tcPr>
            <w:tcW w:w="100" w:type="dxa"/>
            <w:vAlign w:val="bottom"/>
            <w:tcBorders>
              <w:top w:val="single" w:sz="8" w:color="205BA8"/>
              <w:bottom w:val="single" w:sz="8" w:color="205BA8"/>
            </w:tcBorders>
          </w:tcPr>
          <w:p>
            <w:pPr>
              <w:spacing w:after="0"/>
              <w:rPr>
                <w:sz w:val="12"/>
                <w:szCs w:val="12"/>
                <w:color w:val="auto"/>
              </w:rPr>
            </w:pPr>
          </w:p>
        </w:tc>
        <w:tc>
          <w:tcPr>
            <w:tcW w:w="86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E</w:t>
            </w:r>
          </w:p>
        </w:tc>
        <w:tc>
          <w:tcPr>
            <w:tcW w:w="820" w:type="dxa"/>
            <w:vAlign w:val="bottom"/>
            <w:tcBorders>
              <w:top w:val="single" w:sz="8" w:color="205BA8"/>
              <w:bottom w:val="single" w:sz="8" w:color="205BA8"/>
            </w:tcBorders>
            <w:gridSpan w:val="2"/>
          </w:tcPr>
          <w:p>
            <w:pPr>
              <w:jc w:val="center"/>
              <w:ind w:right="40"/>
              <w:spacing w:after="0"/>
              <w:rPr>
                <w:sz w:val="20"/>
                <w:szCs w:val="20"/>
                <w:color w:val="auto"/>
              </w:rPr>
            </w:pPr>
            <w:r>
              <w:rPr>
                <w:rFonts w:ascii="Arial" w:cs="Arial" w:eastAsia="Arial" w:hAnsi="Arial"/>
                <w:sz w:val="11"/>
                <w:szCs w:val="11"/>
                <w:b w:val="1"/>
                <w:bCs w:val="1"/>
                <w:color w:val="205BA8"/>
                <w:w w:val="88"/>
              </w:rPr>
              <w:t>F</w:t>
            </w:r>
          </w:p>
        </w:tc>
        <w:tc>
          <w:tcPr>
            <w:tcW w:w="88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G</w:t>
            </w:r>
          </w:p>
        </w:tc>
        <w:tc>
          <w:tcPr>
            <w:tcW w:w="940" w:type="dxa"/>
            <w:vAlign w:val="bottom"/>
            <w:tcBorders>
              <w:top w:val="single" w:sz="8" w:color="205BA8"/>
              <w:bottom w:val="single" w:sz="8" w:color="205BA8"/>
            </w:tcBorders>
          </w:tcPr>
          <w:p>
            <w:pPr>
              <w:ind w:left="420"/>
              <w:spacing w:after="0"/>
              <w:rPr>
                <w:sz w:val="20"/>
                <w:szCs w:val="20"/>
                <w:color w:val="auto"/>
              </w:rPr>
            </w:pPr>
            <w:r>
              <w:rPr>
                <w:rFonts w:ascii="Arial" w:cs="Arial" w:eastAsia="Arial" w:hAnsi="Arial"/>
                <w:sz w:val="11"/>
                <w:szCs w:val="11"/>
                <w:b w:val="1"/>
                <w:bCs w:val="1"/>
                <w:color w:val="205BA8"/>
              </w:rPr>
              <w:t>H</w:t>
            </w:r>
          </w:p>
        </w:tc>
        <w:tc>
          <w:tcPr>
            <w:tcW w:w="100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0"/>
                <w:szCs w:val="10"/>
                <w:b w:val="1"/>
                <w:bCs w:val="1"/>
                <w:color w:val="205BA8"/>
                <w:w w:val="70"/>
              </w:rPr>
              <w:t>I</w:t>
            </w:r>
          </w:p>
        </w:tc>
        <w:tc>
          <w:tcPr>
            <w:tcW w:w="820" w:type="dxa"/>
            <w:vAlign w:val="bottom"/>
            <w:tcBorders>
              <w:top w:val="single" w:sz="8" w:color="205BA8"/>
              <w:bottom w:val="single" w:sz="8" w:color="205BA8"/>
            </w:tcBorders>
          </w:tcPr>
          <w:p>
            <w:pPr>
              <w:jc w:val="center"/>
              <w:ind w:left="20"/>
              <w:spacing w:after="0"/>
              <w:rPr>
                <w:sz w:val="20"/>
                <w:szCs w:val="20"/>
                <w:color w:val="auto"/>
              </w:rPr>
            </w:pPr>
            <w:r>
              <w:rPr>
                <w:rFonts w:ascii="Arial" w:cs="Arial" w:eastAsia="Arial" w:hAnsi="Arial"/>
                <w:sz w:val="11"/>
                <w:szCs w:val="11"/>
                <w:b w:val="1"/>
                <w:bCs w:val="1"/>
                <w:color w:val="205BA8"/>
                <w:w w:val="97"/>
              </w:rPr>
              <w:t>J</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205BA8"/>
            </w:tcBorders>
          </w:tcPr>
          <w:p>
            <w:pPr>
              <w:spacing w:after="0"/>
              <w:rPr>
                <w:sz w:val="11"/>
                <w:szCs w:val="11"/>
                <w:color w:val="auto"/>
              </w:rPr>
            </w:pPr>
          </w:p>
        </w:tc>
        <w:tc>
          <w:tcPr>
            <w:tcW w:w="620" w:type="dxa"/>
            <w:vAlign w:val="bottom"/>
            <w:tcBorders>
              <w:bottom w:val="single" w:sz="8" w:color="205BA8"/>
            </w:tcBorders>
          </w:tcPr>
          <w:p>
            <w:pPr>
              <w:spacing w:after="0"/>
              <w:rPr>
                <w:sz w:val="11"/>
                <w:szCs w:val="11"/>
                <w:color w:val="auto"/>
              </w:rPr>
            </w:pPr>
          </w:p>
        </w:tc>
        <w:tc>
          <w:tcPr>
            <w:tcW w:w="100" w:type="dxa"/>
            <w:vAlign w:val="bottom"/>
            <w:tcBorders>
              <w:bottom w:val="single" w:sz="8" w:color="205BA8"/>
            </w:tcBorders>
          </w:tcPr>
          <w:p>
            <w:pPr>
              <w:spacing w:after="0"/>
              <w:rPr>
                <w:sz w:val="11"/>
                <w:szCs w:val="11"/>
                <w:color w:val="auto"/>
              </w:rPr>
            </w:pPr>
          </w:p>
        </w:tc>
        <w:tc>
          <w:tcPr>
            <w:tcW w:w="220" w:type="dxa"/>
            <w:vAlign w:val="bottom"/>
            <w:tcBorders>
              <w:bottom w:val="single" w:sz="8" w:color="205BA8"/>
            </w:tcBorders>
          </w:tcPr>
          <w:p>
            <w:pPr>
              <w:spacing w:after="0"/>
              <w:rPr>
                <w:sz w:val="11"/>
                <w:szCs w:val="11"/>
                <w:color w:val="auto"/>
              </w:rPr>
            </w:pPr>
          </w:p>
        </w:tc>
        <w:tc>
          <w:tcPr>
            <w:tcW w:w="620" w:type="dxa"/>
            <w:vAlign w:val="bottom"/>
            <w:tcBorders>
              <w:bottom w:val="single" w:sz="8" w:color="205BA8"/>
            </w:tcBorders>
          </w:tcPr>
          <w:p>
            <w:pPr>
              <w:spacing w:after="0"/>
              <w:rPr>
                <w:sz w:val="11"/>
                <w:szCs w:val="11"/>
                <w:color w:val="auto"/>
              </w:rPr>
            </w:pPr>
          </w:p>
        </w:tc>
        <w:tc>
          <w:tcPr>
            <w:tcW w:w="100" w:type="dxa"/>
            <w:vAlign w:val="bottom"/>
            <w:tcBorders>
              <w:bottom w:val="single" w:sz="8" w:color="205BA8"/>
            </w:tcBorders>
          </w:tcPr>
          <w:p>
            <w:pPr>
              <w:spacing w:after="0"/>
              <w:rPr>
                <w:sz w:val="11"/>
                <w:szCs w:val="11"/>
                <w:color w:val="auto"/>
              </w:rPr>
            </w:pPr>
          </w:p>
        </w:tc>
        <w:tc>
          <w:tcPr>
            <w:tcW w:w="940" w:type="dxa"/>
            <w:vAlign w:val="bottom"/>
            <w:tcBorders>
              <w:bottom w:val="single" w:sz="8" w:color="205BA8"/>
            </w:tcBorders>
            <w:gridSpan w:val="2"/>
          </w:tcPr>
          <w:p>
            <w:pPr>
              <w:ind w:left="20"/>
              <w:spacing w:after="0"/>
              <w:rPr>
                <w:sz w:val="20"/>
                <w:szCs w:val="20"/>
                <w:color w:val="auto"/>
              </w:rPr>
            </w:pPr>
            <w:r>
              <w:rPr>
                <w:rFonts w:ascii="Arial" w:cs="Arial" w:eastAsia="Arial" w:hAnsi="Arial"/>
                <w:sz w:val="11"/>
                <w:szCs w:val="11"/>
                <w:b w:val="1"/>
                <w:bCs w:val="1"/>
                <w:color w:val="205BA8"/>
              </w:rPr>
              <w:t>Option Awards</w:t>
            </w:r>
          </w:p>
        </w:tc>
        <w:tc>
          <w:tcPr>
            <w:tcW w:w="100" w:type="dxa"/>
            <w:vAlign w:val="bottom"/>
            <w:tcBorders>
              <w:bottom w:val="single" w:sz="8" w:color="205BA8"/>
            </w:tcBorders>
          </w:tcPr>
          <w:p>
            <w:pPr>
              <w:spacing w:after="0"/>
              <w:rPr>
                <w:sz w:val="11"/>
                <w:szCs w:val="11"/>
                <w:color w:val="auto"/>
              </w:rPr>
            </w:pPr>
          </w:p>
        </w:tc>
        <w:tc>
          <w:tcPr>
            <w:tcW w:w="860" w:type="dxa"/>
            <w:vAlign w:val="bottom"/>
            <w:tcBorders>
              <w:bottom w:val="single" w:sz="8" w:color="205BA8"/>
            </w:tcBorders>
          </w:tcPr>
          <w:p>
            <w:pPr>
              <w:spacing w:after="0"/>
              <w:rPr>
                <w:sz w:val="11"/>
                <w:szCs w:val="11"/>
                <w:color w:val="auto"/>
              </w:rPr>
            </w:pPr>
          </w:p>
        </w:tc>
        <w:tc>
          <w:tcPr>
            <w:tcW w:w="720" w:type="dxa"/>
            <w:vAlign w:val="bottom"/>
            <w:tcBorders>
              <w:bottom w:val="single" w:sz="8" w:color="205BA8"/>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205BA8"/>
            </w:tcBorders>
          </w:tcPr>
          <w:p>
            <w:pPr>
              <w:spacing w:after="0"/>
              <w:rPr>
                <w:sz w:val="11"/>
                <w:szCs w:val="11"/>
                <w:color w:val="auto"/>
              </w:rPr>
            </w:pPr>
          </w:p>
        </w:tc>
        <w:tc>
          <w:tcPr>
            <w:tcW w:w="1940" w:type="dxa"/>
            <w:vAlign w:val="bottom"/>
            <w:tcBorders>
              <w:bottom w:val="single" w:sz="8" w:color="205BA8"/>
            </w:tcBorders>
            <w:gridSpan w:val="2"/>
          </w:tcPr>
          <w:p>
            <w:pPr>
              <w:ind w:left="560"/>
              <w:spacing w:after="0"/>
              <w:rPr>
                <w:sz w:val="20"/>
                <w:szCs w:val="20"/>
                <w:color w:val="auto"/>
              </w:rPr>
            </w:pPr>
            <w:r>
              <w:rPr>
                <w:rFonts w:ascii="Arial" w:cs="Arial" w:eastAsia="Arial" w:hAnsi="Arial"/>
                <w:sz w:val="11"/>
                <w:szCs w:val="11"/>
                <w:b w:val="1"/>
                <w:bCs w:val="1"/>
                <w:color w:val="205BA8"/>
              </w:rPr>
              <w:t>Stock Awards</w:t>
            </w:r>
          </w:p>
        </w:tc>
        <w:tc>
          <w:tcPr>
            <w:tcW w:w="820" w:type="dxa"/>
            <w:vAlign w:val="bottom"/>
            <w:tcBorders>
              <w:bottom w:val="single" w:sz="8" w:color="205BA8"/>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5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jc w:val="center"/>
              <w:ind w:left="20"/>
              <w:spacing w:after="0" w:line="85" w:lineRule="exact"/>
              <w:rPr>
                <w:sz w:val="20"/>
                <w:szCs w:val="20"/>
                <w:color w:val="auto"/>
              </w:rPr>
            </w:pPr>
            <w:r>
              <w:rPr>
                <w:rFonts w:ascii="Arial" w:cs="Arial" w:eastAsia="Arial" w:hAnsi="Arial"/>
                <w:sz w:val="9"/>
                <w:szCs w:val="9"/>
                <w:b w:val="1"/>
                <w:bCs w:val="1"/>
                <w:color w:val="205BA8"/>
              </w:rPr>
              <w:t>Equity</w:t>
            </w: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b w:val="1"/>
                <w:bCs w:val="1"/>
                <w:color w:val="205BA8"/>
              </w:rPr>
              <w:t>Equity</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Equity</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incentive</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plan awards: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incentive</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incentive</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w w:val="99"/>
              </w:rPr>
              <w:t>market or</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205BA8"/>
              </w:rPr>
              <w:t>Number of</w:t>
            </w:r>
          </w:p>
        </w:tc>
        <w:tc>
          <w:tcPr>
            <w:tcW w:w="220" w:type="dxa"/>
            <w:vAlign w:val="bottom"/>
          </w:tcPr>
          <w:p>
            <w:pPr>
              <w:spacing w:after="0"/>
              <w:rPr>
                <w:sz w:val="10"/>
                <w:szCs w:val="10"/>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205BA8"/>
              </w:rPr>
              <w:t>Number of</w:t>
            </w:r>
          </w:p>
        </w:tc>
        <w:tc>
          <w:tcPr>
            <w:tcW w:w="940" w:type="dxa"/>
            <w:vAlign w:val="bottom"/>
            <w:gridSpan w:val="2"/>
          </w:tcPr>
          <w:p>
            <w:pPr>
              <w:jc w:val="center"/>
              <w:ind w:left="44"/>
              <w:spacing w:after="0" w:line="117" w:lineRule="exact"/>
              <w:rPr>
                <w:sz w:val="20"/>
                <w:szCs w:val="20"/>
                <w:color w:val="auto"/>
              </w:rPr>
            </w:pPr>
            <w:r>
              <w:rPr>
                <w:rFonts w:ascii="Arial" w:cs="Arial" w:eastAsia="Arial" w:hAnsi="Arial"/>
                <w:sz w:val="11"/>
                <w:szCs w:val="11"/>
                <w:b w:val="1"/>
                <w:bCs w:val="1"/>
                <w:color w:val="205BA8"/>
              </w:rPr>
              <w:t>plan awards:</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plan awards:</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payout value</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number of</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Number of</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Market value</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number of</w:t>
            </w: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of unearned</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205BA8"/>
              </w:rPr>
              <w:t>securities</w:t>
            </w:r>
          </w:p>
        </w:tc>
        <w:tc>
          <w:tcPr>
            <w:tcW w:w="220" w:type="dxa"/>
            <w:vAlign w:val="bottom"/>
          </w:tcPr>
          <w:p>
            <w:pPr>
              <w:spacing w:after="0"/>
              <w:rPr>
                <w:sz w:val="10"/>
                <w:szCs w:val="10"/>
                <w:color w:val="auto"/>
              </w:rPr>
            </w:pPr>
          </w:p>
        </w:tc>
        <w:tc>
          <w:tcPr>
            <w:tcW w:w="7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205BA8"/>
              </w:rPr>
              <w:t>securities</w:t>
            </w: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securities</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unearned</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shares, units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205BA8"/>
              </w:rPr>
              <w:t>underlying</w:t>
            </w:r>
          </w:p>
        </w:tc>
        <w:tc>
          <w:tcPr>
            <w:tcW w:w="220" w:type="dxa"/>
            <w:vAlign w:val="bottom"/>
          </w:tcPr>
          <w:p>
            <w:pPr>
              <w:spacing w:after="0"/>
              <w:rPr>
                <w:sz w:val="10"/>
                <w:szCs w:val="10"/>
                <w:color w:val="auto"/>
              </w:rPr>
            </w:pPr>
          </w:p>
        </w:tc>
        <w:tc>
          <w:tcPr>
            <w:tcW w:w="7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205BA8"/>
                <w:w w:val="99"/>
              </w:rPr>
              <w:t>underlying</w:t>
            </w: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w w:val="99"/>
              </w:rPr>
              <w:t>underlying</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shares or</w:t>
            </w:r>
          </w:p>
        </w:tc>
        <w:tc>
          <w:tcPr>
            <w:tcW w:w="94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of shares or</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shares, units</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or other</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spacing w:after="0" w:line="117" w:lineRule="exact"/>
              <w:rPr>
                <w:sz w:val="20"/>
                <w:szCs w:val="20"/>
                <w:color w:val="auto"/>
              </w:rPr>
            </w:pPr>
            <w:r>
              <w:rPr>
                <w:rFonts w:ascii="Arial" w:cs="Arial" w:eastAsia="Arial" w:hAnsi="Arial"/>
                <w:sz w:val="11"/>
                <w:szCs w:val="11"/>
                <w:b w:val="1"/>
                <w:bCs w:val="1"/>
                <w:color w:val="205BA8"/>
              </w:rPr>
              <w:t>unexercised</w:t>
            </w:r>
          </w:p>
        </w:tc>
        <w:tc>
          <w:tcPr>
            <w:tcW w:w="940" w:type="dxa"/>
            <w:vAlign w:val="bottom"/>
            <w:gridSpan w:val="3"/>
          </w:tcPr>
          <w:p>
            <w:pPr>
              <w:jc w:val="center"/>
              <w:ind w:left="62"/>
              <w:spacing w:after="0" w:line="117" w:lineRule="exact"/>
              <w:rPr>
                <w:sz w:val="20"/>
                <w:szCs w:val="20"/>
                <w:color w:val="auto"/>
              </w:rPr>
            </w:pPr>
            <w:r>
              <w:rPr>
                <w:rFonts w:ascii="Arial" w:cs="Arial" w:eastAsia="Arial" w:hAnsi="Arial"/>
                <w:sz w:val="11"/>
                <w:szCs w:val="11"/>
                <w:b w:val="1"/>
                <w:bCs w:val="1"/>
                <w:color w:val="205BA8"/>
              </w:rPr>
              <w:t>unexercised</w:t>
            </w:r>
          </w:p>
        </w:tc>
        <w:tc>
          <w:tcPr>
            <w:tcW w:w="940" w:type="dxa"/>
            <w:vAlign w:val="bottom"/>
            <w:gridSpan w:val="2"/>
          </w:tcPr>
          <w:p>
            <w:pPr>
              <w:jc w:val="center"/>
              <w:ind w:left="24"/>
              <w:spacing w:after="0" w:line="117" w:lineRule="exact"/>
              <w:rPr>
                <w:sz w:val="20"/>
                <w:szCs w:val="20"/>
                <w:color w:val="auto"/>
              </w:rPr>
            </w:pPr>
            <w:r>
              <w:rPr>
                <w:rFonts w:ascii="Arial" w:cs="Arial" w:eastAsia="Arial" w:hAnsi="Arial"/>
                <w:sz w:val="11"/>
                <w:szCs w:val="11"/>
                <w:b w:val="1"/>
                <w:bCs w:val="1"/>
                <w:color w:val="205BA8"/>
              </w:rPr>
              <w:t>unexercised</w:t>
            </w: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Option</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205BA8"/>
              </w:rPr>
              <w:t>Option</w:t>
            </w:r>
          </w:p>
        </w:tc>
        <w:tc>
          <w:tcPr>
            <w:tcW w:w="8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units of stock</w:t>
            </w:r>
          </w:p>
        </w:tc>
        <w:tc>
          <w:tcPr>
            <w:tcW w:w="94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units of stock</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or other rights</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rights that</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205BA8"/>
              </w:rPr>
              <w:t>options</w:t>
            </w:r>
          </w:p>
        </w:tc>
        <w:tc>
          <w:tcPr>
            <w:tcW w:w="220" w:type="dxa"/>
            <w:vAlign w:val="bottom"/>
          </w:tcPr>
          <w:p>
            <w:pPr>
              <w:spacing w:after="0"/>
              <w:rPr>
                <w:sz w:val="10"/>
                <w:szCs w:val="10"/>
                <w:color w:val="auto"/>
              </w:rPr>
            </w:pPr>
          </w:p>
        </w:tc>
        <w:tc>
          <w:tcPr>
            <w:tcW w:w="7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205BA8"/>
              </w:rPr>
              <w:t>options</w:t>
            </w: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unearned</w:t>
            </w: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that have not</w:t>
            </w:r>
          </w:p>
        </w:tc>
        <w:tc>
          <w:tcPr>
            <w:tcW w:w="94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that have not</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that have not</w:t>
            </w:r>
          </w:p>
        </w:tc>
        <w:tc>
          <w:tcPr>
            <w:tcW w:w="8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have not</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vMerge w:val="restart"/>
          </w:tcPr>
          <w:p>
            <w:pPr>
              <w:ind w:left="40"/>
              <w:spacing w:after="0"/>
              <w:rPr>
                <w:sz w:val="20"/>
                <w:szCs w:val="20"/>
                <w:color w:val="auto"/>
              </w:rPr>
            </w:pPr>
            <w:r>
              <w:rPr>
                <w:rFonts w:ascii="Arial" w:cs="Arial" w:eastAsia="Arial" w:hAnsi="Arial"/>
                <w:sz w:val="11"/>
                <w:szCs w:val="11"/>
                <w:b w:val="1"/>
                <w:bCs w:val="1"/>
                <w:color w:val="205BA8"/>
              </w:rPr>
              <w:t>Name</w:t>
            </w:r>
          </w:p>
        </w:tc>
        <w:tc>
          <w:tcPr>
            <w:tcW w:w="100" w:type="dxa"/>
            <w:vAlign w:val="bottom"/>
          </w:tcPr>
          <w:p>
            <w:pPr>
              <w:spacing w:after="0"/>
              <w:rPr>
                <w:sz w:val="10"/>
                <w:szCs w:val="10"/>
                <w:color w:val="auto"/>
              </w:rPr>
            </w:pPr>
          </w:p>
        </w:tc>
        <w:tc>
          <w:tcPr>
            <w:tcW w:w="820" w:type="dxa"/>
            <w:vAlign w:val="bottom"/>
            <w:gridSpan w:val="3"/>
          </w:tcPr>
          <w:p>
            <w:pPr>
              <w:jc w:val="center"/>
              <w:ind w:right="40"/>
              <w:spacing w:after="0" w:line="117" w:lineRule="exact"/>
              <w:rPr>
                <w:sz w:val="20"/>
                <w:szCs w:val="20"/>
                <w:color w:val="auto"/>
              </w:rPr>
            </w:pPr>
            <w:r>
              <w:rPr>
                <w:rFonts w:ascii="Arial" w:cs="Arial" w:eastAsia="Arial" w:hAnsi="Arial"/>
                <w:sz w:val="11"/>
                <w:szCs w:val="11"/>
                <w:b w:val="1"/>
                <w:bCs w:val="1"/>
                <w:color w:val="205BA8"/>
              </w:rPr>
              <w:t>exercisable</w:t>
            </w:r>
          </w:p>
        </w:tc>
        <w:tc>
          <w:tcPr>
            <w:tcW w:w="940" w:type="dxa"/>
            <w:vAlign w:val="bottom"/>
            <w:gridSpan w:val="3"/>
          </w:tcPr>
          <w:p>
            <w:pPr>
              <w:jc w:val="center"/>
              <w:ind w:left="42"/>
              <w:spacing w:after="0" w:line="117" w:lineRule="exact"/>
              <w:rPr>
                <w:sz w:val="20"/>
                <w:szCs w:val="20"/>
                <w:color w:val="auto"/>
              </w:rPr>
            </w:pPr>
            <w:r>
              <w:rPr>
                <w:rFonts w:ascii="Arial" w:cs="Arial" w:eastAsia="Arial" w:hAnsi="Arial"/>
                <w:sz w:val="11"/>
                <w:szCs w:val="11"/>
                <w:b w:val="1"/>
                <w:bCs w:val="1"/>
                <w:color w:val="205BA8"/>
              </w:rPr>
              <w:t>unexercisable</w:t>
            </w: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options</w:t>
            </w:r>
          </w:p>
        </w:tc>
        <w:tc>
          <w:tcPr>
            <w:tcW w:w="1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exercise price</w:t>
            </w:r>
          </w:p>
        </w:tc>
        <w:tc>
          <w:tcPr>
            <w:tcW w:w="820" w:type="dxa"/>
            <w:vAlign w:val="bottom"/>
            <w:gridSpan w:val="2"/>
          </w:tcPr>
          <w:p>
            <w:pPr>
              <w:jc w:val="center"/>
              <w:ind w:right="40"/>
              <w:spacing w:after="0" w:line="117" w:lineRule="exact"/>
              <w:rPr>
                <w:sz w:val="20"/>
                <w:szCs w:val="20"/>
                <w:color w:val="auto"/>
              </w:rPr>
            </w:pPr>
            <w:r>
              <w:rPr>
                <w:rFonts w:ascii="Arial" w:cs="Arial" w:eastAsia="Arial" w:hAnsi="Arial"/>
                <w:sz w:val="11"/>
                <w:szCs w:val="11"/>
                <w:b w:val="1"/>
                <w:bCs w:val="1"/>
                <w:color w:val="205BA8"/>
              </w:rPr>
              <w:t>expiration</w:t>
            </w:r>
          </w:p>
        </w:tc>
        <w:tc>
          <w:tcPr>
            <w:tcW w:w="8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w w:val="97"/>
              </w:rPr>
              <w:t>vested</w:t>
            </w:r>
          </w:p>
        </w:tc>
        <w:tc>
          <w:tcPr>
            <w:tcW w:w="94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vested</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w w:val="97"/>
              </w:rPr>
              <w:t>vested</w:t>
            </w: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vested</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180" w:type="dxa"/>
            <w:vAlign w:val="bottom"/>
            <w:tcBorders>
              <w:bottom w:val="single" w:sz="8" w:color="205BA8"/>
            </w:tcBorders>
            <w:vMerge w:val="continue"/>
          </w:tcPr>
          <w:p>
            <w:pPr>
              <w:spacing w:after="0"/>
              <w:rPr>
                <w:sz w:val="12"/>
                <w:szCs w:val="12"/>
                <w:color w:val="auto"/>
              </w:rPr>
            </w:pPr>
          </w:p>
        </w:tc>
        <w:tc>
          <w:tcPr>
            <w:tcW w:w="820" w:type="dxa"/>
            <w:vAlign w:val="bottom"/>
            <w:tcBorders>
              <w:bottom w:val="single" w:sz="8" w:color="205BA8"/>
            </w:tcBorders>
            <w:gridSpan w:val="3"/>
          </w:tcPr>
          <w:p>
            <w:pPr>
              <w:jc w:val="center"/>
              <w:ind w:left="140"/>
              <w:spacing w:after="0"/>
              <w:rPr>
                <w:sz w:val="20"/>
                <w:szCs w:val="20"/>
                <w:color w:val="auto"/>
              </w:rPr>
            </w:pPr>
            <w:r>
              <w:rPr>
                <w:rFonts w:ascii="Arial" w:cs="Arial" w:eastAsia="Arial" w:hAnsi="Arial"/>
                <w:sz w:val="11"/>
                <w:szCs w:val="11"/>
                <w:b w:val="1"/>
                <w:bCs w:val="1"/>
                <w:color w:val="205BA8"/>
              </w:rPr>
              <w:t>(#)</w:t>
            </w:r>
          </w:p>
        </w:tc>
        <w:tc>
          <w:tcPr>
            <w:tcW w:w="100" w:type="dxa"/>
            <w:vAlign w:val="bottom"/>
            <w:tcBorders>
              <w:bottom w:val="single" w:sz="8" w:color="205BA8"/>
            </w:tcBorders>
          </w:tcPr>
          <w:p>
            <w:pPr>
              <w:spacing w:after="0"/>
              <w:rPr>
                <w:sz w:val="12"/>
                <w:szCs w:val="12"/>
                <w:color w:val="auto"/>
              </w:rPr>
            </w:pPr>
          </w:p>
        </w:tc>
        <w:tc>
          <w:tcPr>
            <w:tcW w:w="840" w:type="dxa"/>
            <w:vAlign w:val="bottom"/>
            <w:tcBorders>
              <w:bottom w:val="single" w:sz="8" w:color="205BA8"/>
            </w:tcBorders>
            <w:gridSpan w:val="2"/>
          </w:tcPr>
          <w:p>
            <w:pPr>
              <w:jc w:val="center"/>
              <w:ind w:left="162"/>
              <w:spacing w:after="0"/>
              <w:rPr>
                <w:sz w:val="20"/>
                <w:szCs w:val="20"/>
                <w:color w:val="auto"/>
              </w:rPr>
            </w:pPr>
            <w:r>
              <w:rPr>
                <w:rFonts w:ascii="Arial" w:cs="Arial" w:eastAsia="Arial" w:hAnsi="Arial"/>
                <w:sz w:val="11"/>
                <w:szCs w:val="11"/>
                <w:b w:val="1"/>
                <w:bCs w:val="1"/>
                <w:color w:val="205BA8"/>
              </w:rPr>
              <w:t>(#)</w:t>
            </w:r>
          </w:p>
        </w:tc>
        <w:tc>
          <w:tcPr>
            <w:tcW w:w="100" w:type="dxa"/>
            <w:vAlign w:val="bottom"/>
            <w:tcBorders>
              <w:bottom w:val="single" w:sz="8" w:color="205BA8"/>
            </w:tcBorders>
          </w:tcPr>
          <w:p>
            <w:pPr>
              <w:spacing w:after="0"/>
              <w:rPr>
                <w:sz w:val="12"/>
                <w:szCs w:val="12"/>
                <w:color w:val="auto"/>
              </w:rPr>
            </w:pPr>
          </w:p>
        </w:tc>
        <w:tc>
          <w:tcPr>
            <w:tcW w:w="940" w:type="dxa"/>
            <w:vAlign w:val="bottom"/>
            <w:tcBorders>
              <w:bottom w:val="single" w:sz="8" w:color="205BA8"/>
            </w:tcBorders>
            <w:gridSpan w:val="2"/>
          </w:tcPr>
          <w:p>
            <w:pPr>
              <w:jc w:val="center"/>
              <w:ind w:left="24"/>
              <w:spacing w:after="0"/>
              <w:rPr>
                <w:sz w:val="20"/>
                <w:szCs w:val="20"/>
                <w:color w:val="auto"/>
              </w:rPr>
            </w:pPr>
            <w:r>
              <w:rPr>
                <w:rFonts w:ascii="Arial" w:cs="Arial" w:eastAsia="Arial" w:hAnsi="Arial"/>
                <w:sz w:val="11"/>
                <w:szCs w:val="11"/>
                <w:b w:val="1"/>
                <w:bCs w:val="1"/>
                <w:color w:val="205BA8"/>
              </w:rPr>
              <w:t>(#)</w:t>
            </w:r>
          </w:p>
        </w:tc>
        <w:tc>
          <w:tcPr>
            <w:tcW w:w="960" w:type="dxa"/>
            <w:vAlign w:val="bottom"/>
            <w:tcBorders>
              <w:bottom w:val="single" w:sz="8" w:color="205BA8"/>
            </w:tcBorders>
            <w:gridSpan w:val="2"/>
          </w:tcPr>
          <w:p>
            <w:pPr>
              <w:jc w:val="center"/>
              <w:spacing w:after="0"/>
              <w:rPr>
                <w:sz w:val="20"/>
                <w:szCs w:val="20"/>
                <w:color w:val="auto"/>
              </w:rPr>
            </w:pPr>
            <w:r>
              <w:rPr>
                <w:rFonts w:ascii="Arial" w:cs="Arial" w:eastAsia="Arial" w:hAnsi="Arial"/>
                <w:sz w:val="11"/>
                <w:szCs w:val="11"/>
                <w:b w:val="1"/>
                <w:bCs w:val="1"/>
                <w:color w:val="205BA8"/>
              </w:rPr>
              <w:t>($)</w:t>
            </w:r>
          </w:p>
        </w:tc>
        <w:tc>
          <w:tcPr>
            <w:tcW w:w="820" w:type="dxa"/>
            <w:vAlign w:val="bottom"/>
            <w:tcBorders>
              <w:bottom w:val="single" w:sz="8" w:color="205BA8"/>
            </w:tcBorders>
            <w:gridSpan w:val="2"/>
          </w:tcPr>
          <w:p>
            <w:pPr>
              <w:jc w:val="center"/>
              <w:ind w:right="40"/>
              <w:spacing w:after="0"/>
              <w:rPr>
                <w:sz w:val="20"/>
                <w:szCs w:val="20"/>
                <w:color w:val="auto"/>
              </w:rPr>
            </w:pPr>
            <w:r>
              <w:rPr>
                <w:rFonts w:ascii="Arial" w:cs="Arial" w:eastAsia="Arial" w:hAnsi="Arial"/>
                <w:sz w:val="11"/>
                <w:szCs w:val="11"/>
                <w:b w:val="1"/>
                <w:bCs w:val="1"/>
                <w:color w:val="205BA8"/>
                <w:w w:val="97"/>
              </w:rPr>
              <w:t>date</w:t>
            </w:r>
          </w:p>
        </w:tc>
        <w:tc>
          <w:tcPr>
            <w:tcW w:w="8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94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000" w:type="dxa"/>
            <w:vAlign w:val="bottom"/>
            <w:tcBorders>
              <w:bottom w:val="single" w:sz="8" w:color="205BA8"/>
            </w:tcBorders>
          </w:tcPr>
          <w:p>
            <w:pPr>
              <w:ind w:left="440"/>
              <w:spacing w:after="0"/>
              <w:rPr>
                <w:sz w:val="20"/>
                <w:szCs w:val="20"/>
                <w:color w:val="auto"/>
              </w:rPr>
            </w:pPr>
            <w:r>
              <w:rPr>
                <w:rFonts w:ascii="Arial" w:cs="Arial" w:eastAsia="Arial" w:hAnsi="Arial"/>
                <w:sz w:val="11"/>
                <w:szCs w:val="11"/>
                <w:b w:val="1"/>
                <w:bCs w:val="1"/>
                <w:color w:val="205BA8"/>
              </w:rPr>
              <w:t>(#)</w:t>
            </w:r>
          </w:p>
        </w:tc>
        <w:tc>
          <w:tcPr>
            <w:tcW w:w="820" w:type="dxa"/>
            <w:vAlign w:val="bottom"/>
            <w:tcBorders>
              <w:bottom w:val="single" w:sz="8" w:color="205BA8"/>
            </w:tcBorders>
          </w:tcPr>
          <w:p>
            <w:pPr>
              <w:ind w:left="380"/>
              <w:spacing w:after="0"/>
              <w:rPr>
                <w:sz w:val="20"/>
                <w:szCs w:val="20"/>
                <w:color w:val="auto"/>
              </w:rPr>
            </w:pPr>
            <w:r>
              <w:rPr>
                <w:rFonts w:ascii="Arial" w:cs="Arial" w:eastAsia="Arial" w:hAnsi="Arial"/>
                <w:sz w:val="11"/>
                <w:szCs w:val="11"/>
                <w:b w:val="1"/>
                <w:bCs w:val="1"/>
                <w:color w:val="205BA8"/>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3"/>
          </w:tcPr>
          <w:p>
            <w:pPr>
              <w:jc w:val="right"/>
              <w:ind w:right="40"/>
              <w:spacing w:after="0" w:line="169" w:lineRule="exact"/>
              <w:rPr>
                <w:sz w:val="20"/>
                <w:szCs w:val="20"/>
                <w:color w:val="auto"/>
              </w:rPr>
            </w:pPr>
            <w:r>
              <w:rPr>
                <w:rFonts w:ascii="Arial" w:cs="Arial" w:eastAsia="Arial" w:hAnsi="Arial"/>
                <w:sz w:val="12"/>
                <w:szCs w:val="12"/>
                <w:color w:val="auto"/>
              </w:rPr>
              <w:t>129,013</w:t>
            </w:r>
            <w:r>
              <w:rPr>
                <w:rFonts w:ascii="Arial" w:cs="Arial" w:eastAsia="Arial" w:hAnsi="Arial"/>
                <w:sz w:val="19"/>
                <w:szCs w:val="19"/>
                <w:color w:val="auto"/>
                <w:vertAlign w:val="superscript"/>
              </w:rPr>
              <w:t>1</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381.40</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12/12/2028</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34,869</w:t>
            </w:r>
          </w:p>
        </w:tc>
        <w:tc>
          <w:tcPr>
            <w:tcW w:w="1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gridSpan w:val="3"/>
          </w:tcPr>
          <w:p>
            <w:pPr>
              <w:jc w:val="right"/>
              <w:ind w:right="40"/>
              <w:spacing w:after="0" w:line="162" w:lineRule="exact"/>
              <w:rPr>
                <w:sz w:val="20"/>
                <w:szCs w:val="20"/>
                <w:color w:val="auto"/>
              </w:rPr>
            </w:pPr>
            <w:r>
              <w:rPr>
                <w:rFonts w:ascii="Arial" w:cs="Arial" w:eastAsia="Arial" w:hAnsi="Arial"/>
                <w:sz w:val="11"/>
                <w:szCs w:val="11"/>
                <w:color w:val="auto"/>
              </w:rPr>
              <w:t>104,605</w:t>
            </w:r>
            <w:r>
              <w:rPr>
                <w:rFonts w:ascii="Arial" w:cs="Arial" w:eastAsia="Arial" w:hAnsi="Arial"/>
                <w:sz w:val="18"/>
                <w:szCs w:val="18"/>
                <w:color w:val="auto"/>
                <w:vertAlign w:val="superscript"/>
              </w:rPr>
              <w:t>2</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378.98</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12/12/2027</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73,408</w:t>
            </w:r>
          </w:p>
        </w:tc>
        <w:tc>
          <w:tcPr>
            <w:tcW w:w="1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gridSpan w:val="3"/>
          </w:tcPr>
          <w:p>
            <w:pPr>
              <w:jc w:val="right"/>
              <w:ind w:right="40"/>
              <w:spacing w:after="0" w:line="162" w:lineRule="exact"/>
              <w:rPr>
                <w:sz w:val="20"/>
                <w:szCs w:val="20"/>
                <w:color w:val="auto"/>
              </w:rPr>
            </w:pPr>
            <w:r>
              <w:rPr>
                <w:rFonts w:ascii="Arial" w:cs="Arial" w:eastAsia="Arial" w:hAnsi="Arial"/>
                <w:sz w:val="11"/>
                <w:szCs w:val="11"/>
                <w:color w:val="auto"/>
              </w:rPr>
              <w:t>73,407</w:t>
            </w:r>
            <w:r>
              <w:rPr>
                <w:rFonts w:ascii="Arial" w:cs="Arial" w:eastAsia="Arial" w:hAnsi="Arial"/>
                <w:sz w:val="18"/>
                <w:szCs w:val="18"/>
                <w:color w:val="auto"/>
                <w:vertAlign w:val="superscript"/>
              </w:rPr>
              <w:t>3</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381.92</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12/16/2026</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129,543</w:t>
            </w:r>
          </w:p>
        </w:tc>
        <w:tc>
          <w:tcPr>
            <w:tcW w:w="1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gridSpan w:val="3"/>
          </w:tcPr>
          <w:p>
            <w:pPr>
              <w:jc w:val="right"/>
              <w:ind w:right="40"/>
              <w:spacing w:after="0" w:line="162" w:lineRule="exact"/>
              <w:rPr>
                <w:sz w:val="20"/>
                <w:szCs w:val="20"/>
                <w:color w:val="auto"/>
              </w:rPr>
            </w:pPr>
            <w:r>
              <w:rPr>
                <w:rFonts w:ascii="Arial" w:cs="Arial" w:eastAsia="Arial" w:hAnsi="Arial"/>
                <w:sz w:val="11"/>
                <w:szCs w:val="11"/>
                <w:color w:val="auto"/>
              </w:rPr>
              <w:t>43,180</w:t>
            </w:r>
            <w:r>
              <w:rPr>
                <w:rFonts w:ascii="Arial" w:cs="Arial" w:eastAsia="Arial" w:hAnsi="Arial"/>
                <w:sz w:val="18"/>
                <w:szCs w:val="18"/>
                <w:color w:val="auto"/>
                <w:vertAlign w:val="superscript"/>
              </w:rPr>
              <w:t>4</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555.67</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12/16/2025</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203,204</w:t>
            </w:r>
          </w:p>
        </w:tc>
        <w:tc>
          <w:tcPr>
            <w:tcW w:w="100" w:type="dxa"/>
            <w:vAlign w:val="bottom"/>
            <w:tcBorders>
              <w:bottom w:val="single" w:sz="8" w:color="58585A"/>
            </w:tcBorders>
          </w:tcPr>
          <w:p>
            <w:pPr>
              <w:spacing w:after="0"/>
              <w:rPr>
                <w:sz w:val="13"/>
                <w:szCs w:val="13"/>
                <w:color w:val="auto"/>
              </w:rPr>
            </w:pPr>
          </w:p>
        </w:tc>
        <w:tc>
          <w:tcPr>
            <w:tcW w:w="220" w:type="dxa"/>
            <w:vAlign w:val="bottom"/>
            <w:tcBorders>
              <w:bottom w:val="single" w:sz="8" w:color="58585A"/>
            </w:tcBorders>
          </w:tcPr>
          <w:p>
            <w:pPr>
              <w:spacing w:after="0"/>
              <w:rPr>
                <w:sz w:val="13"/>
                <w:szCs w:val="13"/>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3"/>
                <w:szCs w:val="13"/>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399.66</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12/16/2024</w:t>
            </w:r>
          </w:p>
        </w:tc>
        <w:tc>
          <w:tcPr>
            <w:tcW w:w="100" w:type="dxa"/>
            <w:vAlign w:val="bottom"/>
            <w:tcBorders>
              <w:bottom w:val="single" w:sz="8" w:color="58585A"/>
            </w:tcBorders>
          </w:tcPr>
          <w:p>
            <w:pPr>
              <w:spacing w:after="0"/>
              <w:rPr>
                <w:sz w:val="13"/>
                <w:szCs w:val="13"/>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vMerge w:val="restart"/>
          </w:tcPr>
          <w:p>
            <w:pPr>
              <w:ind w:left="40"/>
              <w:spacing w:after="0"/>
              <w:rPr>
                <w:sz w:val="20"/>
                <w:szCs w:val="20"/>
                <w:color w:val="auto"/>
              </w:rPr>
            </w:pPr>
            <w:r>
              <w:rPr>
                <w:rFonts w:ascii="Arial" w:cs="Arial" w:eastAsia="Arial" w:hAnsi="Arial"/>
                <w:sz w:val="12"/>
                <w:szCs w:val="12"/>
                <w:b w:val="1"/>
                <w:bCs w:val="1"/>
                <w:color w:val="D61C5A"/>
              </w:rPr>
              <w:t>Leonard S. Schleifer,</w:t>
            </w: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239,063</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270.43</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12/13/2023</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281,250</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4"/>
                <w:szCs w:val="4"/>
                <w:color w:val="auto"/>
              </w:rPr>
            </w:pPr>
          </w:p>
        </w:tc>
        <w:tc>
          <w:tcPr>
            <w:tcW w:w="72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82"/>
              <w:spacing w:after="0"/>
              <w:rPr>
                <w:sz w:val="20"/>
                <w:szCs w:val="20"/>
                <w:color w:val="auto"/>
              </w:rPr>
            </w:pPr>
            <w:r>
              <w:rPr>
                <w:rFonts w:ascii="Arial" w:cs="Arial" w:eastAsia="Arial" w:hAnsi="Arial"/>
                <w:sz w:val="13"/>
                <w:szCs w:val="13"/>
                <w:color w:val="auto"/>
              </w:rPr>
              <w:t>179.13</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12/14/2022</w:t>
            </w:r>
          </w:p>
        </w:tc>
        <w:tc>
          <w:tcPr>
            <w:tcW w:w="100" w:type="dxa"/>
            <w:vAlign w:val="bottom"/>
          </w:tcPr>
          <w:p>
            <w:pPr>
              <w:spacing w:after="0"/>
              <w:rPr>
                <w:sz w:val="4"/>
                <w:szCs w:val="4"/>
                <w:color w:val="auto"/>
              </w:rPr>
            </w:pPr>
          </w:p>
        </w:tc>
        <w:tc>
          <w:tcPr>
            <w:tcW w:w="88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2180" w:type="dxa"/>
            <w:vAlign w:val="bottom"/>
          </w:tcPr>
          <w:p>
            <w:pPr>
              <w:ind w:left="40"/>
              <w:spacing w:after="0" w:line="104" w:lineRule="exact"/>
              <w:rPr>
                <w:sz w:val="20"/>
                <w:szCs w:val="20"/>
                <w:color w:val="auto"/>
              </w:rPr>
            </w:pPr>
            <w:r>
              <w:rPr>
                <w:rFonts w:ascii="Arial" w:cs="Arial" w:eastAsia="Arial" w:hAnsi="Arial"/>
                <w:sz w:val="12"/>
                <w:szCs w:val="12"/>
                <w:b w:val="1"/>
                <w:bCs w:val="1"/>
                <w:color w:val="D61C5A"/>
              </w:rPr>
              <w:t>M.D., Ph.D.</w:t>
            </w:r>
          </w:p>
        </w:tc>
        <w:tc>
          <w:tcPr>
            <w:tcW w:w="100" w:type="dxa"/>
            <w:vAlign w:val="bottom"/>
            <w:vMerge w:val="continue"/>
          </w:tcPr>
          <w:p>
            <w:pPr>
              <w:spacing w:after="0"/>
              <w:rPr>
                <w:sz w:val="9"/>
                <w:szCs w:val="9"/>
                <w:color w:val="auto"/>
              </w:rPr>
            </w:pPr>
          </w:p>
        </w:tc>
        <w:tc>
          <w:tcPr>
            <w:tcW w:w="720" w:type="dxa"/>
            <w:vAlign w:val="bottom"/>
            <w:tcBorders>
              <w:bottom w:val="single" w:sz="8" w:color="58585A"/>
            </w:tcBorders>
            <w:gridSpan w:val="2"/>
            <w:vMerge w:val="continue"/>
          </w:tcPr>
          <w:p>
            <w:pPr>
              <w:spacing w:after="0"/>
              <w:rPr>
                <w:sz w:val="9"/>
                <w:szCs w:val="9"/>
                <w:color w:val="auto"/>
              </w:rPr>
            </w:pPr>
          </w:p>
        </w:tc>
        <w:tc>
          <w:tcPr>
            <w:tcW w:w="100" w:type="dxa"/>
            <w:vAlign w:val="bottom"/>
            <w:tcBorders>
              <w:bottom w:val="single" w:sz="8" w:color="58585A"/>
            </w:tcBorders>
          </w:tcPr>
          <w:p>
            <w:pPr>
              <w:spacing w:after="0"/>
              <w:rPr>
                <w:sz w:val="9"/>
                <w:szCs w:val="9"/>
                <w:color w:val="auto"/>
              </w:rPr>
            </w:pPr>
          </w:p>
        </w:tc>
        <w:tc>
          <w:tcPr>
            <w:tcW w:w="220" w:type="dxa"/>
            <w:vAlign w:val="bottom"/>
            <w:tcBorders>
              <w:bottom w:val="single" w:sz="8" w:color="58585A"/>
            </w:tcBorders>
          </w:tcPr>
          <w:p>
            <w:pPr>
              <w:spacing w:after="0"/>
              <w:rPr>
                <w:sz w:val="9"/>
                <w:szCs w:val="9"/>
                <w:color w:val="auto"/>
              </w:rPr>
            </w:pPr>
          </w:p>
        </w:tc>
        <w:tc>
          <w:tcPr>
            <w:tcW w:w="720" w:type="dxa"/>
            <w:vAlign w:val="bottom"/>
            <w:tcBorders>
              <w:bottom w:val="single" w:sz="8" w:color="58585A"/>
            </w:tcBorders>
            <w:gridSpan w:val="2"/>
            <w:vMerge w:val="continue"/>
          </w:tcPr>
          <w:p>
            <w:pPr>
              <w:spacing w:after="0"/>
              <w:rPr>
                <w:sz w:val="9"/>
                <w:szCs w:val="9"/>
                <w:color w:val="auto"/>
              </w:rPr>
            </w:pPr>
          </w:p>
        </w:tc>
        <w:tc>
          <w:tcPr>
            <w:tcW w:w="220" w:type="dxa"/>
            <w:vAlign w:val="bottom"/>
            <w:tcBorders>
              <w:bottom w:val="single" w:sz="8" w:color="58585A"/>
            </w:tcBorders>
          </w:tcPr>
          <w:p>
            <w:pPr>
              <w:spacing w:after="0"/>
              <w:rPr>
                <w:sz w:val="9"/>
                <w:szCs w:val="9"/>
                <w:color w:val="auto"/>
              </w:rPr>
            </w:pPr>
          </w:p>
        </w:tc>
        <w:tc>
          <w:tcPr>
            <w:tcW w:w="720" w:type="dxa"/>
            <w:vAlign w:val="bottom"/>
            <w:tcBorders>
              <w:bottom w:val="single" w:sz="8" w:color="58585A"/>
            </w:tcBorders>
            <w:vMerge w:val="continue"/>
          </w:tcPr>
          <w:p>
            <w:pPr>
              <w:spacing w:after="0"/>
              <w:rPr>
                <w:sz w:val="9"/>
                <w:szCs w:val="9"/>
                <w:color w:val="auto"/>
              </w:rPr>
            </w:pPr>
          </w:p>
        </w:tc>
        <w:tc>
          <w:tcPr>
            <w:tcW w:w="960" w:type="dxa"/>
            <w:vAlign w:val="bottom"/>
            <w:tcBorders>
              <w:bottom w:val="single" w:sz="8" w:color="58585A"/>
            </w:tcBorders>
            <w:gridSpan w:val="2"/>
            <w:vMerge w:val="continue"/>
          </w:tcPr>
          <w:p>
            <w:pPr>
              <w:spacing w:after="0"/>
              <w:rPr>
                <w:sz w:val="9"/>
                <w:szCs w:val="9"/>
                <w:color w:val="auto"/>
              </w:rPr>
            </w:pPr>
          </w:p>
        </w:tc>
        <w:tc>
          <w:tcPr>
            <w:tcW w:w="720" w:type="dxa"/>
            <w:vAlign w:val="bottom"/>
            <w:tcBorders>
              <w:bottom w:val="single" w:sz="8" w:color="58585A"/>
            </w:tcBorders>
            <w:vMerge w:val="continue"/>
          </w:tcPr>
          <w:p>
            <w:pPr>
              <w:spacing w:after="0"/>
              <w:rPr>
                <w:sz w:val="9"/>
                <w:szCs w:val="9"/>
                <w:color w:val="auto"/>
              </w:rPr>
            </w:pPr>
          </w:p>
        </w:tc>
        <w:tc>
          <w:tcPr>
            <w:tcW w:w="100" w:type="dxa"/>
            <w:vAlign w:val="bottom"/>
            <w:tcBorders>
              <w:bottom w:val="single" w:sz="8" w:color="58585A"/>
            </w:tcBorders>
          </w:tcPr>
          <w:p>
            <w:pPr>
              <w:spacing w:after="0"/>
              <w:rPr>
                <w:sz w:val="9"/>
                <w:szCs w:val="9"/>
                <w:color w:val="auto"/>
              </w:rPr>
            </w:pPr>
          </w:p>
        </w:tc>
        <w:tc>
          <w:tcPr>
            <w:tcW w:w="880" w:type="dxa"/>
            <w:vAlign w:val="bottom"/>
            <w:tcBorders>
              <w:bottom w:val="single" w:sz="8" w:color="58585A"/>
            </w:tcBorders>
            <w:vMerge w:val="continue"/>
          </w:tcPr>
          <w:p>
            <w:pPr>
              <w:spacing w:after="0"/>
              <w:rPr>
                <w:sz w:val="9"/>
                <w:szCs w:val="9"/>
                <w:color w:val="auto"/>
              </w:rPr>
            </w:pPr>
          </w:p>
        </w:tc>
        <w:tc>
          <w:tcPr>
            <w:tcW w:w="940" w:type="dxa"/>
            <w:vAlign w:val="bottom"/>
            <w:tcBorders>
              <w:bottom w:val="single" w:sz="8" w:color="58585A"/>
            </w:tcBorders>
            <w:vMerge w:val="continue"/>
          </w:tcPr>
          <w:p>
            <w:pPr>
              <w:spacing w:after="0"/>
              <w:rPr>
                <w:sz w:val="9"/>
                <w:szCs w:val="9"/>
                <w:color w:val="auto"/>
              </w:rPr>
            </w:pPr>
          </w:p>
        </w:tc>
        <w:tc>
          <w:tcPr>
            <w:tcW w:w="1000" w:type="dxa"/>
            <w:vAlign w:val="bottom"/>
            <w:tcBorders>
              <w:bottom w:val="single" w:sz="8" w:color="58585A"/>
            </w:tcBorders>
            <w:vMerge w:val="continue"/>
          </w:tcPr>
          <w:p>
            <w:pPr>
              <w:spacing w:after="0"/>
              <w:rPr>
                <w:sz w:val="9"/>
                <w:szCs w:val="9"/>
                <w:color w:val="auto"/>
              </w:rPr>
            </w:pPr>
          </w:p>
        </w:tc>
        <w:tc>
          <w:tcPr>
            <w:tcW w:w="820" w:type="dxa"/>
            <w:vAlign w:val="bottom"/>
            <w:tcBorders>
              <w:bottom w:val="single" w:sz="8" w:color="58585A"/>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160,000</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52.03</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12/16/2021</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240,000</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52.03</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12/16/2021</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125,000</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30.63</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12/14/2020</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187,500</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30.63</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12/14/2020</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187,500</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21.25</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12/18/2019</w:t>
            </w: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125,000</w:t>
            </w:r>
          </w:p>
        </w:tc>
        <w:tc>
          <w:tcPr>
            <w:tcW w:w="100" w:type="dxa"/>
            <w:vAlign w:val="bottom"/>
            <w:tcBorders>
              <w:bottom w:val="single" w:sz="8" w:color="58585A"/>
            </w:tcBorders>
          </w:tcPr>
          <w:p>
            <w:pPr>
              <w:spacing w:after="0"/>
              <w:rPr>
                <w:sz w:val="13"/>
                <w:szCs w:val="13"/>
                <w:color w:val="auto"/>
              </w:rPr>
            </w:pPr>
          </w:p>
        </w:tc>
        <w:tc>
          <w:tcPr>
            <w:tcW w:w="220" w:type="dxa"/>
            <w:vAlign w:val="bottom"/>
            <w:tcBorders>
              <w:bottom w:val="single" w:sz="8" w:color="58585A"/>
            </w:tcBorders>
          </w:tcPr>
          <w:p>
            <w:pPr>
              <w:spacing w:after="0"/>
              <w:rPr>
                <w:sz w:val="13"/>
                <w:szCs w:val="13"/>
                <w:color w:val="auto"/>
              </w:rPr>
            </w:pPr>
          </w:p>
        </w:tc>
        <w:tc>
          <w:tcPr>
            <w:tcW w:w="7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tcPr>
          <w:p>
            <w:pPr>
              <w:spacing w:after="0"/>
              <w:rPr>
                <w:sz w:val="13"/>
                <w:szCs w:val="13"/>
                <w:color w:val="auto"/>
              </w:rPr>
            </w:pPr>
          </w:p>
        </w:tc>
        <w:tc>
          <w:tcPr>
            <w:tcW w:w="7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tcPr>
          <w:p>
            <w:pPr>
              <w:jc w:val="right"/>
              <w:ind w:right="82"/>
              <w:spacing w:after="0"/>
              <w:rPr>
                <w:sz w:val="20"/>
                <w:szCs w:val="20"/>
                <w:color w:val="auto"/>
              </w:rPr>
            </w:pPr>
            <w:r>
              <w:rPr>
                <w:rFonts w:ascii="Arial" w:cs="Arial" w:eastAsia="Arial" w:hAnsi="Arial"/>
                <w:sz w:val="13"/>
                <w:szCs w:val="13"/>
                <w:color w:val="auto"/>
              </w:rPr>
              <w:t>21.25</w:t>
            </w:r>
          </w:p>
        </w:tc>
        <w:tc>
          <w:tcPr>
            <w:tcW w:w="7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12/18/2019</w:t>
            </w:r>
          </w:p>
        </w:tc>
        <w:tc>
          <w:tcPr>
            <w:tcW w:w="100" w:type="dxa"/>
            <w:vAlign w:val="bottom"/>
            <w:tcBorders>
              <w:bottom w:val="single" w:sz="8" w:color="58585A"/>
            </w:tcBorders>
          </w:tcPr>
          <w:p>
            <w:pPr>
              <w:spacing w:after="0"/>
              <w:rPr>
                <w:sz w:val="13"/>
                <w:szCs w:val="13"/>
                <w:color w:val="auto"/>
              </w:rPr>
            </w:pPr>
          </w:p>
        </w:tc>
        <w:tc>
          <w:tcPr>
            <w:tcW w:w="8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180" w:type="dxa"/>
            <w:vAlign w:val="bottom"/>
            <w:tcBorders>
              <w:bottom w:val="single" w:sz="8" w:color="58585A"/>
            </w:tcBorders>
          </w:tcPr>
          <w:p>
            <w:pPr>
              <w:ind w:left="1760"/>
              <w:spacing w:after="0"/>
              <w:rPr>
                <w:sz w:val="20"/>
                <w:szCs w:val="20"/>
                <w:color w:val="auto"/>
              </w:rPr>
            </w:pPr>
            <w:r>
              <w:rPr>
                <w:rFonts w:ascii="Arial" w:cs="Arial" w:eastAsia="Arial" w:hAnsi="Arial"/>
                <w:sz w:val="13"/>
                <w:szCs w:val="13"/>
                <w:b w:val="1"/>
                <w:bCs w:val="1"/>
                <w:color w:val="auto"/>
                <w:w w:val="92"/>
              </w:rPr>
              <w:t>TOTAL</w:t>
            </w:r>
          </w:p>
        </w:tc>
        <w:tc>
          <w:tcPr>
            <w:tcW w:w="820" w:type="dxa"/>
            <w:vAlign w:val="bottom"/>
            <w:tcBorders>
              <w:bottom w:val="single" w:sz="8" w:color="58585A"/>
            </w:tcBorders>
            <w:gridSpan w:val="3"/>
          </w:tcPr>
          <w:p>
            <w:pPr>
              <w:jc w:val="right"/>
              <w:spacing w:after="0"/>
              <w:rPr>
                <w:sz w:val="20"/>
                <w:szCs w:val="20"/>
                <w:color w:val="auto"/>
              </w:rPr>
            </w:pPr>
            <w:r>
              <w:rPr>
                <w:rFonts w:ascii="Arial" w:cs="Arial" w:eastAsia="Arial" w:hAnsi="Arial"/>
                <w:sz w:val="13"/>
                <w:szCs w:val="13"/>
                <w:b w:val="1"/>
                <w:bCs w:val="1"/>
                <w:color w:val="auto"/>
              </w:rPr>
              <w:t>1,986,337</w:t>
            </w:r>
          </w:p>
        </w:tc>
        <w:tc>
          <w:tcPr>
            <w:tcW w:w="100" w:type="dxa"/>
            <w:vAlign w:val="bottom"/>
            <w:tcBorders>
              <w:bottom w:val="single" w:sz="8" w:color="58585A"/>
            </w:tcBorders>
          </w:tcPr>
          <w:p>
            <w:pPr>
              <w:spacing w:after="0"/>
              <w:rPr>
                <w:sz w:val="14"/>
                <w:szCs w:val="14"/>
                <w:color w:val="auto"/>
              </w:rPr>
            </w:pPr>
          </w:p>
        </w:tc>
        <w:tc>
          <w:tcPr>
            <w:tcW w:w="84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b w:val="1"/>
                <w:bCs w:val="1"/>
                <w:color w:val="auto"/>
              </w:rPr>
              <w:t>350,205</w:t>
            </w:r>
          </w:p>
        </w:tc>
        <w:tc>
          <w:tcPr>
            <w:tcW w:w="100" w:type="dxa"/>
            <w:vAlign w:val="bottom"/>
            <w:tcBorders>
              <w:bottom w:val="single" w:sz="8" w:color="58585A"/>
            </w:tcBorders>
          </w:tcPr>
          <w:p>
            <w:pPr>
              <w:spacing w:after="0"/>
              <w:rPr>
                <w:sz w:val="14"/>
                <w:szCs w:val="14"/>
                <w:color w:val="auto"/>
              </w:rPr>
            </w:pPr>
          </w:p>
        </w:tc>
        <w:tc>
          <w:tcPr>
            <w:tcW w:w="22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spacing w:after="0"/>
              <w:rPr>
                <w:sz w:val="14"/>
                <w:szCs w:val="14"/>
                <w:color w:val="auto"/>
              </w:rPr>
            </w:pPr>
          </w:p>
        </w:tc>
        <w:tc>
          <w:tcPr>
            <w:tcW w:w="100" w:type="dxa"/>
            <w:vAlign w:val="bottom"/>
            <w:tcBorders>
              <w:bottom w:val="single" w:sz="8" w:color="58585A"/>
            </w:tcBorders>
          </w:tcPr>
          <w:p>
            <w:pPr>
              <w:spacing w:after="0"/>
              <w:rPr>
                <w:sz w:val="14"/>
                <w:szCs w:val="14"/>
                <w:color w:val="auto"/>
              </w:rPr>
            </w:pPr>
          </w:p>
        </w:tc>
        <w:tc>
          <w:tcPr>
            <w:tcW w:w="860" w:type="dxa"/>
            <w:vAlign w:val="bottom"/>
            <w:tcBorders>
              <w:bottom w:val="single" w:sz="8" w:color="58585A"/>
            </w:tcBorders>
          </w:tcPr>
          <w:p>
            <w:pPr>
              <w:spacing w:after="0"/>
              <w:rPr>
                <w:sz w:val="14"/>
                <w:szCs w:val="14"/>
                <w:color w:val="auto"/>
              </w:rPr>
            </w:pPr>
          </w:p>
        </w:tc>
        <w:tc>
          <w:tcPr>
            <w:tcW w:w="720" w:type="dxa"/>
            <w:vAlign w:val="bottom"/>
            <w:tcBorders>
              <w:bottom w:val="single" w:sz="8" w:color="58585A"/>
            </w:tcBorders>
          </w:tcPr>
          <w:p>
            <w:pPr>
              <w:spacing w:after="0"/>
              <w:rPr>
                <w:sz w:val="14"/>
                <w:szCs w:val="14"/>
                <w:color w:val="auto"/>
              </w:rPr>
            </w:pPr>
          </w:p>
        </w:tc>
        <w:tc>
          <w:tcPr>
            <w:tcW w:w="100" w:type="dxa"/>
            <w:vAlign w:val="bottom"/>
            <w:tcBorders>
              <w:bottom w:val="single" w:sz="8" w:color="58585A"/>
            </w:tcBorders>
          </w:tcPr>
          <w:p>
            <w:pPr>
              <w:spacing w:after="0"/>
              <w:rPr>
                <w:sz w:val="14"/>
                <w:szCs w:val="14"/>
                <w:color w:val="auto"/>
              </w:rPr>
            </w:pPr>
          </w:p>
        </w:tc>
        <w:tc>
          <w:tcPr>
            <w:tcW w:w="88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spacing w:after="0"/>
              <w:rPr>
                <w:sz w:val="14"/>
                <w:szCs w:val="14"/>
                <w:color w:val="auto"/>
              </w:rPr>
            </w:pPr>
          </w:p>
        </w:tc>
        <w:tc>
          <w:tcPr>
            <w:tcW w:w="820" w:type="dxa"/>
            <w:vAlign w:val="bottom"/>
            <w:tcBorders>
              <w:bottom w:val="single" w:sz="8" w:color="58585A"/>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gridSpan w:val="2"/>
            <w:shd w:val="clear" w:color="auto" w:fill="ECEDED"/>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3"/>
            <w:shd w:val="clear" w:color="auto" w:fill="ECEDED"/>
          </w:tcPr>
          <w:p>
            <w:pPr>
              <w:jc w:val="right"/>
              <w:ind w:right="40"/>
              <w:spacing w:after="0" w:line="164" w:lineRule="exact"/>
              <w:rPr>
                <w:sz w:val="20"/>
                <w:szCs w:val="20"/>
                <w:color w:val="auto"/>
              </w:rPr>
            </w:pPr>
            <w:r>
              <w:rPr>
                <w:rFonts w:ascii="Arial" w:cs="Arial" w:eastAsia="Arial" w:hAnsi="Arial"/>
                <w:sz w:val="11"/>
                <w:szCs w:val="11"/>
                <w:color w:val="auto"/>
              </w:rPr>
              <w:t>129,013</w:t>
            </w:r>
            <w:r>
              <w:rPr>
                <w:rFonts w:ascii="Arial" w:cs="Arial" w:eastAsia="Arial" w:hAnsi="Arial"/>
                <w:sz w:val="18"/>
                <w:szCs w:val="18"/>
                <w:color w:val="auto"/>
                <w:vertAlign w:val="superscript"/>
              </w:rPr>
              <w:t>1</w:t>
            </w: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381.40</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12/12/2028</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34,869</w:t>
            </w:r>
          </w:p>
        </w:tc>
        <w:tc>
          <w:tcPr>
            <w:tcW w:w="10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gridSpan w:val="3"/>
            <w:shd w:val="clear" w:color="auto" w:fill="ECEDED"/>
          </w:tcPr>
          <w:p>
            <w:pPr>
              <w:jc w:val="right"/>
              <w:ind w:right="40"/>
              <w:spacing w:after="0" w:line="162" w:lineRule="exact"/>
              <w:rPr>
                <w:sz w:val="20"/>
                <w:szCs w:val="20"/>
                <w:color w:val="auto"/>
              </w:rPr>
            </w:pPr>
            <w:r>
              <w:rPr>
                <w:rFonts w:ascii="Arial" w:cs="Arial" w:eastAsia="Arial" w:hAnsi="Arial"/>
                <w:sz w:val="11"/>
                <w:szCs w:val="11"/>
                <w:color w:val="auto"/>
              </w:rPr>
              <w:t>104,605</w:t>
            </w:r>
            <w:r>
              <w:rPr>
                <w:rFonts w:ascii="Arial" w:cs="Arial" w:eastAsia="Arial" w:hAnsi="Arial"/>
                <w:sz w:val="18"/>
                <w:szCs w:val="18"/>
                <w:color w:val="auto"/>
                <w:vertAlign w:val="superscript"/>
              </w:rPr>
              <w:t>2</w:t>
            </w: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378.98</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12/12/2027</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73,408</w:t>
            </w:r>
          </w:p>
        </w:tc>
        <w:tc>
          <w:tcPr>
            <w:tcW w:w="10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gridSpan w:val="3"/>
            <w:shd w:val="clear" w:color="auto" w:fill="ECEDED"/>
          </w:tcPr>
          <w:p>
            <w:pPr>
              <w:jc w:val="right"/>
              <w:ind w:right="40"/>
              <w:spacing w:after="0" w:line="162" w:lineRule="exact"/>
              <w:rPr>
                <w:sz w:val="20"/>
                <w:szCs w:val="20"/>
                <w:color w:val="auto"/>
              </w:rPr>
            </w:pPr>
            <w:r>
              <w:rPr>
                <w:rFonts w:ascii="Arial" w:cs="Arial" w:eastAsia="Arial" w:hAnsi="Arial"/>
                <w:sz w:val="11"/>
                <w:szCs w:val="11"/>
                <w:color w:val="auto"/>
              </w:rPr>
              <w:t>73,407</w:t>
            </w:r>
            <w:r>
              <w:rPr>
                <w:rFonts w:ascii="Arial" w:cs="Arial" w:eastAsia="Arial" w:hAnsi="Arial"/>
                <w:sz w:val="18"/>
                <w:szCs w:val="18"/>
                <w:color w:val="auto"/>
                <w:vertAlign w:val="superscript"/>
              </w:rPr>
              <w:t>3</w:t>
            </w: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381.92</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12/16/2026</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110,112</w:t>
            </w:r>
          </w:p>
        </w:tc>
        <w:tc>
          <w:tcPr>
            <w:tcW w:w="10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gridSpan w:val="3"/>
            <w:shd w:val="clear" w:color="auto" w:fill="ECEDED"/>
          </w:tcPr>
          <w:p>
            <w:pPr>
              <w:jc w:val="right"/>
              <w:ind w:right="40"/>
              <w:spacing w:after="0" w:line="162" w:lineRule="exact"/>
              <w:rPr>
                <w:sz w:val="20"/>
                <w:szCs w:val="20"/>
                <w:color w:val="auto"/>
              </w:rPr>
            </w:pPr>
            <w:r>
              <w:rPr>
                <w:rFonts w:ascii="Arial" w:cs="Arial" w:eastAsia="Arial" w:hAnsi="Arial"/>
                <w:sz w:val="11"/>
                <w:szCs w:val="11"/>
                <w:color w:val="auto"/>
              </w:rPr>
              <w:t>36,703</w:t>
            </w:r>
            <w:r>
              <w:rPr>
                <w:rFonts w:ascii="Arial" w:cs="Arial" w:eastAsia="Arial" w:hAnsi="Arial"/>
                <w:sz w:val="18"/>
                <w:szCs w:val="18"/>
                <w:color w:val="auto"/>
                <w:vertAlign w:val="superscript"/>
              </w:rPr>
              <w:t>4</w:t>
            </w: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555.67</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12/16/2025</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18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58585A"/>
            </w:tcBorders>
            <w:shd w:val="clear" w:color="auto" w:fill="ECEDED"/>
          </w:tcPr>
          <w:p>
            <w:pPr>
              <w:spacing w:after="0"/>
              <w:rPr>
                <w:sz w:val="13"/>
                <w:szCs w:val="13"/>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172,723</w:t>
            </w:r>
          </w:p>
        </w:tc>
        <w:tc>
          <w:tcPr>
            <w:tcW w:w="100" w:type="dxa"/>
            <w:vAlign w:val="bottom"/>
            <w:tcBorders>
              <w:bottom w:val="single" w:sz="8" w:color="58585A"/>
            </w:tcBorders>
            <w:shd w:val="clear" w:color="auto" w:fill="ECEDED"/>
          </w:tcPr>
          <w:p>
            <w:pPr>
              <w:spacing w:after="0"/>
              <w:rPr>
                <w:sz w:val="13"/>
                <w:szCs w:val="13"/>
                <w:color w:val="auto"/>
              </w:rPr>
            </w:pP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gridSpan w:val="2"/>
            <w:shd w:val="clear" w:color="auto" w:fill="ECEDED"/>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399.66</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12/16/2024</w:t>
            </w:r>
          </w:p>
        </w:tc>
        <w:tc>
          <w:tcPr>
            <w:tcW w:w="100" w:type="dxa"/>
            <w:vAlign w:val="bottom"/>
            <w:tcBorders>
              <w:bottom w:val="single" w:sz="8" w:color="58585A"/>
            </w:tcBorders>
            <w:shd w:val="clear" w:color="auto" w:fill="ECEDED"/>
          </w:tcPr>
          <w:p>
            <w:pPr>
              <w:spacing w:after="0"/>
              <w:rPr>
                <w:sz w:val="13"/>
                <w:szCs w:val="13"/>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180" w:type="dxa"/>
            <w:vAlign w:val="bottom"/>
            <w:tcBorders>
              <w:bottom w:val="single" w:sz="8" w:color="ECEDED"/>
            </w:tcBorders>
            <w:vMerge w:val="restart"/>
            <w:shd w:val="clear" w:color="auto" w:fill="ECEDED"/>
          </w:tcPr>
          <w:p>
            <w:pPr>
              <w:ind w:left="40"/>
              <w:spacing w:after="0"/>
              <w:rPr>
                <w:sz w:val="20"/>
                <w:szCs w:val="20"/>
                <w:color w:val="auto"/>
              </w:rPr>
            </w:pPr>
            <w:r>
              <w:rPr>
                <w:rFonts w:ascii="Arial" w:cs="Arial" w:eastAsia="Arial" w:hAnsi="Arial"/>
                <w:sz w:val="12"/>
                <w:szCs w:val="12"/>
                <w:b w:val="1"/>
                <w:bCs w:val="1"/>
                <w:color w:val="D61C5A"/>
              </w:rPr>
              <w:t>George D. Yancopoulos,</w:t>
            </w:r>
          </w:p>
        </w:tc>
        <w:tc>
          <w:tcPr>
            <w:tcW w:w="10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58585A"/>
            </w:tcBorders>
            <w:shd w:val="clear" w:color="auto" w:fill="ECEDED"/>
          </w:tcPr>
          <w:p>
            <w:pPr>
              <w:spacing w:after="0"/>
              <w:rPr>
                <w:sz w:val="13"/>
                <w:szCs w:val="13"/>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203,204</w:t>
            </w:r>
          </w:p>
        </w:tc>
        <w:tc>
          <w:tcPr>
            <w:tcW w:w="100" w:type="dxa"/>
            <w:vAlign w:val="bottom"/>
            <w:tcBorders>
              <w:bottom w:val="single" w:sz="8" w:color="58585A"/>
            </w:tcBorders>
            <w:shd w:val="clear" w:color="auto" w:fill="ECEDED"/>
          </w:tcPr>
          <w:p>
            <w:pPr>
              <w:spacing w:after="0"/>
              <w:rPr>
                <w:sz w:val="13"/>
                <w:szCs w:val="13"/>
                <w:color w:val="auto"/>
              </w:rPr>
            </w:pP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gridSpan w:val="2"/>
            <w:shd w:val="clear" w:color="auto" w:fill="ECEDED"/>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270.43</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12/13/2023</w:t>
            </w:r>
          </w:p>
        </w:tc>
        <w:tc>
          <w:tcPr>
            <w:tcW w:w="100" w:type="dxa"/>
            <w:vAlign w:val="bottom"/>
            <w:tcBorders>
              <w:bottom w:val="single" w:sz="8" w:color="58585A"/>
            </w:tcBorders>
            <w:shd w:val="clear" w:color="auto" w:fill="ECEDED"/>
          </w:tcPr>
          <w:p>
            <w:pPr>
              <w:spacing w:after="0"/>
              <w:rPr>
                <w:sz w:val="13"/>
                <w:szCs w:val="13"/>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180" w:type="dxa"/>
            <w:vAlign w:val="bottom"/>
            <w:vMerge w:val="continue"/>
            <w:shd w:val="clear" w:color="auto" w:fill="ECEDED"/>
          </w:tcPr>
          <w:p>
            <w:pPr>
              <w:spacing w:after="0"/>
              <w:rPr>
                <w:sz w:val="4"/>
                <w:szCs w:val="4"/>
                <w:color w:val="auto"/>
              </w:rPr>
            </w:pPr>
          </w:p>
        </w:tc>
        <w:tc>
          <w:tcPr>
            <w:tcW w:w="100" w:type="dxa"/>
            <w:vAlign w:val="bottom"/>
            <w:shd w:val="clear" w:color="auto" w:fill="ECEDED"/>
          </w:tcPr>
          <w:p>
            <w:pPr>
              <w:spacing w:after="0"/>
              <w:rPr>
                <w:sz w:val="4"/>
                <w:szCs w:val="4"/>
                <w:color w:val="auto"/>
              </w:rPr>
            </w:pPr>
          </w:p>
        </w:tc>
        <w:tc>
          <w:tcPr>
            <w:tcW w:w="100" w:type="dxa"/>
            <w:vAlign w:val="bottom"/>
            <w:shd w:val="clear" w:color="auto" w:fill="ECEDED"/>
          </w:tcPr>
          <w:p>
            <w:pPr>
              <w:spacing w:after="0"/>
              <w:rPr>
                <w:sz w:val="4"/>
                <w:szCs w:val="4"/>
                <w:color w:val="auto"/>
              </w:rPr>
            </w:pPr>
          </w:p>
        </w:tc>
        <w:tc>
          <w:tcPr>
            <w:tcW w:w="620" w:type="dxa"/>
            <w:vAlign w:val="bottom"/>
            <w:vMerge w:val="restart"/>
            <w:shd w:val="clear" w:color="auto" w:fill="ECEDED"/>
          </w:tcPr>
          <w:p>
            <w:pPr>
              <w:jc w:val="right"/>
              <w:spacing w:after="0"/>
              <w:rPr>
                <w:sz w:val="20"/>
                <w:szCs w:val="20"/>
                <w:color w:val="auto"/>
              </w:rPr>
            </w:pPr>
            <w:r>
              <w:rPr>
                <w:rFonts w:ascii="Arial" w:cs="Arial" w:eastAsia="Arial" w:hAnsi="Arial"/>
                <w:sz w:val="13"/>
                <w:szCs w:val="13"/>
                <w:color w:val="auto"/>
              </w:rPr>
              <w:t>239,063</w:t>
            </w:r>
          </w:p>
        </w:tc>
        <w:tc>
          <w:tcPr>
            <w:tcW w:w="100" w:type="dxa"/>
            <w:vAlign w:val="bottom"/>
            <w:shd w:val="clear" w:color="auto" w:fill="ECEDED"/>
          </w:tcPr>
          <w:p>
            <w:pPr>
              <w:spacing w:after="0"/>
              <w:rPr>
                <w:sz w:val="4"/>
                <w:szCs w:val="4"/>
                <w:color w:val="auto"/>
              </w:rPr>
            </w:pPr>
          </w:p>
        </w:tc>
        <w:tc>
          <w:tcPr>
            <w:tcW w:w="220" w:type="dxa"/>
            <w:vAlign w:val="bottom"/>
            <w:shd w:val="clear" w:color="auto" w:fill="ECEDED"/>
          </w:tcPr>
          <w:p>
            <w:pPr>
              <w:spacing w:after="0"/>
              <w:rPr>
                <w:sz w:val="4"/>
                <w:szCs w:val="4"/>
                <w:color w:val="auto"/>
              </w:rPr>
            </w:pPr>
          </w:p>
        </w:tc>
        <w:tc>
          <w:tcPr>
            <w:tcW w:w="620" w:type="dxa"/>
            <w:vAlign w:val="bottom"/>
            <w:vMerge w:val="restart"/>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CEDED"/>
          </w:tcPr>
          <w:p>
            <w:pPr>
              <w:spacing w:after="0"/>
              <w:rPr>
                <w:sz w:val="4"/>
                <w:szCs w:val="4"/>
                <w:color w:val="auto"/>
              </w:rPr>
            </w:pPr>
          </w:p>
        </w:tc>
        <w:tc>
          <w:tcPr>
            <w:tcW w:w="220" w:type="dxa"/>
            <w:vAlign w:val="bottom"/>
            <w:shd w:val="clear" w:color="auto" w:fill="ECEDED"/>
          </w:tcPr>
          <w:p>
            <w:pPr>
              <w:spacing w:after="0"/>
              <w:rPr>
                <w:sz w:val="4"/>
                <w:szCs w:val="4"/>
                <w:color w:val="auto"/>
              </w:rPr>
            </w:pPr>
          </w:p>
        </w:tc>
        <w:tc>
          <w:tcPr>
            <w:tcW w:w="720" w:type="dxa"/>
            <w:vAlign w:val="bottom"/>
            <w:vMerge w:val="restart"/>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ECEDED"/>
          </w:tcPr>
          <w:p>
            <w:pPr>
              <w:jc w:val="right"/>
              <w:ind w:right="82"/>
              <w:spacing w:after="0"/>
              <w:rPr>
                <w:sz w:val="20"/>
                <w:szCs w:val="20"/>
                <w:color w:val="auto"/>
              </w:rPr>
            </w:pPr>
            <w:r>
              <w:rPr>
                <w:rFonts w:ascii="Arial" w:cs="Arial" w:eastAsia="Arial" w:hAnsi="Arial"/>
                <w:sz w:val="13"/>
                <w:szCs w:val="13"/>
                <w:color w:val="auto"/>
              </w:rPr>
              <w:t>179.13</w:t>
            </w:r>
          </w:p>
        </w:tc>
        <w:tc>
          <w:tcPr>
            <w:tcW w:w="72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5"/>
              </w:rPr>
              <w:t>12/14/2022</w:t>
            </w:r>
          </w:p>
        </w:tc>
        <w:tc>
          <w:tcPr>
            <w:tcW w:w="100" w:type="dxa"/>
            <w:vAlign w:val="bottom"/>
            <w:shd w:val="clear" w:color="auto" w:fill="ECEDED"/>
          </w:tcPr>
          <w:p>
            <w:pPr>
              <w:spacing w:after="0"/>
              <w:rPr>
                <w:sz w:val="4"/>
                <w:szCs w:val="4"/>
                <w:color w:val="auto"/>
              </w:rPr>
            </w:pPr>
          </w:p>
        </w:tc>
        <w:tc>
          <w:tcPr>
            <w:tcW w:w="880" w:type="dxa"/>
            <w:vAlign w:val="bottom"/>
            <w:vMerge w:val="restart"/>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2180" w:type="dxa"/>
            <w:vAlign w:val="bottom"/>
            <w:tcBorders>
              <w:bottom w:val="single" w:sz="8" w:color="ECEDED"/>
            </w:tcBorders>
            <w:shd w:val="clear" w:color="auto" w:fill="ECEDED"/>
          </w:tcPr>
          <w:p>
            <w:pPr>
              <w:ind w:left="40"/>
              <w:spacing w:after="0" w:line="110" w:lineRule="exact"/>
              <w:rPr>
                <w:sz w:val="20"/>
                <w:szCs w:val="20"/>
                <w:color w:val="auto"/>
              </w:rPr>
            </w:pPr>
            <w:r>
              <w:rPr>
                <w:rFonts w:ascii="Arial" w:cs="Arial" w:eastAsia="Arial" w:hAnsi="Arial"/>
                <w:sz w:val="12"/>
                <w:szCs w:val="12"/>
                <w:b w:val="1"/>
                <w:bCs w:val="1"/>
                <w:color w:val="D61C5A"/>
              </w:rPr>
              <w:t>M.D., Ph.D.</w:t>
            </w:r>
          </w:p>
        </w:tc>
        <w:tc>
          <w:tcPr>
            <w:tcW w:w="100" w:type="dxa"/>
            <w:vAlign w:val="bottom"/>
            <w:tcBorders>
              <w:bottom w:val="single" w:sz="8" w:color="ECEDED"/>
            </w:tcBorders>
            <w:shd w:val="clear" w:color="auto" w:fill="ECEDED"/>
          </w:tcPr>
          <w:p>
            <w:pPr>
              <w:spacing w:after="0"/>
              <w:rPr>
                <w:sz w:val="10"/>
                <w:szCs w:val="10"/>
                <w:color w:val="auto"/>
              </w:rPr>
            </w:pPr>
          </w:p>
        </w:tc>
        <w:tc>
          <w:tcPr>
            <w:tcW w:w="100" w:type="dxa"/>
            <w:vAlign w:val="bottom"/>
            <w:tcBorders>
              <w:bottom w:val="single" w:sz="8" w:color="58585A"/>
            </w:tcBorders>
            <w:shd w:val="clear" w:color="auto" w:fill="ECEDED"/>
          </w:tcPr>
          <w:p>
            <w:pPr>
              <w:spacing w:after="0"/>
              <w:rPr>
                <w:sz w:val="10"/>
                <w:szCs w:val="10"/>
                <w:color w:val="auto"/>
              </w:rPr>
            </w:pPr>
          </w:p>
        </w:tc>
        <w:tc>
          <w:tcPr>
            <w:tcW w:w="620" w:type="dxa"/>
            <w:vAlign w:val="bottom"/>
            <w:tcBorders>
              <w:bottom w:val="single" w:sz="8" w:color="58585A"/>
            </w:tcBorders>
            <w:vMerge w:val="continue"/>
            <w:shd w:val="clear" w:color="auto" w:fill="ECEDED"/>
          </w:tcPr>
          <w:p>
            <w:pPr>
              <w:spacing w:after="0"/>
              <w:rPr>
                <w:sz w:val="10"/>
                <w:szCs w:val="10"/>
                <w:color w:val="auto"/>
              </w:rPr>
            </w:pPr>
          </w:p>
        </w:tc>
        <w:tc>
          <w:tcPr>
            <w:tcW w:w="100" w:type="dxa"/>
            <w:vAlign w:val="bottom"/>
            <w:tcBorders>
              <w:bottom w:val="single" w:sz="8" w:color="58585A"/>
            </w:tcBorders>
            <w:shd w:val="clear" w:color="auto" w:fill="ECEDED"/>
          </w:tcPr>
          <w:p>
            <w:pPr>
              <w:spacing w:after="0"/>
              <w:rPr>
                <w:sz w:val="10"/>
                <w:szCs w:val="10"/>
                <w:color w:val="auto"/>
              </w:rPr>
            </w:pPr>
          </w:p>
        </w:tc>
        <w:tc>
          <w:tcPr>
            <w:tcW w:w="220" w:type="dxa"/>
            <w:vAlign w:val="bottom"/>
            <w:tcBorders>
              <w:bottom w:val="single" w:sz="8" w:color="58585A"/>
            </w:tcBorders>
            <w:shd w:val="clear" w:color="auto" w:fill="ECEDED"/>
          </w:tcPr>
          <w:p>
            <w:pPr>
              <w:spacing w:after="0"/>
              <w:rPr>
                <w:sz w:val="10"/>
                <w:szCs w:val="10"/>
                <w:color w:val="auto"/>
              </w:rPr>
            </w:pPr>
          </w:p>
        </w:tc>
        <w:tc>
          <w:tcPr>
            <w:tcW w:w="620" w:type="dxa"/>
            <w:vAlign w:val="bottom"/>
            <w:tcBorders>
              <w:bottom w:val="single" w:sz="8" w:color="58585A"/>
            </w:tcBorders>
            <w:vMerge w:val="continue"/>
            <w:shd w:val="clear" w:color="auto" w:fill="ECEDED"/>
          </w:tcPr>
          <w:p>
            <w:pPr>
              <w:spacing w:after="0"/>
              <w:rPr>
                <w:sz w:val="10"/>
                <w:szCs w:val="10"/>
                <w:color w:val="auto"/>
              </w:rPr>
            </w:pPr>
          </w:p>
        </w:tc>
        <w:tc>
          <w:tcPr>
            <w:tcW w:w="100" w:type="dxa"/>
            <w:vAlign w:val="bottom"/>
            <w:tcBorders>
              <w:bottom w:val="single" w:sz="8" w:color="58585A"/>
            </w:tcBorders>
            <w:shd w:val="clear" w:color="auto" w:fill="ECEDED"/>
          </w:tcPr>
          <w:p>
            <w:pPr>
              <w:spacing w:after="0"/>
              <w:rPr>
                <w:sz w:val="10"/>
                <w:szCs w:val="10"/>
                <w:color w:val="auto"/>
              </w:rPr>
            </w:pPr>
          </w:p>
        </w:tc>
        <w:tc>
          <w:tcPr>
            <w:tcW w:w="220" w:type="dxa"/>
            <w:vAlign w:val="bottom"/>
            <w:tcBorders>
              <w:bottom w:val="single" w:sz="8" w:color="58585A"/>
            </w:tcBorders>
            <w:shd w:val="clear" w:color="auto" w:fill="ECEDED"/>
          </w:tcPr>
          <w:p>
            <w:pPr>
              <w:spacing w:after="0"/>
              <w:rPr>
                <w:sz w:val="10"/>
                <w:szCs w:val="10"/>
                <w:color w:val="auto"/>
              </w:rPr>
            </w:pPr>
          </w:p>
        </w:tc>
        <w:tc>
          <w:tcPr>
            <w:tcW w:w="720" w:type="dxa"/>
            <w:vAlign w:val="bottom"/>
            <w:tcBorders>
              <w:bottom w:val="single" w:sz="8" w:color="58585A"/>
            </w:tcBorders>
            <w:vMerge w:val="continue"/>
            <w:shd w:val="clear" w:color="auto" w:fill="ECEDED"/>
          </w:tcPr>
          <w:p>
            <w:pPr>
              <w:spacing w:after="0"/>
              <w:rPr>
                <w:sz w:val="10"/>
                <w:szCs w:val="10"/>
                <w:color w:val="auto"/>
              </w:rPr>
            </w:pPr>
          </w:p>
        </w:tc>
        <w:tc>
          <w:tcPr>
            <w:tcW w:w="960" w:type="dxa"/>
            <w:vAlign w:val="bottom"/>
            <w:tcBorders>
              <w:bottom w:val="single" w:sz="8" w:color="58585A"/>
            </w:tcBorders>
            <w:gridSpan w:val="2"/>
            <w:vMerge w:val="continue"/>
            <w:shd w:val="clear" w:color="auto" w:fill="ECEDED"/>
          </w:tcPr>
          <w:p>
            <w:pPr>
              <w:spacing w:after="0"/>
              <w:rPr>
                <w:sz w:val="10"/>
                <w:szCs w:val="10"/>
                <w:color w:val="auto"/>
              </w:rPr>
            </w:pPr>
          </w:p>
        </w:tc>
        <w:tc>
          <w:tcPr>
            <w:tcW w:w="720" w:type="dxa"/>
            <w:vAlign w:val="bottom"/>
            <w:tcBorders>
              <w:bottom w:val="single" w:sz="8" w:color="58585A"/>
            </w:tcBorders>
            <w:vMerge w:val="continue"/>
            <w:shd w:val="clear" w:color="auto" w:fill="ECEDED"/>
          </w:tcPr>
          <w:p>
            <w:pPr>
              <w:spacing w:after="0"/>
              <w:rPr>
                <w:sz w:val="10"/>
                <w:szCs w:val="10"/>
                <w:color w:val="auto"/>
              </w:rPr>
            </w:pPr>
          </w:p>
        </w:tc>
        <w:tc>
          <w:tcPr>
            <w:tcW w:w="100" w:type="dxa"/>
            <w:vAlign w:val="bottom"/>
            <w:tcBorders>
              <w:bottom w:val="single" w:sz="8" w:color="58585A"/>
            </w:tcBorders>
            <w:shd w:val="clear" w:color="auto" w:fill="ECEDED"/>
          </w:tcPr>
          <w:p>
            <w:pPr>
              <w:spacing w:after="0"/>
              <w:rPr>
                <w:sz w:val="10"/>
                <w:szCs w:val="10"/>
                <w:color w:val="auto"/>
              </w:rPr>
            </w:pPr>
          </w:p>
        </w:tc>
        <w:tc>
          <w:tcPr>
            <w:tcW w:w="880" w:type="dxa"/>
            <w:vAlign w:val="bottom"/>
            <w:tcBorders>
              <w:bottom w:val="single" w:sz="8" w:color="58585A"/>
            </w:tcBorders>
            <w:vMerge w:val="continue"/>
            <w:shd w:val="clear" w:color="auto" w:fill="ECEDED"/>
          </w:tcPr>
          <w:p>
            <w:pPr>
              <w:spacing w:after="0"/>
              <w:rPr>
                <w:sz w:val="10"/>
                <w:szCs w:val="10"/>
                <w:color w:val="auto"/>
              </w:rPr>
            </w:pPr>
          </w:p>
        </w:tc>
        <w:tc>
          <w:tcPr>
            <w:tcW w:w="940" w:type="dxa"/>
            <w:vAlign w:val="bottom"/>
            <w:tcBorders>
              <w:bottom w:val="single" w:sz="8" w:color="58585A"/>
            </w:tcBorders>
            <w:vMerge w:val="continue"/>
            <w:shd w:val="clear" w:color="auto" w:fill="ECEDED"/>
          </w:tcPr>
          <w:p>
            <w:pPr>
              <w:spacing w:after="0"/>
              <w:rPr>
                <w:sz w:val="10"/>
                <w:szCs w:val="10"/>
                <w:color w:val="auto"/>
              </w:rPr>
            </w:pPr>
          </w:p>
        </w:tc>
        <w:tc>
          <w:tcPr>
            <w:tcW w:w="1000" w:type="dxa"/>
            <w:vAlign w:val="bottom"/>
            <w:tcBorders>
              <w:bottom w:val="single" w:sz="8" w:color="58585A"/>
            </w:tcBorders>
            <w:vMerge w:val="continue"/>
            <w:shd w:val="clear" w:color="auto" w:fill="ECEDED"/>
          </w:tcPr>
          <w:p>
            <w:pPr>
              <w:spacing w:after="0"/>
              <w:rPr>
                <w:sz w:val="10"/>
                <w:szCs w:val="10"/>
                <w:color w:val="auto"/>
              </w:rPr>
            </w:pPr>
          </w:p>
        </w:tc>
        <w:tc>
          <w:tcPr>
            <w:tcW w:w="820" w:type="dxa"/>
            <w:vAlign w:val="bottom"/>
            <w:tcBorders>
              <w:bottom w:val="single" w:sz="8" w:color="58585A"/>
            </w:tcBorders>
            <w:vMerge w:val="continue"/>
            <w:shd w:val="clear" w:color="auto" w:fill="ECEDED"/>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18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58585A"/>
            </w:tcBorders>
            <w:shd w:val="clear" w:color="auto" w:fill="ECEDED"/>
          </w:tcPr>
          <w:p>
            <w:pPr>
              <w:spacing w:after="0"/>
              <w:rPr>
                <w:sz w:val="13"/>
                <w:szCs w:val="13"/>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158,079</w:t>
            </w:r>
          </w:p>
        </w:tc>
        <w:tc>
          <w:tcPr>
            <w:tcW w:w="100" w:type="dxa"/>
            <w:vAlign w:val="bottom"/>
            <w:tcBorders>
              <w:bottom w:val="single" w:sz="8" w:color="58585A"/>
            </w:tcBorders>
            <w:shd w:val="clear" w:color="auto" w:fill="ECEDED"/>
          </w:tcPr>
          <w:p>
            <w:pPr>
              <w:spacing w:after="0"/>
              <w:rPr>
                <w:sz w:val="13"/>
                <w:szCs w:val="13"/>
                <w:color w:val="auto"/>
              </w:rPr>
            </w:pPr>
          </w:p>
        </w:tc>
        <w:tc>
          <w:tcPr>
            <w:tcW w:w="220" w:type="dxa"/>
            <w:vAlign w:val="bottom"/>
            <w:tcBorders>
              <w:bottom w:val="single" w:sz="8" w:color="58585A"/>
            </w:tcBorders>
            <w:shd w:val="clear" w:color="auto" w:fill="ECEDED"/>
          </w:tcPr>
          <w:p>
            <w:pPr>
              <w:spacing w:after="0"/>
              <w:rPr>
                <w:sz w:val="13"/>
                <w:szCs w:val="13"/>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3"/>
                <w:szCs w:val="13"/>
                <w:color w:val="auto"/>
              </w:rPr>
            </w:pP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52.03</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12/16/2021</w:t>
            </w:r>
          </w:p>
        </w:tc>
        <w:tc>
          <w:tcPr>
            <w:tcW w:w="100" w:type="dxa"/>
            <w:vAlign w:val="bottom"/>
            <w:tcBorders>
              <w:bottom w:val="single" w:sz="8" w:color="58585A"/>
            </w:tcBorders>
            <w:shd w:val="clear" w:color="auto" w:fill="ECEDED"/>
          </w:tcPr>
          <w:p>
            <w:pPr>
              <w:spacing w:after="0"/>
              <w:rPr>
                <w:sz w:val="13"/>
                <w:szCs w:val="13"/>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240,000</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52.03</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12/16/2021</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96,736</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30.63</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12/14/2020</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150,000</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30.63</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12/14/2020</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18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150,000</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gridSpan w:val="2"/>
            <w:shd w:val="clear" w:color="auto" w:fill="ECEDED"/>
          </w:tcPr>
          <w:p>
            <w:pPr>
              <w:jc w:val="right"/>
              <w:ind w:right="82"/>
              <w:spacing w:after="0"/>
              <w:rPr>
                <w:sz w:val="20"/>
                <w:szCs w:val="20"/>
                <w:color w:val="auto"/>
              </w:rPr>
            </w:pPr>
            <w:r>
              <w:rPr>
                <w:rFonts w:ascii="Arial" w:cs="Arial" w:eastAsia="Arial" w:hAnsi="Arial"/>
                <w:sz w:val="13"/>
                <w:szCs w:val="13"/>
                <w:color w:val="auto"/>
              </w:rPr>
              <w:t>21.25</w:t>
            </w:r>
          </w:p>
        </w:tc>
        <w:tc>
          <w:tcPr>
            <w:tcW w:w="720" w:type="dxa"/>
            <w:vAlign w:val="bottom"/>
            <w:tcBorders>
              <w:bottom w:val="single" w:sz="8" w:color="58585A"/>
            </w:tcBorders>
            <w:shd w:val="clear" w:color="auto" w:fill="ECEDED"/>
          </w:tcPr>
          <w:p>
            <w:pPr>
              <w:jc w:val="center"/>
              <w:spacing w:after="0"/>
              <w:rPr>
                <w:sz w:val="20"/>
                <w:szCs w:val="20"/>
                <w:color w:val="auto"/>
              </w:rPr>
            </w:pPr>
            <w:r>
              <w:rPr>
                <w:rFonts w:ascii="Arial" w:cs="Arial" w:eastAsia="Arial" w:hAnsi="Arial"/>
                <w:sz w:val="13"/>
                <w:szCs w:val="13"/>
                <w:color w:val="auto"/>
                <w:w w:val="95"/>
              </w:rPr>
              <w:t>12/18/2019</w:t>
            </w:r>
          </w:p>
        </w:tc>
        <w:tc>
          <w:tcPr>
            <w:tcW w:w="100" w:type="dxa"/>
            <w:vAlign w:val="bottom"/>
            <w:tcBorders>
              <w:bottom w:val="single" w:sz="8" w:color="58585A"/>
            </w:tcBorders>
            <w:shd w:val="clear" w:color="auto" w:fill="ECEDED"/>
          </w:tcPr>
          <w:p>
            <w:pPr>
              <w:spacing w:after="0"/>
              <w:rPr>
                <w:sz w:val="14"/>
                <w:szCs w:val="14"/>
                <w:color w:val="auto"/>
              </w:rPr>
            </w:pPr>
          </w:p>
        </w:tc>
        <w:tc>
          <w:tcPr>
            <w:tcW w:w="8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18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205BA8"/>
            </w:tcBorders>
            <w:shd w:val="clear" w:color="auto" w:fill="ECEDED"/>
          </w:tcPr>
          <w:p>
            <w:pPr>
              <w:spacing w:after="0"/>
              <w:rPr>
                <w:sz w:val="13"/>
                <w:szCs w:val="13"/>
                <w:color w:val="auto"/>
              </w:rPr>
            </w:pPr>
          </w:p>
        </w:tc>
        <w:tc>
          <w:tcPr>
            <w:tcW w:w="620" w:type="dxa"/>
            <w:vAlign w:val="bottom"/>
            <w:tcBorders>
              <w:bottom w:val="single" w:sz="8" w:color="205BA8"/>
            </w:tcBorders>
            <w:shd w:val="clear" w:color="auto" w:fill="ECEDED"/>
          </w:tcPr>
          <w:p>
            <w:pPr>
              <w:jc w:val="right"/>
              <w:spacing w:after="0"/>
              <w:rPr>
                <w:sz w:val="20"/>
                <w:szCs w:val="20"/>
                <w:color w:val="auto"/>
              </w:rPr>
            </w:pPr>
            <w:r>
              <w:rPr>
                <w:rFonts w:ascii="Arial" w:cs="Arial" w:eastAsia="Arial" w:hAnsi="Arial"/>
                <w:sz w:val="13"/>
                <w:szCs w:val="13"/>
                <w:color w:val="auto"/>
              </w:rPr>
              <w:t>95,295</w:t>
            </w:r>
          </w:p>
        </w:tc>
        <w:tc>
          <w:tcPr>
            <w:tcW w:w="100" w:type="dxa"/>
            <w:vAlign w:val="bottom"/>
            <w:tcBorders>
              <w:bottom w:val="single" w:sz="8" w:color="205BA8"/>
            </w:tcBorders>
            <w:shd w:val="clear" w:color="auto" w:fill="ECEDED"/>
          </w:tcPr>
          <w:p>
            <w:pPr>
              <w:spacing w:after="0"/>
              <w:rPr>
                <w:sz w:val="13"/>
                <w:szCs w:val="13"/>
                <w:color w:val="auto"/>
              </w:rPr>
            </w:pPr>
          </w:p>
        </w:tc>
        <w:tc>
          <w:tcPr>
            <w:tcW w:w="220" w:type="dxa"/>
            <w:vAlign w:val="bottom"/>
            <w:tcBorders>
              <w:bottom w:val="single" w:sz="8" w:color="205BA8"/>
            </w:tcBorders>
            <w:shd w:val="clear" w:color="auto" w:fill="ECEDED"/>
          </w:tcPr>
          <w:p>
            <w:pPr>
              <w:spacing w:after="0"/>
              <w:rPr>
                <w:sz w:val="13"/>
                <w:szCs w:val="13"/>
                <w:color w:val="auto"/>
              </w:rPr>
            </w:pPr>
          </w:p>
        </w:tc>
        <w:tc>
          <w:tcPr>
            <w:tcW w:w="620" w:type="dxa"/>
            <w:vAlign w:val="bottom"/>
            <w:tcBorders>
              <w:bottom w:val="single" w:sz="8" w:color="205BA8"/>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05BA8"/>
            </w:tcBorders>
            <w:shd w:val="clear" w:color="auto" w:fill="ECEDED"/>
          </w:tcPr>
          <w:p>
            <w:pPr>
              <w:spacing w:after="0"/>
              <w:rPr>
                <w:sz w:val="13"/>
                <w:szCs w:val="13"/>
                <w:color w:val="auto"/>
              </w:rPr>
            </w:pPr>
          </w:p>
        </w:tc>
        <w:tc>
          <w:tcPr>
            <w:tcW w:w="220" w:type="dxa"/>
            <w:vAlign w:val="bottom"/>
            <w:tcBorders>
              <w:bottom w:val="single" w:sz="8" w:color="205BA8"/>
            </w:tcBorders>
            <w:shd w:val="clear" w:color="auto" w:fill="ECEDED"/>
          </w:tcPr>
          <w:p>
            <w:pPr>
              <w:spacing w:after="0"/>
              <w:rPr>
                <w:sz w:val="13"/>
                <w:szCs w:val="13"/>
                <w:color w:val="auto"/>
              </w:rPr>
            </w:pPr>
          </w:p>
        </w:tc>
        <w:tc>
          <w:tcPr>
            <w:tcW w:w="720" w:type="dxa"/>
            <w:vAlign w:val="bottom"/>
            <w:tcBorders>
              <w:bottom w:val="single" w:sz="8" w:color="205BA8"/>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05BA8"/>
            </w:tcBorders>
            <w:shd w:val="clear" w:color="auto" w:fill="ECEDED"/>
          </w:tcPr>
          <w:p>
            <w:pPr>
              <w:spacing w:after="0"/>
              <w:rPr>
                <w:sz w:val="13"/>
                <w:szCs w:val="13"/>
                <w:color w:val="auto"/>
              </w:rPr>
            </w:pPr>
          </w:p>
        </w:tc>
        <w:tc>
          <w:tcPr>
            <w:tcW w:w="860" w:type="dxa"/>
            <w:vAlign w:val="bottom"/>
            <w:tcBorders>
              <w:bottom w:val="single" w:sz="8" w:color="205BA8"/>
            </w:tcBorders>
            <w:shd w:val="clear" w:color="auto" w:fill="ECEDED"/>
          </w:tcPr>
          <w:p>
            <w:pPr>
              <w:jc w:val="right"/>
              <w:ind w:right="82"/>
              <w:spacing w:after="0"/>
              <w:rPr>
                <w:sz w:val="20"/>
                <w:szCs w:val="20"/>
                <w:color w:val="auto"/>
              </w:rPr>
            </w:pPr>
            <w:r>
              <w:rPr>
                <w:rFonts w:ascii="Arial" w:cs="Arial" w:eastAsia="Arial" w:hAnsi="Arial"/>
                <w:sz w:val="13"/>
                <w:szCs w:val="13"/>
                <w:color w:val="auto"/>
              </w:rPr>
              <w:t>21.25</w:t>
            </w:r>
          </w:p>
        </w:tc>
        <w:tc>
          <w:tcPr>
            <w:tcW w:w="720" w:type="dxa"/>
            <w:vAlign w:val="bottom"/>
            <w:tcBorders>
              <w:bottom w:val="single" w:sz="8" w:color="205BA8"/>
            </w:tcBorders>
            <w:shd w:val="clear" w:color="auto" w:fill="ECEDED"/>
          </w:tcPr>
          <w:p>
            <w:pPr>
              <w:jc w:val="center"/>
              <w:spacing w:after="0"/>
              <w:rPr>
                <w:sz w:val="20"/>
                <w:szCs w:val="20"/>
                <w:color w:val="auto"/>
              </w:rPr>
            </w:pPr>
            <w:r>
              <w:rPr>
                <w:rFonts w:ascii="Arial" w:cs="Arial" w:eastAsia="Arial" w:hAnsi="Arial"/>
                <w:sz w:val="13"/>
                <w:szCs w:val="13"/>
                <w:color w:val="auto"/>
                <w:w w:val="95"/>
              </w:rPr>
              <w:t>12/18/2019</w:t>
            </w:r>
          </w:p>
        </w:tc>
        <w:tc>
          <w:tcPr>
            <w:tcW w:w="100" w:type="dxa"/>
            <w:vAlign w:val="bottom"/>
            <w:tcBorders>
              <w:bottom w:val="single" w:sz="8" w:color="205BA8"/>
            </w:tcBorders>
            <w:shd w:val="clear" w:color="auto" w:fill="ECEDED"/>
          </w:tcPr>
          <w:p>
            <w:pPr>
              <w:spacing w:after="0"/>
              <w:rPr>
                <w:sz w:val="13"/>
                <w:szCs w:val="13"/>
                <w:color w:val="auto"/>
              </w:rPr>
            </w:pPr>
          </w:p>
        </w:tc>
        <w:tc>
          <w:tcPr>
            <w:tcW w:w="880" w:type="dxa"/>
            <w:vAlign w:val="bottom"/>
            <w:tcBorders>
              <w:bottom w:val="single" w:sz="8" w:color="205BA8"/>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05BA8"/>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205BA8"/>
            </w:tcBorders>
            <w:shd w:val="clear" w:color="auto" w:fill="ECEDED"/>
          </w:tcPr>
          <w:p>
            <w:pPr>
              <w:ind w:left="4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205BA8"/>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180" w:type="dxa"/>
            <w:vAlign w:val="bottom"/>
            <w:tcBorders>
              <w:bottom w:val="single" w:sz="8" w:color="205BA8"/>
            </w:tcBorders>
            <w:shd w:val="clear" w:color="auto" w:fill="ECEDED"/>
          </w:tcPr>
          <w:p>
            <w:pPr>
              <w:ind w:left="1760"/>
              <w:spacing w:after="0"/>
              <w:rPr>
                <w:sz w:val="20"/>
                <w:szCs w:val="20"/>
                <w:color w:val="auto"/>
              </w:rPr>
            </w:pPr>
            <w:r>
              <w:rPr>
                <w:rFonts w:ascii="Arial" w:cs="Arial" w:eastAsia="Arial" w:hAnsi="Arial"/>
                <w:sz w:val="13"/>
                <w:szCs w:val="13"/>
                <w:b w:val="1"/>
                <w:bCs w:val="1"/>
                <w:color w:val="auto"/>
                <w:w w:val="92"/>
              </w:rPr>
              <w:t>TOTAL</w:t>
            </w:r>
          </w:p>
        </w:tc>
        <w:tc>
          <w:tcPr>
            <w:tcW w:w="100" w:type="dxa"/>
            <w:vAlign w:val="bottom"/>
            <w:tcBorders>
              <w:bottom w:val="single" w:sz="8" w:color="205BA8"/>
            </w:tcBorders>
            <w:shd w:val="clear" w:color="auto" w:fill="ECEDED"/>
          </w:tcPr>
          <w:p>
            <w:pPr>
              <w:spacing w:after="0"/>
              <w:rPr>
                <w:sz w:val="14"/>
                <w:szCs w:val="14"/>
                <w:color w:val="auto"/>
              </w:rPr>
            </w:pPr>
          </w:p>
        </w:tc>
        <w:tc>
          <w:tcPr>
            <w:tcW w:w="100" w:type="dxa"/>
            <w:vAlign w:val="bottom"/>
            <w:tcBorders>
              <w:bottom w:val="single" w:sz="8" w:color="205BA8"/>
            </w:tcBorders>
            <w:shd w:val="clear" w:color="auto" w:fill="ECEDED"/>
          </w:tcPr>
          <w:p>
            <w:pPr>
              <w:spacing w:after="0"/>
              <w:rPr>
                <w:sz w:val="14"/>
                <w:szCs w:val="14"/>
                <w:color w:val="auto"/>
              </w:rPr>
            </w:pPr>
          </w:p>
        </w:tc>
        <w:tc>
          <w:tcPr>
            <w:tcW w:w="620" w:type="dxa"/>
            <w:vAlign w:val="bottom"/>
            <w:tcBorders>
              <w:bottom w:val="single" w:sz="8" w:color="205BA8"/>
            </w:tcBorders>
            <w:shd w:val="clear" w:color="auto" w:fill="ECEDED"/>
          </w:tcPr>
          <w:p>
            <w:pPr>
              <w:jc w:val="right"/>
              <w:spacing w:after="0"/>
              <w:rPr>
                <w:sz w:val="20"/>
                <w:szCs w:val="20"/>
                <w:color w:val="auto"/>
              </w:rPr>
            </w:pPr>
            <w:r>
              <w:rPr>
                <w:rFonts w:ascii="Arial" w:cs="Arial" w:eastAsia="Arial" w:hAnsi="Arial"/>
                <w:sz w:val="13"/>
                <w:szCs w:val="13"/>
                <w:b w:val="1"/>
                <w:bCs w:val="1"/>
                <w:color w:val="auto"/>
              </w:rPr>
              <w:t>1,723,489</w:t>
            </w:r>
          </w:p>
        </w:tc>
        <w:tc>
          <w:tcPr>
            <w:tcW w:w="100" w:type="dxa"/>
            <w:vAlign w:val="bottom"/>
            <w:tcBorders>
              <w:bottom w:val="single" w:sz="8" w:color="205BA8"/>
            </w:tcBorders>
            <w:shd w:val="clear" w:color="auto" w:fill="ECEDED"/>
          </w:tcPr>
          <w:p>
            <w:pPr>
              <w:spacing w:after="0"/>
              <w:rPr>
                <w:sz w:val="14"/>
                <w:szCs w:val="14"/>
                <w:color w:val="auto"/>
              </w:rPr>
            </w:pPr>
          </w:p>
        </w:tc>
        <w:tc>
          <w:tcPr>
            <w:tcW w:w="220" w:type="dxa"/>
            <w:vAlign w:val="bottom"/>
            <w:tcBorders>
              <w:bottom w:val="single" w:sz="8" w:color="205BA8"/>
            </w:tcBorders>
            <w:shd w:val="clear" w:color="auto" w:fill="ECEDED"/>
          </w:tcPr>
          <w:p>
            <w:pPr>
              <w:spacing w:after="0"/>
              <w:rPr>
                <w:sz w:val="14"/>
                <w:szCs w:val="14"/>
                <w:color w:val="auto"/>
              </w:rPr>
            </w:pPr>
          </w:p>
        </w:tc>
        <w:tc>
          <w:tcPr>
            <w:tcW w:w="620" w:type="dxa"/>
            <w:vAlign w:val="bottom"/>
            <w:tcBorders>
              <w:bottom w:val="single" w:sz="8" w:color="205BA8"/>
            </w:tcBorders>
            <w:shd w:val="clear" w:color="auto" w:fill="ECEDED"/>
          </w:tcPr>
          <w:p>
            <w:pPr>
              <w:jc w:val="right"/>
              <w:spacing w:after="0"/>
              <w:rPr>
                <w:sz w:val="20"/>
                <w:szCs w:val="20"/>
                <w:color w:val="auto"/>
              </w:rPr>
            </w:pPr>
            <w:r>
              <w:rPr>
                <w:rFonts w:ascii="Arial" w:cs="Arial" w:eastAsia="Arial" w:hAnsi="Arial"/>
                <w:sz w:val="13"/>
                <w:szCs w:val="13"/>
                <w:b w:val="1"/>
                <w:bCs w:val="1"/>
                <w:color w:val="auto"/>
              </w:rPr>
              <w:t>343,728</w:t>
            </w:r>
          </w:p>
        </w:tc>
        <w:tc>
          <w:tcPr>
            <w:tcW w:w="100" w:type="dxa"/>
            <w:vAlign w:val="bottom"/>
            <w:tcBorders>
              <w:bottom w:val="single" w:sz="8" w:color="205BA8"/>
            </w:tcBorders>
            <w:shd w:val="clear" w:color="auto" w:fill="ECEDED"/>
          </w:tcPr>
          <w:p>
            <w:pPr>
              <w:spacing w:after="0"/>
              <w:rPr>
                <w:sz w:val="14"/>
                <w:szCs w:val="14"/>
                <w:color w:val="auto"/>
              </w:rPr>
            </w:pPr>
          </w:p>
        </w:tc>
        <w:tc>
          <w:tcPr>
            <w:tcW w:w="220" w:type="dxa"/>
            <w:vAlign w:val="bottom"/>
            <w:tcBorders>
              <w:bottom w:val="single" w:sz="8" w:color="205BA8"/>
            </w:tcBorders>
            <w:shd w:val="clear" w:color="auto" w:fill="ECEDED"/>
          </w:tcPr>
          <w:p>
            <w:pPr>
              <w:spacing w:after="0"/>
              <w:rPr>
                <w:sz w:val="14"/>
                <w:szCs w:val="14"/>
                <w:color w:val="auto"/>
              </w:rPr>
            </w:pPr>
          </w:p>
        </w:tc>
        <w:tc>
          <w:tcPr>
            <w:tcW w:w="720" w:type="dxa"/>
            <w:vAlign w:val="bottom"/>
            <w:tcBorders>
              <w:bottom w:val="single" w:sz="8" w:color="205BA8"/>
            </w:tcBorders>
            <w:shd w:val="clear" w:color="auto" w:fill="ECEDED"/>
          </w:tcPr>
          <w:p>
            <w:pPr>
              <w:spacing w:after="0"/>
              <w:rPr>
                <w:sz w:val="14"/>
                <w:szCs w:val="14"/>
                <w:color w:val="auto"/>
              </w:rPr>
            </w:pPr>
          </w:p>
        </w:tc>
        <w:tc>
          <w:tcPr>
            <w:tcW w:w="100" w:type="dxa"/>
            <w:vAlign w:val="bottom"/>
            <w:tcBorders>
              <w:bottom w:val="single" w:sz="8" w:color="205BA8"/>
            </w:tcBorders>
            <w:shd w:val="clear" w:color="auto" w:fill="ECEDED"/>
          </w:tcPr>
          <w:p>
            <w:pPr>
              <w:spacing w:after="0"/>
              <w:rPr>
                <w:sz w:val="14"/>
                <w:szCs w:val="14"/>
                <w:color w:val="auto"/>
              </w:rPr>
            </w:pPr>
          </w:p>
        </w:tc>
        <w:tc>
          <w:tcPr>
            <w:tcW w:w="860" w:type="dxa"/>
            <w:vAlign w:val="bottom"/>
            <w:tcBorders>
              <w:bottom w:val="single" w:sz="8" w:color="205BA8"/>
            </w:tcBorders>
            <w:shd w:val="clear" w:color="auto" w:fill="ECEDED"/>
          </w:tcPr>
          <w:p>
            <w:pPr>
              <w:spacing w:after="0"/>
              <w:rPr>
                <w:sz w:val="14"/>
                <w:szCs w:val="14"/>
                <w:color w:val="auto"/>
              </w:rPr>
            </w:pPr>
          </w:p>
        </w:tc>
        <w:tc>
          <w:tcPr>
            <w:tcW w:w="720" w:type="dxa"/>
            <w:vAlign w:val="bottom"/>
            <w:tcBorders>
              <w:bottom w:val="single" w:sz="8" w:color="205BA8"/>
            </w:tcBorders>
            <w:shd w:val="clear" w:color="auto" w:fill="ECEDED"/>
          </w:tcPr>
          <w:p>
            <w:pPr>
              <w:spacing w:after="0"/>
              <w:rPr>
                <w:sz w:val="14"/>
                <w:szCs w:val="14"/>
                <w:color w:val="auto"/>
              </w:rPr>
            </w:pPr>
          </w:p>
        </w:tc>
        <w:tc>
          <w:tcPr>
            <w:tcW w:w="100" w:type="dxa"/>
            <w:vAlign w:val="bottom"/>
            <w:tcBorders>
              <w:bottom w:val="single" w:sz="8" w:color="205BA8"/>
            </w:tcBorders>
            <w:shd w:val="clear" w:color="auto" w:fill="ECEDED"/>
          </w:tcPr>
          <w:p>
            <w:pPr>
              <w:spacing w:after="0"/>
              <w:rPr>
                <w:sz w:val="14"/>
                <w:szCs w:val="14"/>
                <w:color w:val="auto"/>
              </w:rPr>
            </w:pPr>
          </w:p>
        </w:tc>
        <w:tc>
          <w:tcPr>
            <w:tcW w:w="880" w:type="dxa"/>
            <w:vAlign w:val="bottom"/>
            <w:tcBorders>
              <w:bottom w:val="single" w:sz="8" w:color="205BA8"/>
            </w:tcBorders>
            <w:shd w:val="clear" w:color="auto" w:fill="ECEDED"/>
          </w:tcPr>
          <w:p>
            <w:pPr>
              <w:spacing w:after="0"/>
              <w:rPr>
                <w:sz w:val="14"/>
                <w:szCs w:val="14"/>
                <w:color w:val="auto"/>
              </w:rPr>
            </w:pPr>
          </w:p>
        </w:tc>
        <w:tc>
          <w:tcPr>
            <w:tcW w:w="940" w:type="dxa"/>
            <w:vAlign w:val="bottom"/>
            <w:tcBorders>
              <w:bottom w:val="single" w:sz="8" w:color="205BA8"/>
            </w:tcBorders>
            <w:shd w:val="clear" w:color="auto" w:fill="ECEDED"/>
          </w:tcPr>
          <w:p>
            <w:pPr>
              <w:spacing w:after="0"/>
              <w:rPr>
                <w:sz w:val="14"/>
                <w:szCs w:val="14"/>
                <w:color w:val="auto"/>
              </w:rPr>
            </w:pPr>
          </w:p>
        </w:tc>
        <w:tc>
          <w:tcPr>
            <w:tcW w:w="1000" w:type="dxa"/>
            <w:vAlign w:val="bottom"/>
            <w:tcBorders>
              <w:bottom w:val="single" w:sz="8" w:color="205BA8"/>
            </w:tcBorders>
            <w:shd w:val="clear" w:color="auto" w:fill="ECEDED"/>
          </w:tcPr>
          <w:p>
            <w:pPr>
              <w:spacing w:after="0"/>
              <w:rPr>
                <w:sz w:val="14"/>
                <w:szCs w:val="14"/>
                <w:color w:val="auto"/>
              </w:rPr>
            </w:pPr>
          </w:p>
        </w:tc>
        <w:tc>
          <w:tcPr>
            <w:tcW w:w="820" w:type="dxa"/>
            <w:vAlign w:val="bottom"/>
            <w:tcBorders>
              <w:bottom w:val="single" w:sz="8" w:color="205BA8"/>
            </w:tcBorders>
            <w:shd w:val="clear" w:color="auto" w:fill="ECEDED"/>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2700" w:type="dxa"/>
            <w:vAlign w:val="bottom"/>
            <w:gridSpan w:val="2"/>
          </w:tcPr>
          <w:p>
            <w:pPr>
              <w:jc w:val="right"/>
              <w:ind w:right="1860"/>
              <w:spacing w:after="0"/>
              <w:rPr>
                <w:sz w:val="20"/>
                <w:szCs w:val="20"/>
                <w:color w:val="auto"/>
              </w:rPr>
            </w:pPr>
            <w:r>
              <w:rPr>
                <w:rFonts w:ascii="Arial" w:cs="Arial" w:eastAsia="Arial" w:hAnsi="Arial"/>
                <w:sz w:val="14"/>
                <w:szCs w:val="14"/>
                <w:b w:val="1"/>
                <w:bCs w:val="1"/>
                <w:color w:val="205BA8"/>
              </w:rPr>
              <w:t>80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7"/>
          </w:tcPr>
          <w:p>
            <w:pPr>
              <w:jc w:val="center"/>
              <w:ind w:left="682"/>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 w:type="dxa"/>
            <w:vAlign w:val="bottom"/>
            <w:tcBorders>
              <w:bottom w:val="single" w:sz="8" w:color="C0C0C0"/>
            </w:tcBorders>
          </w:tcPr>
          <w:p>
            <w:pPr>
              <w:spacing w:after="0"/>
              <w:rPr>
                <w:sz w:val="21"/>
                <w:szCs w:val="21"/>
                <w:color w:val="auto"/>
              </w:rPr>
            </w:pPr>
          </w:p>
        </w:tc>
        <w:tc>
          <w:tcPr>
            <w:tcW w:w="2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-280035</wp:posOffset>
            </wp:positionV>
            <wp:extent cx="717550" cy="825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3" w:name="page94"/>
    <w:bookmarkEnd w:id="93"/>
    <w:p>
      <w:pPr>
        <w:ind w:left="546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143"/>
        </w:trPr>
        <w:tc>
          <w:tcPr>
            <w:tcW w:w="1400" w:type="dxa"/>
            <w:vAlign w:val="bottom"/>
            <w:tcBorders>
              <w:top w:val="single" w:sz="8" w:color="205BA8"/>
              <w:bottom w:val="single" w:sz="8" w:color="205BA8"/>
            </w:tcBorders>
          </w:tcPr>
          <w:p>
            <w:pPr>
              <w:ind w:left="40"/>
              <w:spacing w:after="0"/>
              <w:rPr>
                <w:sz w:val="20"/>
                <w:szCs w:val="20"/>
                <w:color w:val="auto"/>
              </w:rPr>
            </w:pPr>
            <w:r>
              <w:rPr>
                <w:rFonts w:ascii="Arial" w:cs="Arial" w:eastAsia="Arial" w:hAnsi="Arial"/>
                <w:sz w:val="11"/>
                <w:szCs w:val="11"/>
                <w:b w:val="1"/>
                <w:bCs w:val="1"/>
                <w:color w:val="205BA8"/>
              </w:rPr>
              <w:t>A</w:t>
            </w:r>
          </w:p>
        </w:tc>
        <w:tc>
          <w:tcPr>
            <w:tcW w:w="220" w:type="dxa"/>
            <w:vAlign w:val="bottom"/>
            <w:tcBorders>
              <w:top w:val="single" w:sz="8" w:color="205BA8"/>
              <w:bottom w:val="single" w:sz="8" w:color="205BA8"/>
            </w:tcBorders>
          </w:tcPr>
          <w:p>
            <w:pPr>
              <w:spacing w:after="0"/>
              <w:rPr>
                <w:sz w:val="12"/>
                <w:szCs w:val="12"/>
                <w:color w:val="auto"/>
              </w:rPr>
            </w:pPr>
          </w:p>
        </w:tc>
        <w:tc>
          <w:tcPr>
            <w:tcW w:w="100" w:type="dxa"/>
            <w:vAlign w:val="bottom"/>
            <w:tcBorders>
              <w:top w:val="single" w:sz="8" w:color="205BA8"/>
              <w:bottom w:val="single" w:sz="8" w:color="205BA8"/>
            </w:tcBorders>
          </w:tcPr>
          <w:p>
            <w:pPr>
              <w:spacing w:after="0"/>
              <w:rPr>
                <w:sz w:val="12"/>
                <w:szCs w:val="12"/>
                <w:color w:val="auto"/>
              </w:rPr>
            </w:pPr>
          </w:p>
        </w:tc>
        <w:tc>
          <w:tcPr>
            <w:tcW w:w="620" w:type="dxa"/>
            <w:vAlign w:val="bottom"/>
            <w:tcBorders>
              <w:top w:val="single" w:sz="8" w:color="205BA8"/>
              <w:bottom w:val="single" w:sz="8" w:color="205BA8"/>
            </w:tcBorders>
            <w:gridSpan w:val="2"/>
          </w:tcPr>
          <w:p>
            <w:pPr>
              <w:jc w:val="center"/>
              <w:ind w:right="100"/>
              <w:spacing w:after="0"/>
              <w:rPr>
                <w:sz w:val="20"/>
                <w:szCs w:val="20"/>
                <w:color w:val="auto"/>
              </w:rPr>
            </w:pPr>
            <w:r>
              <w:rPr>
                <w:rFonts w:ascii="Arial" w:cs="Arial" w:eastAsia="Arial" w:hAnsi="Arial"/>
                <w:sz w:val="11"/>
                <w:szCs w:val="11"/>
                <w:b w:val="1"/>
                <w:bCs w:val="1"/>
                <w:color w:val="205BA8"/>
              </w:rPr>
              <w:t>B</w:t>
            </w:r>
          </w:p>
        </w:tc>
        <w:tc>
          <w:tcPr>
            <w:tcW w:w="220" w:type="dxa"/>
            <w:vAlign w:val="bottom"/>
            <w:tcBorders>
              <w:top w:val="single" w:sz="8" w:color="205BA8"/>
              <w:bottom w:val="single" w:sz="8" w:color="205BA8"/>
            </w:tcBorders>
          </w:tcPr>
          <w:p>
            <w:pPr>
              <w:spacing w:after="0"/>
              <w:rPr>
                <w:sz w:val="12"/>
                <w:szCs w:val="12"/>
                <w:color w:val="auto"/>
              </w:rPr>
            </w:pPr>
          </w:p>
        </w:tc>
        <w:tc>
          <w:tcPr>
            <w:tcW w:w="720" w:type="dxa"/>
            <w:vAlign w:val="bottom"/>
            <w:tcBorders>
              <w:top w:val="single" w:sz="8" w:color="205BA8"/>
              <w:bottom w:val="single" w:sz="8" w:color="205BA8"/>
            </w:tcBorders>
          </w:tcPr>
          <w:p>
            <w:pPr>
              <w:jc w:val="center"/>
              <w:ind w:right="59"/>
              <w:spacing w:after="0"/>
              <w:rPr>
                <w:sz w:val="20"/>
                <w:szCs w:val="20"/>
                <w:color w:val="auto"/>
              </w:rPr>
            </w:pPr>
            <w:r>
              <w:rPr>
                <w:rFonts w:ascii="Arial" w:cs="Arial" w:eastAsia="Arial" w:hAnsi="Arial"/>
                <w:sz w:val="11"/>
                <w:szCs w:val="11"/>
                <w:b w:val="1"/>
                <w:bCs w:val="1"/>
                <w:color w:val="205BA8"/>
              </w:rPr>
              <w:t>C</w:t>
            </w:r>
          </w:p>
        </w:tc>
        <w:tc>
          <w:tcPr>
            <w:tcW w:w="100" w:type="dxa"/>
            <w:vAlign w:val="bottom"/>
            <w:tcBorders>
              <w:top w:val="single" w:sz="8" w:color="205BA8"/>
              <w:bottom w:val="single" w:sz="8" w:color="205BA8"/>
            </w:tcBorders>
          </w:tcPr>
          <w:p>
            <w:pPr>
              <w:spacing w:after="0"/>
              <w:rPr>
                <w:sz w:val="12"/>
                <w:szCs w:val="12"/>
                <w:color w:val="auto"/>
              </w:rPr>
            </w:pPr>
          </w:p>
        </w:tc>
        <w:tc>
          <w:tcPr>
            <w:tcW w:w="980" w:type="dxa"/>
            <w:vAlign w:val="bottom"/>
            <w:tcBorders>
              <w:top w:val="single" w:sz="8" w:color="205BA8"/>
              <w:bottom w:val="single" w:sz="8" w:color="205BA8"/>
            </w:tcBorders>
          </w:tcPr>
          <w:p>
            <w:pPr>
              <w:ind w:left="380"/>
              <w:spacing w:after="0"/>
              <w:rPr>
                <w:sz w:val="20"/>
                <w:szCs w:val="20"/>
                <w:color w:val="auto"/>
              </w:rPr>
            </w:pPr>
            <w:r>
              <w:rPr>
                <w:rFonts w:ascii="Arial" w:cs="Arial" w:eastAsia="Arial" w:hAnsi="Arial"/>
                <w:sz w:val="11"/>
                <w:szCs w:val="11"/>
                <w:b w:val="1"/>
                <w:bCs w:val="1"/>
                <w:color w:val="205BA8"/>
              </w:rPr>
              <w:t>D</w:t>
            </w:r>
          </w:p>
        </w:tc>
        <w:tc>
          <w:tcPr>
            <w:tcW w:w="940" w:type="dxa"/>
            <w:vAlign w:val="bottom"/>
            <w:tcBorders>
              <w:top w:val="single" w:sz="8" w:color="205BA8"/>
              <w:bottom w:val="single" w:sz="8" w:color="205BA8"/>
            </w:tcBorders>
          </w:tcPr>
          <w:p>
            <w:pPr>
              <w:jc w:val="center"/>
              <w:ind w:right="38"/>
              <w:spacing w:after="0"/>
              <w:rPr>
                <w:sz w:val="20"/>
                <w:szCs w:val="20"/>
                <w:color w:val="auto"/>
              </w:rPr>
            </w:pPr>
            <w:r>
              <w:rPr>
                <w:rFonts w:ascii="Arial" w:cs="Arial" w:eastAsia="Arial" w:hAnsi="Arial"/>
                <w:sz w:val="11"/>
                <w:szCs w:val="11"/>
                <w:b w:val="1"/>
                <w:bCs w:val="1"/>
                <w:color w:val="205BA8"/>
              </w:rPr>
              <w:t>E</w:t>
            </w:r>
          </w:p>
        </w:tc>
        <w:tc>
          <w:tcPr>
            <w:tcW w:w="1000" w:type="dxa"/>
            <w:vAlign w:val="bottom"/>
            <w:tcBorders>
              <w:top w:val="single" w:sz="8" w:color="205BA8"/>
              <w:bottom w:val="single" w:sz="8" w:color="205BA8"/>
            </w:tcBorders>
            <w:gridSpan w:val="2"/>
          </w:tcPr>
          <w:p>
            <w:pPr>
              <w:jc w:val="center"/>
              <w:ind w:right="60"/>
              <w:spacing w:after="0"/>
              <w:rPr>
                <w:sz w:val="20"/>
                <w:szCs w:val="20"/>
                <w:color w:val="auto"/>
              </w:rPr>
            </w:pPr>
            <w:r>
              <w:rPr>
                <w:rFonts w:ascii="Arial" w:cs="Arial" w:eastAsia="Arial" w:hAnsi="Arial"/>
                <w:sz w:val="11"/>
                <w:szCs w:val="11"/>
                <w:b w:val="1"/>
                <w:bCs w:val="1"/>
                <w:color w:val="205BA8"/>
                <w:w w:val="88"/>
              </w:rPr>
              <w:t>F</w:t>
            </w:r>
          </w:p>
        </w:tc>
        <w:tc>
          <w:tcPr>
            <w:tcW w:w="100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G</w:t>
            </w:r>
          </w:p>
        </w:tc>
        <w:tc>
          <w:tcPr>
            <w:tcW w:w="1080" w:type="dxa"/>
            <w:vAlign w:val="bottom"/>
            <w:tcBorders>
              <w:top w:val="single" w:sz="8" w:color="205BA8"/>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H</w:t>
            </w:r>
          </w:p>
        </w:tc>
        <w:tc>
          <w:tcPr>
            <w:tcW w:w="1100" w:type="dxa"/>
            <w:vAlign w:val="bottom"/>
            <w:tcBorders>
              <w:top w:val="single" w:sz="8" w:color="205BA8"/>
              <w:bottom w:val="single" w:sz="8" w:color="205BA8"/>
            </w:tcBorders>
          </w:tcPr>
          <w:p>
            <w:pPr>
              <w:ind w:left="540"/>
              <w:spacing w:after="0"/>
              <w:rPr>
                <w:sz w:val="20"/>
                <w:szCs w:val="20"/>
                <w:color w:val="auto"/>
              </w:rPr>
            </w:pPr>
            <w:r>
              <w:rPr>
                <w:rFonts w:ascii="Arial" w:cs="Arial" w:eastAsia="Arial" w:hAnsi="Arial"/>
                <w:sz w:val="11"/>
                <w:szCs w:val="11"/>
                <w:b w:val="1"/>
                <w:bCs w:val="1"/>
                <w:color w:val="205BA8"/>
              </w:rPr>
              <w:t>I</w:t>
            </w:r>
          </w:p>
        </w:tc>
        <w:tc>
          <w:tcPr>
            <w:tcW w:w="920" w:type="dxa"/>
            <w:vAlign w:val="bottom"/>
            <w:tcBorders>
              <w:top w:val="single" w:sz="8" w:color="205BA8"/>
              <w:bottom w:val="single" w:sz="8" w:color="205BA8"/>
            </w:tcBorders>
          </w:tcPr>
          <w:p>
            <w:pPr>
              <w:ind w:left="460"/>
              <w:spacing w:after="0"/>
              <w:rPr>
                <w:sz w:val="20"/>
                <w:szCs w:val="20"/>
                <w:color w:val="auto"/>
              </w:rPr>
            </w:pPr>
            <w:r>
              <w:rPr>
                <w:rFonts w:ascii="Arial" w:cs="Arial" w:eastAsia="Arial" w:hAnsi="Arial"/>
                <w:sz w:val="11"/>
                <w:szCs w:val="11"/>
                <w:b w:val="1"/>
                <w:bCs w:val="1"/>
                <w:color w:val="205BA8"/>
              </w:rPr>
              <w:t>J</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205BA8"/>
            </w:tcBorders>
          </w:tcPr>
          <w:p>
            <w:pPr>
              <w:spacing w:after="0"/>
              <w:rPr>
                <w:sz w:val="11"/>
                <w:szCs w:val="11"/>
                <w:color w:val="auto"/>
              </w:rPr>
            </w:pPr>
          </w:p>
        </w:tc>
        <w:tc>
          <w:tcPr>
            <w:tcW w:w="520" w:type="dxa"/>
            <w:vAlign w:val="bottom"/>
            <w:tcBorders>
              <w:bottom w:val="single" w:sz="8" w:color="205BA8"/>
            </w:tcBorders>
          </w:tcPr>
          <w:p>
            <w:pPr>
              <w:spacing w:after="0"/>
              <w:rPr>
                <w:sz w:val="11"/>
                <w:szCs w:val="11"/>
                <w:color w:val="auto"/>
              </w:rPr>
            </w:pPr>
          </w:p>
        </w:tc>
        <w:tc>
          <w:tcPr>
            <w:tcW w:w="100" w:type="dxa"/>
            <w:vAlign w:val="bottom"/>
            <w:tcBorders>
              <w:bottom w:val="single" w:sz="8" w:color="205BA8"/>
            </w:tcBorders>
          </w:tcPr>
          <w:p>
            <w:pPr>
              <w:spacing w:after="0"/>
              <w:rPr>
                <w:sz w:val="11"/>
                <w:szCs w:val="11"/>
                <w:color w:val="auto"/>
              </w:rPr>
            </w:pPr>
          </w:p>
        </w:tc>
        <w:tc>
          <w:tcPr>
            <w:tcW w:w="220" w:type="dxa"/>
            <w:vAlign w:val="bottom"/>
            <w:tcBorders>
              <w:bottom w:val="single" w:sz="8" w:color="205BA8"/>
            </w:tcBorders>
          </w:tcPr>
          <w:p>
            <w:pPr>
              <w:spacing w:after="0"/>
              <w:rPr>
                <w:sz w:val="11"/>
                <w:szCs w:val="11"/>
                <w:color w:val="auto"/>
              </w:rPr>
            </w:pPr>
          </w:p>
        </w:tc>
        <w:tc>
          <w:tcPr>
            <w:tcW w:w="720" w:type="dxa"/>
            <w:vAlign w:val="bottom"/>
            <w:tcBorders>
              <w:bottom w:val="single" w:sz="8" w:color="205BA8"/>
            </w:tcBorders>
          </w:tcPr>
          <w:p>
            <w:pPr>
              <w:spacing w:after="0"/>
              <w:rPr>
                <w:sz w:val="11"/>
                <w:szCs w:val="11"/>
                <w:color w:val="auto"/>
              </w:rPr>
            </w:pPr>
          </w:p>
        </w:tc>
        <w:tc>
          <w:tcPr>
            <w:tcW w:w="100" w:type="dxa"/>
            <w:vAlign w:val="bottom"/>
            <w:tcBorders>
              <w:bottom w:val="single" w:sz="8" w:color="205BA8"/>
            </w:tcBorders>
          </w:tcPr>
          <w:p>
            <w:pPr>
              <w:spacing w:after="0"/>
              <w:rPr>
                <w:sz w:val="11"/>
                <w:szCs w:val="11"/>
                <w:color w:val="auto"/>
              </w:rPr>
            </w:pPr>
          </w:p>
        </w:tc>
        <w:tc>
          <w:tcPr>
            <w:tcW w:w="980" w:type="dxa"/>
            <w:vAlign w:val="bottom"/>
            <w:tcBorders>
              <w:bottom w:val="single" w:sz="8" w:color="205BA8"/>
            </w:tcBorders>
          </w:tcPr>
          <w:p>
            <w:pPr>
              <w:ind w:left="120"/>
              <w:spacing w:after="0"/>
              <w:rPr>
                <w:sz w:val="20"/>
                <w:szCs w:val="20"/>
                <w:color w:val="auto"/>
              </w:rPr>
            </w:pPr>
            <w:r>
              <w:rPr>
                <w:rFonts w:ascii="Arial" w:cs="Arial" w:eastAsia="Arial" w:hAnsi="Arial"/>
                <w:sz w:val="11"/>
                <w:szCs w:val="11"/>
                <w:b w:val="1"/>
                <w:bCs w:val="1"/>
                <w:color w:val="205BA8"/>
              </w:rPr>
              <w:t>Option Awards</w:t>
            </w:r>
          </w:p>
        </w:tc>
        <w:tc>
          <w:tcPr>
            <w:tcW w:w="940" w:type="dxa"/>
            <w:vAlign w:val="bottom"/>
            <w:tcBorders>
              <w:bottom w:val="single" w:sz="8" w:color="205BA8"/>
            </w:tcBorders>
          </w:tcPr>
          <w:p>
            <w:pPr>
              <w:spacing w:after="0"/>
              <w:rPr>
                <w:sz w:val="11"/>
                <w:szCs w:val="11"/>
                <w:color w:val="auto"/>
              </w:rPr>
            </w:pPr>
          </w:p>
        </w:tc>
        <w:tc>
          <w:tcPr>
            <w:tcW w:w="900" w:type="dxa"/>
            <w:vAlign w:val="bottom"/>
            <w:tcBorders>
              <w:bottom w:val="single" w:sz="8" w:color="205BA8"/>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205BA8"/>
            </w:tcBorders>
          </w:tcPr>
          <w:p>
            <w:pPr>
              <w:spacing w:after="0"/>
              <w:rPr>
                <w:sz w:val="11"/>
                <w:szCs w:val="11"/>
                <w:color w:val="auto"/>
              </w:rPr>
            </w:pPr>
          </w:p>
        </w:tc>
        <w:tc>
          <w:tcPr>
            <w:tcW w:w="2180" w:type="dxa"/>
            <w:vAlign w:val="bottom"/>
            <w:tcBorders>
              <w:bottom w:val="single" w:sz="8" w:color="205BA8"/>
            </w:tcBorders>
            <w:gridSpan w:val="2"/>
          </w:tcPr>
          <w:p>
            <w:pPr>
              <w:ind w:left="680"/>
              <w:spacing w:after="0"/>
              <w:rPr>
                <w:sz w:val="20"/>
                <w:szCs w:val="20"/>
                <w:color w:val="auto"/>
              </w:rPr>
            </w:pPr>
            <w:r>
              <w:rPr>
                <w:rFonts w:ascii="Arial" w:cs="Arial" w:eastAsia="Arial" w:hAnsi="Arial"/>
                <w:sz w:val="11"/>
                <w:szCs w:val="11"/>
                <w:b w:val="1"/>
                <w:bCs w:val="1"/>
                <w:color w:val="205BA8"/>
              </w:rPr>
              <w:t>Stock Awards</w:t>
            </w:r>
          </w:p>
        </w:tc>
        <w:tc>
          <w:tcPr>
            <w:tcW w:w="920" w:type="dxa"/>
            <w:vAlign w:val="bottom"/>
            <w:tcBorders>
              <w:bottom w:val="single" w:sz="8" w:color="205BA8"/>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jc w:val="center"/>
              <w:spacing w:after="0" w:line="85" w:lineRule="exact"/>
              <w:rPr>
                <w:sz w:val="20"/>
                <w:szCs w:val="20"/>
                <w:color w:val="auto"/>
              </w:rPr>
            </w:pPr>
            <w:r>
              <w:rPr>
                <w:rFonts w:ascii="Arial" w:cs="Arial" w:eastAsia="Arial" w:hAnsi="Arial"/>
                <w:sz w:val="9"/>
                <w:szCs w:val="9"/>
                <w:b w:val="1"/>
                <w:bCs w:val="1"/>
                <w:color w:val="205BA8"/>
              </w:rPr>
              <w:t>Equity</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99"/>
              <w:spacing w:after="0"/>
              <w:rPr>
                <w:sz w:val="20"/>
                <w:szCs w:val="20"/>
                <w:color w:val="auto"/>
              </w:rPr>
            </w:pPr>
            <w:r>
              <w:rPr>
                <w:rFonts w:ascii="Arial" w:cs="Arial" w:eastAsia="Arial" w:hAnsi="Arial"/>
                <w:sz w:val="11"/>
                <w:szCs w:val="11"/>
                <w:b w:val="1"/>
                <w:bCs w:val="1"/>
                <w:color w:val="205BA8"/>
              </w:rPr>
              <w:t>Equity</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Equity</w:t>
            </w: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incentive</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plan awards:</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incentive</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incentive</w:t>
            </w: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market or</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205BA8"/>
              </w:rPr>
              <w:t>Number of</w:t>
            </w:r>
          </w:p>
        </w:tc>
        <w:tc>
          <w:tcPr>
            <w:tcW w:w="220" w:type="dxa"/>
            <w:vAlign w:val="bottom"/>
          </w:tcPr>
          <w:p>
            <w:pPr>
              <w:spacing w:after="0"/>
              <w:rPr>
                <w:sz w:val="10"/>
                <w:szCs w:val="10"/>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205BA8"/>
              </w:rPr>
              <w:t>Number of</w:t>
            </w: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plan awards:</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plan awards:</w:t>
            </w: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payout value</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number of</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205BA8"/>
              </w:rPr>
              <w:t>Number of</w:t>
            </w: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Market value</w:t>
            </w: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number of</w:t>
            </w: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of unearned</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205BA8"/>
              </w:rPr>
              <w:t>securities</w:t>
            </w: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securities</w:t>
            </w: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securities</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unearned</w:t>
            </w:r>
          </w:p>
        </w:tc>
        <w:tc>
          <w:tcPr>
            <w:tcW w:w="92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shares, units</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205BA8"/>
              </w:rPr>
              <w:t>underlying</w:t>
            </w:r>
          </w:p>
        </w:tc>
        <w:tc>
          <w:tcPr>
            <w:tcW w:w="220" w:type="dxa"/>
            <w:vAlign w:val="bottom"/>
          </w:tcPr>
          <w:p>
            <w:pPr>
              <w:spacing w:after="0"/>
              <w:rPr>
                <w:sz w:val="10"/>
                <w:szCs w:val="10"/>
                <w:color w:val="auto"/>
              </w:rPr>
            </w:pPr>
          </w:p>
        </w:tc>
        <w:tc>
          <w:tcPr>
            <w:tcW w:w="720" w:type="dxa"/>
            <w:vAlign w:val="bottom"/>
          </w:tcPr>
          <w:p>
            <w:pPr>
              <w:jc w:val="center"/>
              <w:ind w:right="79"/>
              <w:spacing w:after="0" w:line="117" w:lineRule="exact"/>
              <w:rPr>
                <w:sz w:val="20"/>
                <w:szCs w:val="20"/>
                <w:color w:val="auto"/>
              </w:rPr>
            </w:pPr>
            <w:r>
              <w:rPr>
                <w:rFonts w:ascii="Arial" w:cs="Arial" w:eastAsia="Arial" w:hAnsi="Arial"/>
                <w:sz w:val="11"/>
                <w:szCs w:val="11"/>
                <w:b w:val="1"/>
                <w:bCs w:val="1"/>
                <w:color w:val="205BA8"/>
              </w:rPr>
              <w:t>underlying</w:t>
            </w: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underlying</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shares or</w:t>
            </w: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of shares or</w:t>
            </w: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shares, units</w:t>
            </w:r>
          </w:p>
        </w:tc>
        <w:tc>
          <w:tcPr>
            <w:tcW w:w="92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or other</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205BA8"/>
              </w:rPr>
              <w:t>unexercised</w:t>
            </w:r>
          </w:p>
        </w:tc>
        <w:tc>
          <w:tcPr>
            <w:tcW w:w="940" w:type="dxa"/>
            <w:vAlign w:val="bottom"/>
            <w:gridSpan w:val="2"/>
          </w:tcPr>
          <w:p>
            <w:pPr>
              <w:jc w:val="center"/>
              <w:ind w:left="22"/>
              <w:spacing w:after="0" w:line="117" w:lineRule="exact"/>
              <w:rPr>
                <w:sz w:val="20"/>
                <w:szCs w:val="20"/>
                <w:color w:val="auto"/>
              </w:rPr>
            </w:pPr>
            <w:r>
              <w:rPr>
                <w:rFonts w:ascii="Arial" w:cs="Arial" w:eastAsia="Arial" w:hAnsi="Arial"/>
                <w:sz w:val="11"/>
                <w:szCs w:val="11"/>
                <w:b w:val="1"/>
                <w:bCs w:val="1"/>
                <w:color w:val="205BA8"/>
              </w:rPr>
              <w:t>unexercised</w:t>
            </w: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unexercised</w:t>
            </w:r>
          </w:p>
        </w:tc>
        <w:tc>
          <w:tcPr>
            <w:tcW w:w="94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205BA8"/>
              </w:rPr>
              <w:t>Option</w:t>
            </w: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205BA8"/>
              </w:rPr>
              <w:t>Option</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units of stock</w:t>
            </w: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units of stock</w:t>
            </w: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or other rights</w:t>
            </w: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rights that</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205BA8"/>
              </w:rPr>
              <w:t>options</w:t>
            </w:r>
          </w:p>
        </w:tc>
        <w:tc>
          <w:tcPr>
            <w:tcW w:w="220" w:type="dxa"/>
            <w:vAlign w:val="bottom"/>
          </w:tcPr>
          <w:p>
            <w:pPr>
              <w:spacing w:after="0"/>
              <w:rPr>
                <w:sz w:val="10"/>
                <w:szCs w:val="10"/>
                <w:color w:val="auto"/>
              </w:rPr>
            </w:pPr>
          </w:p>
        </w:tc>
        <w:tc>
          <w:tcPr>
            <w:tcW w:w="720" w:type="dxa"/>
            <w:vAlign w:val="bottom"/>
          </w:tcPr>
          <w:p>
            <w:pPr>
              <w:jc w:val="center"/>
              <w:ind w:right="59"/>
              <w:spacing w:after="0" w:line="117" w:lineRule="exact"/>
              <w:rPr>
                <w:sz w:val="20"/>
                <w:szCs w:val="20"/>
                <w:color w:val="auto"/>
              </w:rPr>
            </w:pPr>
            <w:r>
              <w:rPr>
                <w:rFonts w:ascii="Arial" w:cs="Arial" w:eastAsia="Arial" w:hAnsi="Arial"/>
                <w:sz w:val="11"/>
                <w:szCs w:val="11"/>
                <w:b w:val="1"/>
                <w:bCs w:val="1"/>
                <w:color w:val="205BA8"/>
              </w:rPr>
              <w:t>options</w:t>
            </w: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unearned</w:t>
            </w:r>
          </w:p>
        </w:tc>
        <w:tc>
          <w:tcPr>
            <w:tcW w:w="94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that have not</w:t>
            </w: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that have not</w:t>
            </w: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that have not</w:t>
            </w:r>
          </w:p>
        </w:tc>
        <w:tc>
          <w:tcPr>
            <w:tcW w:w="92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have not</w:t>
            </w:r>
          </w:p>
        </w:tc>
        <w:tc>
          <w:tcPr>
            <w:tcW w:w="0" w:type="dxa"/>
            <w:vAlign w:val="bottom"/>
          </w:tcPr>
          <w:p>
            <w:pPr>
              <w:spacing w:after="0"/>
              <w:rPr>
                <w:sz w:val="1"/>
                <w:szCs w:val="1"/>
                <w:color w:val="auto"/>
              </w:rPr>
            </w:pPr>
          </w:p>
        </w:tc>
      </w:tr>
      <w:tr>
        <w:trPr>
          <w:trHeight w:val="117"/>
        </w:trPr>
        <w:tc>
          <w:tcPr>
            <w:tcW w:w="1400" w:type="dxa"/>
            <w:vAlign w:val="bottom"/>
            <w:vMerge w:val="restart"/>
          </w:tcPr>
          <w:p>
            <w:pPr>
              <w:ind w:left="40"/>
              <w:spacing w:after="0"/>
              <w:rPr>
                <w:sz w:val="20"/>
                <w:szCs w:val="20"/>
                <w:color w:val="auto"/>
              </w:rPr>
            </w:pPr>
            <w:r>
              <w:rPr>
                <w:rFonts w:ascii="Arial" w:cs="Arial" w:eastAsia="Arial" w:hAnsi="Arial"/>
                <w:sz w:val="11"/>
                <w:szCs w:val="11"/>
                <w:b w:val="1"/>
                <w:bCs w:val="1"/>
                <w:color w:val="205BA8"/>
              </w:rPr>
              <w:t>Name</w:t>
            </w:r>
          </w:p>
        </w:tc>
        <w:tc>
          <w:tcPr>
            <w:tcW w:w="220" w:type="dxa"/>
            <w:vAlign w:val="bottom"/>
          </w:tcPr>
          <w:p>
            <w:pPr>
              <w:spacing w:after="0"/>
              <w:rPr>
                <w:sz w:val="10"/>
                <w:szCs w:val="10"/>
                <w:color w:val="auto"/>
              </w:rPr>
            </w:pPr>
          </w:p>
        </w:tc>
        <w:tc>
          <w:tcPr>
            <w:tcW w:w="72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205BA8"/>
              </w:rPr>
              <w:t>exercisable</w:t>
            </w:r>
          </w:p>
        </w:tc>
        <w:tc>
          <w:tcPr>
            <w:tcW w:w="940" w:type="dxa"/>
            <w:vAlign w:val="bottom"/>
            <w:gridSpan w:val="2"/>
          </w:tcPr>
          <w:p>
            <w:pPr>
              <w:jc w:val="center"/>
              <w:ind w:left="42"/>
              <w:spacing w:after="0" w:line="117" w:lineRule="exact"/>
              <w:rPr>
                <w:sz w:val="20"/>
                <w:szCs w:val="20"/>
                <w:color w:val="auto"/>
              </w:rPr>
            </w:pPr>
            <w:r>
              <w:rPr>
                <w:rFonts w:ascii="Arial" w:cs="Arial" w:eastAsia="Arial" w:hAnsi="Arial"/>
                <w:sz w:val="11"/>
                <w:szCs w:val="11"/>
                <w:b w:val="1"/>
                <w:bCs w:val="1"/>
                <w:color w:val="205BA8"/>
              </w:rPr>
              <w:t>unexercisable</w:t>
            </w:r>
          </w:p>
        </w:tc>
        <w:tc>
          <w:tcPr>
            <w:tcW w:w="10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1"/>
                <w:szCs w:val="11"/>
                <w:b w:val="1"/>
                <w:bCs w:val="1"/>
                <w:color w:val="205BA8"/>
              </w:rPr>
              <w:t>options</w:t>
            </w:r>
          </w:p>
        </w:tc>
        <w:tc>
          <w:tcPr>
            <w:tcW w:w="940" w:type="dxa"/>
            <w:vAlign w:val="bottom"/>
          </w:tcPr>
          <w:p>
            <w:pPr>
              <w:jc w:val="center"/>
              <w:ind w:right="38"/>
              <w:spacing w:after="0" w:line="117" w:lineRule="exact"/>
              <w:rPr>
                <w:sz w:val="20"/>
                <w:szCs w:val="20"/>
                <w:color w:val="auto"/>
              </w:rPr>
            </w:pPr>
            <w:r>
              <w:rPr>
                <w:rFonts w:ascii="Arial" w:cs="Arial" w:eastAsia="Arial" w:hAnsi="Arial"/>
                <w:sz w:val="11"/>
                <w:szCs w:val="11"/>
                <w:b w:val="1"/>
                <w:bCs w:val="1"/>
                <w:color w:val="205BA8"/>
              </w:rPr>
              <w:t>exercise price</w:t>
            </w:r>
          </w:p>
        </w:tc>
        <w:tc>
          <w:tcPr>
            <w:tcW w:w="1000" w:type="dxa"/>
            <w:vAlign w:val="bottom"/>
            <w:gridSpan w:val="2"/>
          </w:tcPr>
          <w:p>
            <w:pPr>
              <w:jc w:val="center"/>
              <w:ind w:right="60"/>
              <w:spacing w:after="0" w:line="117" w:lineRule="exact"/>
              <w:rPr>
                <w:sz w:val="20"/>
                <w:szCs w:val="20"/>
                <w:color w:val="auto"/>
              </w:rPr>
            </w:pPr>
            <w:r>
              <w:rPr>
                <w:rFonts w:ascii="Arial" w:cs="Arial" w:eastAsia="Arial" w:hAnsi="Arial"/>
                <w:sz w:val="11"/>
                <w:szCs w:val="11"/>
                <w:b w:val="1"/>
                <w:bCs w:val="1"/>
                <w:color w:val="205BA8"/>
              </w:rPr>
              <w:t>expiration</w:t>
            </w:r>
          </w:p>
        </w:tc>
        <w:tc>
          <w:tcPr>
            <w:tcW w:w="1000" w:type="dxa"/>
            <w:vAlign w:val="bottom"/>
          </w:tcPr>
          <w:p>
            <w:pPr>
              <w:jc w:val="center"/>
              <w:ind w:right="19"/>
              <w:spacing w:after="0" w:line="117" w:lineRule="exact"/>
              <w:rPr>
                <w:sz w:val="20"/>
                <w:szCs w:val="20"/>
                <w:color w:val="auto"/>
              </w:rPr>
            </w:pPr>
            <w:r>
              <w:rPr>
                <w:rFonts w:ascii="Arial" w:cs="Arial" w:eastAsia="Arial" w:hAnsi="Arial"/>
                <w:sz w:val="11"/>
                <w:szCs w:val="11"/>
                <w:b w:val="1"/>
                <w:bCs w:val="1"/>
                <w:color w:val="205BA8"/>
              </w:rPr>
              <w:t>vested</w:t>
            </w: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vested</w:t>
            </w:r>
          </w:p>
        </w:tc>
        <w:tc>
          <w:tcPr>
            <w:tcW w:w="1100" w:type="dxa"/>
            <w:vAlign w:val="bottom"/>
          </w:tcPr>
          <w:p>
            <w:pPr>
              <w:jc w:val="center"/>
              <w:spacing w:after="0" w:line="117" w:lineRule="exact"/>
              <w:rPr>
                <w:sz w:val="20"/>
                <w:szCs w:val="20"/>
                <w:color w:val="auto"/>
              </w:rPr>
            </w:pPr>
            <w:r>
              <w:rPr>
                <w:rFonts w:ascii="Arial" w:cs="Arial" w:eastAsia="Arial" w:hAnsi="Arial"/>
                <w:sz w:val="11"/>
                <w:szCs w:val="11"/>
                <w:b w:val="1"/>
                <w:bCs w:val="1"/>
                <w:color w:val="205BA8"/>
              </w:rPr>
              <w:t>vested</w:t>
            </w:r>
          </w:p>
        </w:tc>
        <w:tc>
          <w:tcPr>
            <w:tcW w:w="920" w:type="dxa"/>
            <w:vAlign w:val="bottom"/>
          </w:tcPr>
          <w:p>
            <w:pPr>
              <w:jc w:val="center"/>
              <w:ind w:left="20"/>
              <w:spacing w:after="0" w:line="117" w:lineRule="exact"/>
              <w:rPr>
                <w:sz w:val="20"/>
                <w:szCs w:val="20"/>
                <w:color w:val="auto"/>
              </w:rPr>
            </w:pPr>
            <w:r>
              <w:rPr>
                <w:rFonts w:ascii="Arial" w:cs="Arial" w:eastAsia="Arial" w:hAnsi="Arial"/>
                <w:sz w:val="11"/>
                <w:szCs w:val="11"/>
                <w:b w:val="1"/>
                <w:bCs w:val="1"/>
                <w:color w:val="205BA8"/>
              </w:rPr>
              <w:t>vested</w:t>
            </w:r>
          </w:p>
        </w:tc>
        <w:tc>
          <w:tcPr>
            <w:tcW w:w="0" w:type="dxa"/>
            <w:vAlign w:val="bottom"/>
          </w:tcPr>
          <w:p>
            <w:pPr>
              <w:spacing w:after="0"/>
              <w:rPr>
                <w:sz w:val="1"/>
                <w:szCs w:val="1"/>
                <w:color w:val="auto"/>
              </w:rPr>
            </w:pPr>
          </w:p>
        </w:tc>
      </w:tr>
      <w:tr>
        <w:trPr>
          <w:trHeight w:val="148"/>
        </w:trPr>
        <w:tc>
          <w:tcPr>
            <w:tcW w:w="1400" w:type="dxa"/>
            <w:vAlign w:val="bottom"/>
            <w:tcBorders>
              <w:bottom w:val="single" w:sz="8" w:color="205BA8"/>
            </w:tcBorders>
            <w:vMerge w:val="continue"/>
          </w:tcPr>
          <w:p>
            <w:pPr>
              <w:spacing w:after="0"/>
              <w:rPr>
                <w:sz w:val="12"/>
                <w:szCs w:val="12"/>
                <w:color w:val="auto"/>
              </w:rPr>
            </w:pPr>
          </w:p>
        </w:tc>
        <w:tc>
          <w:tcPr>
            <w:tcW w:w="840" w:type="dxa"/>
            <w:vAlign w:val="bottom"/>
            <w:tcBorders>
              <w:bottom w:val="single" w:sz="8" w:color="205BA8"/>
            </w:tcBorders>
            <w:gridSpan w:val="3"/>
          </w:tcPr>
          <w:p>
            <w:pPr>
              <w:jc w:val="center"/>
              <w:ind w:left="239"/>
              <w:spacing w:after="0"/>
              <w:rPr>
                <w:sz w:val="20"/>
                <w:szCs w:val="20"/>
                <w:color w:val="auto"/>
              </w:rPr>
            </w:pPr>
            <w:r>
              <w:rPr>
                <w:rFonts w:ascii="Arial" w:cs="Arial" w:eastAsia="Arial" w:hAnsi="Arial"/>
                <w:sz w:val="11"/>
                <w:szCs w:val="11"/>
                <w:b w:val="1"/>
                <w:bCs w:val="1"/>
                <w:color w:val="205BA8"/>
              </w:rPr>
              <w:t>(#)</w:t>
            </w:r>
          </w:p>
        </w:tc>
        <w:tc>
          <w:tcPr>
            <w:tcW w:w="100" w:type="dxa"/>
            <w:vAlign w:val="bottom"/>
            <w:tcBorders>
              <w:bottom w:val="single" w:sz="8" w:color="205BA8"/>
            </w:tcBorders>
          </w:tcPr>
          <w:p>
            <w:pPr>
              <w:spacing w:after="0"/>
              <w:rPr>
                <w:sz w:val="12"/>
                <w:szCs w:val="12"/>
                <w:color w:val="auto"/>
              </w:rPr>
            </w:pPr>
          </w:p>
        </w:tc>
        <w:tc>
          <w:tcPr>
            <w:tcW w:w="940" w:type="dxa"/>
            <w:vAlign w:val="bottom"/>
            <w:tcBorders>
              <w:bottom w:val="single" w:sz="8" w:color="205BA8"/>
            </w:tcBorders>
            <w:gridSpan w:val="2"/>
          </w:tcPr>
          <w:p>
            <w:pPr>
              <w:jc w:val="center"/>
              <w:ind w:left="22"/>
              <w:spacing w:after="0"/>
              <w:rPr>
                <w:sz w:val="20"/>
                <w:szCs w:val="20"/>
                <w:color w:val="auto"/>
              </w:rPr>
            </w:pPr>
            <w:r>
              <w:rPr>
                <w:rFonts w:ascii="Arial" w:cs="Arial" w:eastAsia="Arial" w:hAnsi="Arial"/>
                <w:sz w:val="11"/>
                <w:szCs w:val="11"/>
                <w:b w:val="1"/>
                <w:bCs w:val="1"/>
                <w:color w:val="205BA8"/>
              </w:rPr>
              <w:t>(#)</w:t>
            </w:r>
          </w:p>
        </w:tc>
        <w:tc>
          <w:tcPr>
            <w:tcW w:w="1080" w:type="dxa"/>
            <w:vAlign w:val="bottom"/>
            <w:tcBorders>
              <w:bottom w:val="single" w:sz="8" w:color="205BA8"/>
            </w:tcBorders>
            <w:gridSpan w:val="2"/>
          </w:tcPr>
          <w:p>
            <w:pPr>
              <w:jc w:val="center"/>
              <w:spacing w:after="0"/>
              <w:rPr>
                <w:sz w:val="20"/>
                <w:szCs w:val="20"/>
                <w:color w:val="auto"/>
              </w:rPr>
            </w:pPr>
            <w:r>
              <w:rPr>
                <w:rFonts w:ascii="Arial" w:cs="Arial" w:eastAsia="Arial" w:hAnsi="Arial"/>
                <w:sz w:val="11"/>
                <w:szCs w:val="11"/>
                <w:b w:val="1"/>
                <w:bCs w:val="1"/>
                <w:color w:val="205BA8"/>
              </w:rPr>
              <w:t>(#)</w:t>
            </w:r>
          </w:p>
        </w:tc>
        <w:tc>
          <w:tcPr>
            <w:tcW w:w="940" w:type="dxa"/>
            <w:vAlign w:val="bottom"/>
            <w:tcBorders>
              <w:bottom w:val="single" w:sz="8" w:color="205BA8"/>
            </w:tcBorders>
          </w:tcPr>
          <w:p>
            <w:pPr>
              <w:jc w:val="center"/>
              <w:ind w:right="58"/>
              <w:spacing w:after="0"/>
              <w:rPr>
                <w:sz w:val="20"/>
                <w:szCs w:val="20"/>
                <w:color w:val="auto"/>
              </w:rPr>
            </w:pPr>
            <w:r>
              <w:rPr>
                <w:rFonts w:ascii="Arial" w:cs="Arial" w:eastAsia="Arial" w:hAnsi="Arial"/>
                <w:sz w:val="11"/>
                <w:szCs w:val="11"/>
                <w:b w:val="1"/>
                <w:bCs w:val="1"/>
                <w:color w:val="205BA8"/>
              </w:rPr>
              <w:t>($)</w:t>
            </w:r>
          </w:p>
        </w:tc>
        <w:tc>
          <w:tcPr>
            <w:tcW w:w="1000" w:type="dxa"/>
            <w:vAlign w:val="bottom"/>
            <w:tcBorders>
              <w:bottom w:val="single" w:sz="8" w:color="205BA8"/>
            </w:tcBorders>
            <w:gridSpan w:val="2"/>
          </w:tcPr>
          <w:p>
            <w:pPr>
              <w:jc w:val="center"/>
              <w:ind w:right="60"/>
              <w:spacing w:after="0"/>
              <w:rPr>
                <w:sz w:val="20"/>
                <w:szCs w:val="20"/>
                <w:color w:val="auto"/>
              </w:rPr>
            </w:pPr>
            <w:r>
              <w:rPr>
                <w:rFonts w:ascii="Arial" w:cs="Arial" w:eastAsia="Arial" w:hAnsi="Arial"/>
                <w:sz w:val="11"/>
                <w:szCs w:val="11"/>
                <w:b w:val="1"/>
                <w:bCs w:val="1"/>
                <w:color w:val="205BA8"/>
                <w:w w:val="97"/>
              </w:rPr>
              <w:t>date</w:t>
            </w:r>
          </w:p>
        </w:tc>
        <w:tc>
          <w:tcPr>
            <w:tcW w:w="100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08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110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920" w:type="dxa"/>
            <w:vAlign w:val="bottom"/>
            <w:tcBorders>
              <w:bottom w:val="single" w:sz="8" w:color="205BA8"/>
            </w:tcBorders>
          </w:tcPr>
          <w:p>
            <w:pPr>
              <w:jc w:val="center"/>
              <w:spacing w:after="0"/>
              <w:rPr>
                <w:sz w:val="20"/>
                <w:szCs w:val="20"/>
                <w:color w:val="auto"/>
              </w:rPr>
            </w:pPr>
            <w:r>
              <w:rPr>
                <w:rFonts w:ascii="Arial" w:cs="Arial" w:eastAsia="Arial" w:hAnsi="Arial"/>
                <w:sz w:val="11"/>
                <w:szCs w:val="11"/>
                <w:b w:val="1"/>
                <w:bCs w:val="1"/>
                <w:color w:val="205BA8"/>
              </w:rPr>
              <w:t>($)</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58585A"/>
            </w:tcBorders>
          </w:tcPr>
          <w:p>
            <w:pPr>
              <w:spacing w:after="0"/>
              <w:rPr>
                <w:sz w:val="14"/>
                <w:szCs w:val="14"/>
                <w:color w:val="auto"/>
              </w:rPr>
            </w:pPr>
          </w:p>
        </w:tc>
        <w:tc>
          <w:tcPr>
            <w:tcW w:w="6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jc w:val="right"/>
              <w:spacing w:after="0" w:line="169" w:lineRule="exact"/>
              <w:rPr>
                <w:sz w:val="20"/>
                <w:szCs w:val="20"/>
                <w:color w:val="auto"/>
              </w:rPr>
            </w:pPr>
            <w:r>
              <w:rPr>
                <w:rFonts w:ascii="Arial" w:cs="Arial" w:eastAsia="Arial" w:hAnsi="Arial"/>
                <w:sz w:val="12"/>
                <w:szCs w:val="12"/>
                <w:color w:val="auto"/>
              </w:rPr>
              <w:t>20,000</w:t>
            </w:r>
            <w:r>
              <w:rPr>
                <w:rFonts w:ascii="Arial" w:cs="Arial" w:eastAsia="Arial" w:hAnsi="Arial"/>
                <w:sz w:val="19"/>
                <w:szCs w:val="19"/>
                <w:color w:val="auto"/>
                <w:vertAlign w:val="superscript"/>
              </w:rPr>
              <w:t>1</w:t>
            </w:r>
          </w:p>
        </w:tc>
        <w:tc>
          <w:tcPr>
            <w:tcW w:w="100" w:type="dxa"/>
            <w:vAlign w:val="bottom"/>
            <w:tcBorders>
              <w:bottom w:val="single" w:sz="8" w:color="58585A"/>
            </w:tcBorders>
          </w:tcPr>
          <w:p>
            <w:pPr>
              <w:spacing w:after="0"/>
              <w:rPr>
                <w:sz w:val="14"/>
                <w:szCs w:val="14"/>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381.40</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12/12/2028</w:t>
            </w:r>
          </w:p>
        </w:tc>
        <w:tc>
          <w:tcPr>
            <w:tcW w:w="10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5,835</w:t>
            </w:r>
          </w:p>
        </w:tc>
        <w:tc>
          <w:tcPr>
            <w:tcW w:w="1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gridSpan w:val="2"/>
          </w:tcPr>
          <w:p>
            <w:pPr>
              <w:jc w:val="right"/>
              <w:spacing w:after="0" w:line="162" w:lineRule="exact"/>
              <w:rPr>
                <w:sz w:val="20"/>
                <w:szCs w:val="20"/>
                <w:color w:val="auto"/>
              </w:rPr>
            </w:pPr>
            <w:r>
              <w:rPr>
                <w:rFonts w:ascii="Arial" w:cs="Arial" w:eastAsia="Arial" w:hAnsi="Arial"/>
                <w:sz w:val="11"/>
                <w:szCs w:val="11"/>
                <w:color w:val="auto"/>
              </w:rPr>
              <w:t>17,502</w:t>
            </w:r>
            <w:r>
              <w:rPr>
                <w:rFonts w:ascii="Arial" w:cs="Arial" w:eastAsia="Arial" w:hAnsi="Arial"/>
                <w:sz w:val="18"/>
                <w:szCs w:val="18"/>
                <w:color w:val="auto"/>
                <w:vertAlign w:val="superscript"/>
              </w:rPr>
              <w:t>2</w:t>
            </w:r>
          </w:p>
        </w:tc>
        <w:tc>
          <w:tcPr>
            <w:tcW w:w="100" w:type="dxa"/>
            <w:vAlign w:val="bottom"/>
            <w:tcBorders>
              <w:bottom w:val="single" w:sz="8" w:color="58585A"/>
            </w:tcBorders>
          </w:tcPr>
          <w:p>
            <w:pPr>
              <w:spacing w:after="0"/>
              <w:rPr>
                <w:sz w:val="14"/>
                <w:szCs w:val="14"/>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378.98</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12/12/2027</w:t>
            </w:r>
          </w:p>
        </w:tc>
        <w:tc>
          <w:tcPr>
            <w:tcW w:w="10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12,283</w:t>
            </w:r>
          </w:p>
        </w:tc>
        <w:tc>
          <w:tcPr>
            <w:tcW w:w="1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gridSpan w:val="2"/>
          </w:tcPr>
          <w:p>
            <w:pPr>
              <w:jc w:val="right"/>
              <w:spacing w:after="0" w:line="162" w:lineRule="exact"/>
              <w:rPr>
                <w:sz w:val="20"/>
                <w:szCs w:val="20"/>
                <w:color w:val="auto"/>
              </w:rPr>
            </w:pPr>
            <w:r>
              <w:rPr>
                <w:rFonts w:ascii="Arial" w:cs="Arial" w:eastAsia="Arial" w:hAnsi="Arial"/>
                <w:sz w:val="11"/>
                <w:szCs w:val="11"/>
                <w:color w:val="auto"/>
              </w:rPr>
              <w:t>12,282</w:t>
            </w:r>
            <w:r>
              <w:rPr>
                <w:rFonts w:ascii="Arial" w:cs="Arial" w:eastAsia="Arial" w:hAnsi="Arial"/>
                <w:sz w:val="18"/>
                <w:szCs w:val="18"/>
                <w:color w:val="auto"/>
                <w:vertAlign w:val="superscript"/>
              </w:rPr>
              <w:t>3</w:t>
            </w:r>
          </w:p>
        </w:tc>
        <w:tc>
          <w:tcPr>
            <w:tcW w:w="100" w:type="dxa"/>
            <w:vAlign w:val="bottom"/>
            <w:tcBorders>
              <w:bottom w:val="single" w:sz="8" w:color="58585A"/>
            </w:tcBorders>
          </w:tcPr>
          <w:p>
            <w:pPr>
              <w:spacing w:after="0"/>
              <w:rPr>
                <w:sz w:val="14"/>
                <w:szCs w:val="14"/>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381.92</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12/16/2026</w:t>
            </w:r>
          </w:p>
        </w:tc>
        <w:tc>
          <w:tcPr>
            <w:tcW w:w="10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2"/>
                <w:szCs w:val="12"/>
                <w:b w:val="1"/>
                <w:bCs w:val="1"/>
                <w:color w:val="D61C5A"/>
              </w:rPr>
              <w:t>Robert E. Landry</w:t>
            </w:r>
          </w:p>
        </w:tc>
        <w:tc>
          <w:tcPr>
            <w:tcW w:w="220" w:type="dxa"/>
            <w:vAlign w:val="bottom"/>
          </w:tcPr>
          <w:p>
            <w:pPr>
              <w:spacing w:after="0"/>
              <w:rPr>
                <w:sz w:val="14"/>
                <w:szCs w:val="14"/>
                <w:color w:val="auto"/>
              </w:rPr>
            </w:pPr>
          </w:p>
        </w:tc>
        <w:tc>
          <w:tcPr>
            <w:tcW w:w="6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21,675</w:t>
            </w:r>
          </w:p>
        </w:tc>
        <w:tc>
          <w:tcPr>
            <w:tcW w:w="1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gridSpan w:val="2"/>
          </w:tcPr>
          <w:p>
            <w:pPr>
              <w:jc w:val="right"/>
              <w:spacing w:after="0" w:line="162" w:lineRule="exact"/>
              <w:rPr>
                <w:sz w:val="20"/>
                <w:szCs w:val="20"/>
                <w:color w:val="auto"/>
              </w:rPr>
            </w:pPr>
            <w:r>
              <w:rPr>
                <w:rFonts w:ascii="Arial" w:cs="Arial" w:eastAsia="Arial" w:hAnsi="Arial"/>
                <w:sz w:val="11"/>
                <w:szCs w:val="11"/>
                <w:color w:val="auto"/>
              </w:rPr>
              <w:t>7,225</w:t>
            </w:r>
            <w:r>
              <w:rPr>
                <w:rFonts w:ascii="Arial" w:cs="Arial" w:eastAsia="Arial" w:hAnsi="Arial"/>
                <w:sz w:val="18"/>
                <w:szCs w:val="18"/>
                <w:color w:val="auto"/>
                <w:vertAlign w:val="superscript"/>
              </w:rPr>
              <w:t>4</w:t>
            </w:r>
          </w:p>
        </w:tc>
        <w:tc>
          <w:tcPr>
            <w:tcW w:w="100" w:type="dxa"/>
            <w:vAlign w:val="bottom"/>
            <w:tcBorders>
              <w:bottom w:val="single" w:sz="8" w:color="58585A"/>
            </w:tcBorders>
          </w:tcPr>
          <w:p>
            <w:pPr>
              <w:spacing w:after="0"/>
              <w:rPr>
                <w:sz w:val="14"/>
                <w:szCs w:val="14"/>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555.67</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12/16/2025</w:t>
            </w:r>
          </w:p>
        </w:tc>
        <w:tc>
          <w:tcPr>
            <w:tcW w:w="10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34,000</w:t>
            </w:r>
          </w:p>
        </w:tc>
        <w:tc>
          <w:tcPr>
            <w:tcW w:w="100" w:type="dxa"/>
            <w:vAlign w:val="bottom"/>
            <w:tcBorders>
              <w:bottom w:val="single" w:sz="8" w:color="58585A"/>
            </w:tcBorders>
          </w:tcPr>
          <w:p>
            <w:pPr>
              <w:spacing w:after="0"/>
              <w:rPr>
                <w:sz w:val="13"/>
                <w:szCs w:val="13"/>
                <w:color w:val="auto"/>
              </w:rPr>
            </w:pPr>
          </w:p>
        </w:tc>
        <w:tc>
          <w:tcPr>
            <w:tcW w:w="220" w:type="dxa"/>
            <w:vAlign w:val="bottom"/>
            <w:tcBorders>
              <w:bottom w:val="single" w:sz="8" w:color="58585A"/>
            </w:tcBorders>
          </w:tcPr>
          <w:p>
            <w:pPr>
              <w:spacing w:after="0"/>
              <w:rPr>
                <w:sz w:val="13"/>
                <w:szCs w:val="13"/>
                <w:color w:val="auto"/>
              </w:rPr>
            </w:pPr>
          </w:p>
        </w:tc>
        <w:tc>
          <w:tcPr>
            <w:tcW w:w="72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tcPr>
          <w:p>
            <w:pPr>
              <w:spacing w:after="0"/>
              <w:rPr>
                <w:sz w:val="13"/>
                <w:szCs w:val="13"/>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399.66</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12/16/2024</w:t>
            </w:r>
          </w:p>
        </w:tc>
        <w:tc>
          <w:tcPr>
            <w:tcW w:w="100" w:type="dxa"/>
            <w:vAlign w:val="bottom"/>
            <w:tcBorders>
              <w:bottom w:val="single" w:sz="8" w:color="58585A"/>
            </w:tcBorders>
          </w:tcPr>
          <w:p>
            <w:pPr>
              <w:spacing w:after="0"/>
              <w:rPr>
                <w:sz w:val="13"/>
                <w:szCs w:val="13"/>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ind w:left="38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272.70</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9/9/2023</w:t>
            </w:r>
          </w:p>
        </w:tc>
        <w:tc>
          <w:tcPr>
            <w:tcW w:w="100" w:type="dxa"/>
            <w:vAlign w:val="bottom"/>
          </w:tcPr>
          <w:p>
            <w:pPr>
              <w:spacing w:after="0"/>
              <w:rPr>
                <w:sz w:val="14"/>
                <w:szCs w:val="14"/>
                <w:color w:val="auto"/>
              </w:rPr>
            </w:pPr>
          </w:p>
        </w:tc>
        <w:tc>
          <w:tcPr>
            <w:tcW w:w="1000" w:type="dxa"/>
            <w:vAlign w:val="bottom"/>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Pr>
          <w:p>
            <w:pPr>
              <w:ind w:left="680"/>
              <w:spacing w:after="0"/>
              <w:rPr>
                <w:sz w:val="20"/>
                <w:szCs w:val="20"/>
                <w:color w:val="auto"/>
              </w:rPr>
            </w:pPr>
            <w:r>
              <w:rPr>
                <w:rFonts w:ascii="Arial" w:cs="Arial" w:eastAsia="Arial" w:hAnsi="Arial"/>
                <w:sz w:val="13"/>
                <w:szCs w:val="13"/>
                <w:color w:val="auto"/>
              </w:rPr>
              <w:t>—</w:t>
            </w:r>
          </w:p>
        </w:tc>
        <w:tc>
          <w:tcPr>
            <w:tcW w:w="1100" w:type="dxa"/>
            <w:vAlign w:val="bottom"/>
          </w:tcPr>
          <w:p>
            <w:pPr>
              <w:ind w:left="540"/>
              <w:spacing w:after="0"/>
              <w:rPr>
                <w:sz w:val="20"/>
                <w:szCs w:val="20"/>
                <w:color w:val="auto"/>
              </w:rPr>
            </w:pPr>
            <w:r>
              <w:rPr>
                <w:rFonts w:ascii="Arial" w:cs="Arial" w:eastAsia="Arial" w:hAnsi="Arial"/>
                <w:sz w:val="13"/>
                <w:szCs w:val="13"/>
                <w:color w:val="auto"/>
              </w:rPr>
              <w:t>—</w:t>
            </w:r>
          </w:p>
        </w:tc>
        <w:tc>
          <w:tcPr>
            <w:tcW w:w="920" w:type="dxa"/>
            <w:vAlign w:val="bottom"/>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58585A"/>
              <w:bottom w:val="single" w:sz="8" w:color="58585A"/>
            </w:tcBorders>
          </w:tcPr>
          <w:p>
            <w:pPr>
              <w:spacing w:after="0"/>
              <w:rPr>
                <w:sz w:val="14"/>
                <w:szCs w:val="14"/>
                <w:color w:val="auto"/>
              </w:rPr>
            </w:pPr>
          </w:p>
        </w:tc>
        <w:tc>
          <w:tcPr>
            <w:tcW w:w="620" w:type="dxa"/>
            <w:vAlign w:val="bottom"/>
            <w:tcBorders>
              <w:top w:val="single" w:sz="8" w:color="58585A"/>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58585A"/>
              <w:bottom w:val="single" w:sz="8" w:color="58585A"/>
            </w:tcBorders>
          </w:tcPr>
          <w:p>
            <w:pPr>
              <w:spacing w:after="0"/>
              <w:rPr>
                <w:sz w:val="14"/>
                <w:szCs w:val="14"/>
                <w:color w:val="auto"/>
              </w:rPr>
            </w:pPr>
          </w:p>
        </w:tc>
        <w:tc>
          <w:tcPr>
            <w:tcW w:w="720" w:type="dxa"/>
            <w:vAlign w:val="bottom"/>
            <w:tcBorders>
              <w:top w:val="single" w:sz="8" w:color="58585A"/>
              <w:bottom w:val="single" w:sz="8" w:color="58585A"/>
            </w:tcBorders>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58585A"/>
              <w:bottom w:val="single" w:sz="8" w:color="58585A"/>
            </w:tcBorders>
          </w:tcPr>
          <w:p>
            <w:pPr>
              <w:spacing w:after="0"/>
              <w:rPr>
                <w:sz w:val="14"/>
                <w:szCs w:val="14"/>
                <w:color w:val="auto"/>
              </w:rPr>
            </w:pPr>
          </w:p>
        </w:tc>
        <w:tc>
          <w:tcPr>
            <w:tcW w:w="980" w:type="dxa"/>
            <w:vAlign w:val="bottom"/>
            <w:tcBorders>
              <w:top w:val="single" w:sz="8" w:color="58585A"/>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58585A"/>
              <w:bottom w:val="single" w:sz="8" w:color="58585A"/>
            </w:tcBorders>
          </w:tcPr>
          <w:p>
            <w:pPr>
              <w:jc w:val="right"/>
              <w:ind w:right="98"/>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585A"/>
              <w:bottom w:val="single" w:sz="8" w:color="58585A"/>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585A"/>
              <w:bottom w:val="single" w:sz="8" w:color="58585A"/>
            </w:tcBorders>
          </w:tcPr>
          <w:p>
            <w:pPr>
              <w:jc w:val="right"/>
              <w:ind w:right="159"/>
              <w:spacing w:after="0" w:line="164" w:lineRule="exact"/>
              <w:rPr>
                <w:sz w:val="20"/>
                <w:szCs w:val="20"/>
                <w:color w:val="auto"/>
              </w:rPr>
            </w:pPr>
            <w:r>
              <w:rPr>
                <w:rFonts w:ascii="Arial" w:cs="Arial" w:eastAsia="Arial" w:hAnsi="Arial"/>
                <w:sz w:val="11"/>
                <w:szCs w:val="11"/>
                <w:color w:val="auto"/>
              </w:rPr>
              <w:t>12,500</w:t>
            </w:r>
            <w:r>
              <w:rPr>
                <w:rFonts w:ascii="Arial" w:cs="Arial" w:eastAsia="Arial" w:hAnsi="Arial"/>
                <w:sz w:val="18"/>
                <w:szCs w:val="18"/>
                <w:color w:val="auto"/>
                <w:vertAlign w:val="superscript"/>
              </w:rPr>
              <w:t>5</w:t>
            </w:r>
          </w:p>
        </w:tc>
        <w:tc>
          <w:tcPr>
            <w:tcW w:w="1080" w:type="dxa"/>
            <w:vAlign w:val="bottom"/>
            <w:tcBorders>
              <w:top w:val="single" w:sz="8" w:color="58585A"/>
              <w:bottom w:val="single" w:sz="8" w:color="58585A"/>
            </w:tcBorders>
          </w:tcPr>
          <w:p>
            <w:pPr>
              <w:jc w:val="right"/>
              <w:ind w:right="160"/>
              <w:spacing w:after="0" w:line="164" w:lineRule="exact"/>
              <w:rPr>
                <w:sz w:val="20"/>
                <w:szCs w:val="20"/>
                <w:color w:val="auto"/>
              </w:rPr>
            </w:pPr>
            <w:r>
              <w:rPr>
                <w:rFonts w:ascii="Arial" w:cs="Arial" w:eastAsia="Arial" w:hAnsi="Arial"/>
                <w:sz w:val="11"/>
                <w:szCs w:val="11"/>
                <w:color w:val="auto"/>
              </w:rPr>
              <w:t>4,668,750</w:t>
            </w:r>
            <w:r>
              <w:rPr>
                <w:rFonts w:ascii="Arial" w:cs="Arial" w:eastAsia="Arial" w:hAnsi="Arial"/>
                <w:sz w:val="18"/>
                <w:szCs w:val="18"/>
                <w:color w:val="auto"/>
                <w:vertAlign w:val="superscript"/>
              </w:rPr>
              <w:t>6</w:t>
            </w:r>
          </w:p>
        </w:tc>
        <w:tc>
          <w:tcPr>
            <w:tcW w:w="1100" w:type="dxa"/>
            <w:vAlign w:val="bottom"/>
            <w:tcBorders>
              <w:top w:val="single" w:sz="8" w:color="58585A"/>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58585A"/>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tcBorders>
              <w:bottom w:val="single" w:sz="8" w:color="58585A"/>
            </w:tcBorders>
          </w:tcPr>
          <w:p>
            <w:pPr>
              <w:ind w:left="1000"/>
              <w:spacing w:after="0"/>
              <w:rPr>
                <w:sz w:val="20"/>
                <w:szCs w:val="20"/>
                <w:color w:val="auto"/>
              </w:rPr>
            </w:pPr>
            <w:r>
              <w:rPr>
                <w:rFonts w:ascii="Arial" w:cs="Arial" w:eastAsia="Arial" w:hAnsi="Arial"/>
                <w:sz w:val="12"/>
                <w:szCs w:val="12"/>
                <w:b w:val="1"/>
                <w:bCs w:val="1"/>
                <w:color w:val="auto"/>
                <w:w w:val="94"/>
              </w:rPr>
              <w:t>TOTAL</w:t>
            </w:r>
          </w:p>
        </w:tc>
        <w:tc>
          <w:tcPr>
            <w:tcW w:w="840" w:type="dxa"/>
            <w:vAlign w:val="bottom"/>
            <w:tcBorders>
              <w:bottom w:val="single" w:sz="8" w:color="58585A"/>
            </w:tcBorders>
            <w:gridSpan w:val="3"/>
          </w:tcPr>
          <w:p>
            <w:pPr>
              <w:jc w:val="right"/>
              <w:spacing w:after="0"/>
              <w:rPr>
                <w:sz w:val="20"/>
                <w:szCs w:val="20"/>
                <w:color w:val="auto"/>
              </w:rPr>
            </w:pPr>
            <w:r>
              <w:rPr>
                <w:rFonts w:ascii="Arial" w:cs="Arial" w:eastAsia="Arial" w:hAnsi="Arial"/>
                <w:sz w:val="13"/>
                <w:szCs w:val="13"/>
                <w:b w:val="1"/>
                <w:bCs w:val="1"/>
                <w:color w:val="auto"/>
              </w:rPr>
              <w:t>130,793</w:t>
            </w:r>
          </w:p>
        </w:tc>
        <w:tc>
          <w:tcPr>
            <w:tcW w:w="100" w:type="dxa"/>
            <w:vAlign w:val="bottom"/>
            <w:tcBorders>
              <w:bottom w:val="single" w:sz="8" w:color="58585A"/>
            </w:tcBorders>
          </w:tcPr>
          <w:p>
            <w:pPr>
              <w:spacing w:after="0"/>
              <w:rPr>
                <w:sz w:val="13"/>
                <w:szCs w:val="13"/>
                <w:color w:val="auto"/>
              </w:rPr>
            </w:pPr>
          </w:p>
        </w:tc>
        <w:tc>
          <w:tcPr>
            <w:tcW w:w="940" w:type="dxa"/>
            <w:vAlign w:val="bottom"/>
            <w:tcBorders>
              <w:bottom w:val="single" w:sz="8" w:color="58585A"/>
            </w:tcBorders>
            <w:gridSpan w:val="2"/>
          </w:tcPr>
          <w:p>
            <w:pPr>
              <w:jc w:val="right"/>
              <w:ind w:right="59"/>
              <w:spacing w:after="0"/>
              <w:rPr>
                <w:sz w:val="20"/>
                <w:szCs w:val="20"/>
                <w:color w:val="auto"/>
              </w:rPr>
            </w:pPr>
            <w:r>
              <w:rPr>
                <w:rFonts w:ascii="Arial" w:cs="Arial" w:eastAsia="Arial" w:hAnsi="Arial"/>
                <w:sz w:val="13"/>
                <w:szCs w:val="13"/>
                <w:b w:val="1"/>
                <w:bCs w:val="1"/>
                <w:color w:val="auto"/>
              </w:rPr>
              <w:t>57,009</w:t>
            </w:r>
          </w:p>
        </w:tc>
        <w:tc>
          <w:tcPr>
            <w:tcW w:w="100" w:type="dxa"/>
            <w:vAlign w:val="bottom"/>
            <w:tcBorders>
              <w:bottom w:val="single" w:sz="8" w:color="58585A"/>
            </w:tcBorders>
          </w:tcPr>
          <w:p>
            <w:pPr>
              <w:spacing w:after="0"/>
              <w:rPr>
                <w:sz w:val="13"/>
                <w:szCs w:val="13"/>
                <w:color w:val="auto"/>
              </w:rPr>
            </w:pPr>
          </w:p>
        </w:tc>
        <w:tc>
          <w:tcPr>
            <w:tcW w:w="980" w:type="dxa"/>
            <w:vAlign w:val="bottom"/>
            <w:tcBorders>
              <w:bottom w:val="single" w:sz="8" w:color="58585A"/>
            </w:tcBorders>
          </w:tcPr>
          <w:p>
            <w:pPr>
              <w:spacing w:after="0"/>
              <w:rPr>
                <w:sz w:val="13"/>
                <w:szCs w:val="13"/>
                <w:color w:val="auto"/>
              </w:rPr>
            </w:pPr>
          </w:p>
        </w:tc>
        <w:tc>
          <w:tcPr>
            <w:tcW w:w="940" w:type="dxa"/>
            <w:vAlign w:val="bottom"/>
            <w:tcBorders>
              <w:bottom w:val="single" w:sz="8" w:color="58585A"/>
            </w:tcBorders>
          </w:tcPr>
          <w:p>
            <w:pPr>
              <w:spacing w:after="0"/>
              <w:rPr>
                <w:sz w:val="13"/>
                <w:szCs w:val="13"/>
                <w:color w:val="auto"/>
              </w:rPr>
            </w:pPr>
          </w:p>
        </w:tc>
        <w:tc>
          <w:tcPr>
            <w:tcW w:w="900" w:type="dxa"/>
            <w:vAlign w:val="bottom"/>
            <w:tcBorders>
              <w:bottom w:val="single" w:sz="8" w:color="58585A"/>
            </w:tcBorders>
          </w:tcPr>
          <w:p>
            <w:pPr>
              <w:spacing w:after="0"/>
              <w:rPr>
                <w:sz w:val="13"/>
                <w:szCs w:val="13"/>
                <w:color w:val="auto"/>
              </w:rPr>
            </w:pPr>
          </w:p>
        </w:tc>
        <w:tc>
          <w:tcPr>
            <w:tcW w:w="100" w:type="dxa"/>
            <w:vAlign w:val="bottom"/>
            <w:tcBorders>
              <w:bottom w:val="single" w:sz="8" w:color="58585A"/>
            </w:tcBorders>
          </w:tcPr>
          <w:p>
            <w:pPr>
              <w:spacing w:after="0"/>
              <w:rPr>
                <w:sz w:val="13"/>
                <w:szCs w:val="13"/>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b w:val="1"/>
                <w:bCs w:val="1"/>
                <w:color w:val="auto"/>
              </w:rPr>
              <w:t>12,500</w:t>
            </w:r>
          </w:p>
        </w:tc>
        <w:tc>
          <w:tcPr>
            <w:tcW w:w="1080" w:type="dxa"/>
            <w:vAlign w:val="bottom"/>
            <w:tcBorders>
              <w:bottom w:val="single" w:sz="8" w:color="58585A"/>
            </w:tcBorders>
          </w:tcPr>
          <w:p>
            <w:pPr>
              <w:spacing w:after="0"/>
              <w:rPr>
                <w:sz w:val="13"/>
                <w:szCs w:val="13"/>
                <w:color w:val="auto"/>
              </w:rPr>
            </w:pPr>
          </w:p>
        </w:tc>
        <w:tc>
          <w:tcPr>
            <w:tcW w:w="1100" w:type="dxa"/>
            <w:vAlign w:val="bottom"/>
            <w:tcBorders>
              <w:bottom w:val="single" w:sz="8" w:color="58585A"/>
            </w:tcBorders>
          </w:tcPr>
          <w:p>
            <w:pPr>
              <w:spacing w:after="0"/>
              <w:rPr>
                <w:sz w:val="13"/>
                <w:szCs w:val="13"/>
                <w:color w:val="auto"/>
              </w:rPr>
            </w:pPr>
          </w:p>
        </w:tc>
        <w:tc>
          <w:tcPr>
            <w:tcW w:w="920" w:type="dxa"/>
            <w:vAlign w:val="bottom"/>
            <w:tcBorders>
              <w:bottom w:val="single" w:sz="8" w:color="58585A"/>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620" w:type="dxa"/>
            <w:vAlign w:val="bottom"/>
            <w:tcBorders>
              <w:bottom w:val="single" w:sz="8" w:color="58585A"/>
            </w:tcBorders>
            <w:gridSpan w:val="2"/>
            <w:shd w:val="clear" w:color="auto" w:fill="ECEDED"/>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shd w:val="clear" w:color="auto" w:fill="ECEDED"/>
          </w:tcPr>
          <w:p>
            <w:pPr>
              <w:jc w:val="right"/>
              <w:spacing w:after="0" w:line="164" w:lineRule="exact"/>
              <w:rPr>
                <w:sz w:val="20"/>
                <w:szCs w:val="20"/>
                <w:color w:val="auto"/>
              </w:rPr>
            </w:pPr>
            <w:r>
              <w:rPr>
                <w:rFonts w:ascii="Arial" w:cs="Arial" w:eastAsia="Arial" w:hAnsi="Arial"/>
                <w:sz w:val="11"/>
                <w:szCs w:val="11"/>
                <w:color w:val="auto"/>
              </w:rPr>
              <w:t>46,250</w:t>
            </w:r>
            <w:r>
              <w:rPr>
                <w:rFonts w:ascii="Arial" w:cs="Arial" w:eastAsia="Arial" w:hAnsi="Arial"/>
                <w:sz w:val="18"/>
                <w:szCs w:val="18"/>
                <w:color w:val="auto"/>
                <w:vertAlign w:val="superscript"/>
              </w:rPr>
              <w:t>1</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381.40</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12/12/2028</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620" w:type="dxa"/>
            <w:vAlign w:val="bottom"/>
            <w:tcBorders>
              <w:bottom w:val="single" w:sz="8" w:color="58585A"/>
            </w:tcBorders>
            <w:gridSpan w:val="2"/>
            <w:shd w:val="clear" w:color="auto" w:fill="ECEDED"/>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gridSpan w:val="2"/>
            <w:shd w:val="clear" w:color="auto" w:fill="ECEDED"/>
          </w:tcPr>
          <w:p>
            <w:pPr>
              <w:jc w:val="right"/>
              <w:spacing w:after="0" w:line="162" w:lineRule="exact"/>
              <w:rPr>
                <w:sz w:val="20"/>
                <w:szCs w:val="20"/>
                <w:color w:val="auto"/>
              </w:rPr>
            </w:pPr>
            <w:r>
              <w:rPr>
                <w:rFonts w:ascii="Arial" w:cs="Arial" w:eastAsia="Arial" w:hAnsi="Arial"/>
                <w:sz w:val="11"/>
                <w:szCs w:val="11"/>
                <w:color w:val="auto"/>
              </w:rPr>
              <w:t>37,500</w:t>
            </w:r>
            <w:r>
              <w:rPr>
                <w:rFonts w:ascii="Arial" w:cs="Arial" w:eastAsia="Arial" w:hAnsi="Arial"/>
                <w:sz w:val="18"/>
                <w:szCs w:val="18"/>
                <w:color w:val="auto"/>
                <w:vertAlign w:val="superscript"/>
              </w:rPr>
              <w:t>2</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378.98</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12/12/2027</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17,000</w:t>
            </w:r>
          </w:p>
        </w:tc>
        <w:tc>
          <w:tcPr>
            <w:tcW w:w="10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gridSpan w:val="2"/>
            <w:shd w:val="clear" w:color="auto" w:fill="ECEDED"/>
          </w:tcPr>
          <w:p>
            <w:pPr>
              <w:jc w:val="right"/>
              <w:spacing w:after="0" w:line="162" w:lineRule="exact"/>
              <w:rPr>
                <w:sz w:val="20"/>
                <w:szCs w:val="20"/>
                <w:color w:val="auto"/>
              </w:rPr>
            </w:pPr>
            <w:r>
              <w:rPr>
                <w:rFonts w:ascii="Arial" w:cs="Arial" w:eastAsia="Arial" w:hAnsi="Arial"/>
                <w:sz w:val="11"/>
                <w:szCs w:val="11"/>
                <w:color w:val="auto"/>
              </w:rPr>
              <w:t>17,000</w:t>
            </w:r>
            <w:r>
              <w:rPr>
                <w:rFonts w:ascii="Arial" w:cs="Arial" w:eastAsia="Arial" w:hAnsi="Arial"/>
                <w:sz w:val="18"/>
                <w:szCs w:val="18"/>
                <w:color w:val="auto"/>
                <w:vertAlign w:val="superscript"/>
              </w:rPr>
              <w:t>3</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381.92</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12/16/2026</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gridSpan w:val="2"/>
            <w:shd w:val="clear" w:color="auto" w:fill="ECEDED"/>
          </w:tcPr>
          <w:p>
            <w:pPr>
              <w:jc w:val="right"/>
              <w:spacing w:after="0" w:line="162" w:lineRule="exact"/>
              <w:rPr>
                <w:sz w:val="20"/>
                <w:szCs w:val="20"/>
                <w:color w:val="auto"/>
              </w:rPr>
            </w:pPr>
            <w:r>
              <w:rPr>
                <w:rFonts w:ascii="Arial" w:cs="Arial" w:eastAsia="Arial" w:hAnsi="Arial"/>
                <w:sz w:val="11"/>
                <w:szCs w:val="11"/>
                <w:color w:val="auto"/>
              </w:rPr>
              <w:t>10,000</w:t>
            </w:r>
            <w:r>
              <w:rPr>
                <w:rFonts w:ascii="Arial" w:cs="Arial" w:eastAsia="Arial" w:hAnsi="Arial"/>
                <w:sz w:val="18"/>
                <w:szCs w:val="18"/>
                <w:color w:val="auto"/>
                <w:vertAlign w:val="superscript"/>
              </w:rPr>
              <w:t>4</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555.67</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12/16/2025</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tcBorders>
              <w:bottom w:val="single" w:sz="8" w:color="ECEDED"/>
            </w:tcBorders>
            <w:vMerge w:val="restart"/>
            <w:shd w:val="clear" w:color="auto" w:fill="ECEDED"/>
          </w:tcPr>
          <w:p>
            <w:pPr>
              <w:ind w:left="40"/>
              <w:spacing w:after="0"/>
              <w:rPr>
                <w:sz w:val="20"/>
                <w:szCs w:val="20"/>
                <w:color w:val="auto"/>
              </w:rPr>
            </w:pPr>
            <w:r>
              <w:rPr>
                <w:rFonts w:ascii="Arial" w:cs="Arial" w:eastAsia="Arial" w:hAnsi="Arial"/>
                <w:sz w:val="12"/>
                <w:szCs w:val="12"/>
                <w:b w:val="1"/>
                <w:bCs w:val="1"/>
                <w:color w:val="D61C5A"/>
              </w:rPr>
              <w:t>Daniel P. Van Plew</w:t>
            </w:r>
          </w:p>
        </w:tc>
        <w:tc>
          <w:tcPr>
            <w:tcW w:w="22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58585A"/>
            </w:tcBorders>
            <w:shd w:val="clear" w:color="auto" w:fill="ECEDED"/>
          </w:tcPr>
          <w:p>
            <w:pPr>
              <w:spacing w:after="0"/>
              <w:rPr>
                <w:sz w:val="13"/>
                <w:szCs w:val="13"/>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40,000</w:t>
            </w:r>
          </w:p>
        </w:tc>
        <w:tc>
          <w:tcPr>
            <w:tcW w:w="100" w:type="dxa"/>
            <w:vAlign w:val="bottom"/>
            <w:tcBorders>
              <w:bottom w:val="single" w:sz="8" w:color="58585A"/>
            </w:tcBorders>
            <w:shd w:val="clear" w:color="auto" w:fill="ECEDED"/>
          </w:tcPr>
          <w:p>
            <w:pPr>
              <w:spacing w:after="0"/>
              <w:rPr>
                <w:sz w:val="13"/>
                <w:szCs w:val="13"/>
                <w:color w:val="auto"/>
              </w:rPr>
            </w:pP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shd w:val="clear" w:color="auto" w:fill="ECEDED"/>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3"/>
                <w:szCs w:val="13"/>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399.66</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12/16/2024</w:t>
            </w:r>
          </w:p>
        </w:tc>
        <w:tc>
          <w:tcPr>
            <w:tcW w:w="100" w:type="dxa"/>
            <w:vAlign w:val="bottom"/>
            <w:tcBorders>
              <w:bottom w:val="single" w:sz="8" w:color="58585A"/>
            </w:tcBorders>
            <w:shd w:val="clear" w:color="auto" w:fill="ECEDED"/>
          </w:tcPr>
          <w:p>
            <w:pPr>
              <w:spacing w:after="0"/>
              <w:rPr>
                <w:sz w:val="13"/>
                <w:szCs w:val="13"/>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6"/>
        </w:trPr>
        <w:tc>
          <w:tcPr>
            <w:tcW w:w="1400" w:type="dxa"/>
            <w:vAlign w:val="bottom"/>
            <w:vMerge w:val="continue"/>
            <w:shd w:val="clear" w:color="auto" w:fill="ECEDED"/>
          </w:tcPr>
          <w:p>
            <w:pPr>
              <w:spacing w:after="0"/>
              <w:rPr>
                <w:sz w:val="4"/>
                <w:szCs w:val="4"/>
                <w:color w:val="auto"/>
              </w:rPr>
            </w:pPr>
          </w:p>
        </w:tc>
        <w:tc>
          <w:tcPr>
            <w:tcW w:w="220" w:type="dxa"/>
            <w:vAlign w:val="bottom"/>
            <w:shd w:val="clear" w:color="auto" w:fill="ECEDED"/>
          </w:tcPr>
          <w:p>
            <w:pPr>
              <w:spacing w:after="0"/>
              <w:rPr>
                <w:sz w:val="4"/>
                <w:szCs w:val="4"/>
                <w:color w:val="auto"/>
              </w:rPr>
            </w:pPr>
          </w:p>
        </w:tc>
        <w:tc>
          <w:tcPr>
            <w:tcW w:w="100" w:type="dxa"/>
            <w:vAlign w:val="bottom"/>
            <w:shd w:val="clear" w:color="auto" w:fill="ECEDED"/>
          </w:tcPr>
          <w:p>
            <w:pPr>
              <w:spacing w:after="0"/>
              <w:rPr>
                <w:sz w:val="4"/>
                <w:szCs w:val="4"/>
                <w:color w:val="auto"/>
              </w:rPr>
            </w:pPr>
          </w:p>
        </w:tc>
        <w:tc>
          <w:tcPr>
            <w:tcW w:w="520" w:type="dxa"/>
            <w:vAlign w:val="bottom"/>
            <w:vMerge w:val="restart"/>
            <w:shd w:val="clear" w:color="auto" w:fill="ECEDED"/>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ECEDED"/>
          </w:tcPr>
          <w:p>
            <w:pPr>
              <w:spacing w:after="0"/>
              <w:rPr>
                <w:sz w:val="4"/>
                <w:szCs w:val="4"/>
                <w:color w:val="auto"/>
              </w:rPr>
            </w:pPr>
          </w:p>
        </w:tc>
        <w:tc>
          <w:tcPr>
            <w:tcW w:w="220" w:type="dxa"/>
            <w:vAlign w:val="bottom"/>
            <w:shd w:val="clear" w:color="auto" w:fill="ECEDED"/>
          </w:tcPr>
          <w:p>
            <w:pPr>
              <w:spacing w:after="0"/>
              <w:rPr>
                <w:sz w:val="4"/>
                <w:szCs w:val="4"/>
                <w:color w:val="auto"/>
              </w:rPr>
            </w:pPr>
          </w:p>
        </w:tc>
        <w:tc>
          <w:tcPr>
            <w:tcW w:w="720" w:type="dxa"/>
            <w:vAlign w:val="bottom"/>
            <w:vMerge w:val="restart"/>
            <w:shd w:val="clear" w:color="auto" w:fill="ECEDED"/>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shd w:val="clear" w:color="auto" w:fill="ECEDED"/>
          </w:tcPr>
          <w:p>
            <w:pPr>
              <w:spacing w:after="0"/>
              <w:rPr>
                <w:sz w:val="4"/>
                <w:szCs w:val="4"/>
                <w:color w:val="auto"/>
              </w:rPr>
            </w:pPr>
          </w:p>
        </w:tc>
        <w:tc>
          <w:tcPr>
            <w:tcW w:w="980" w:type="dxa"/>
            <w:vAlign w:val="bottom"/>
            <w:vMerge w:val="restart"/>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ECEDED"/>
          </w:tcPr>
          <w:p>
            <w:pPr>
              <w:jc w:val="right"/>
              <w:ind w:right="98"/>
              <w:spacing w:after="0"/>
              <w:rPr>
                <w:sz w:val="20"/>
                <w:szCs w:val="20"/>
                <w:color w:val="auto"/>
              </w:rPr>
            </w:pPr>
            <w:r>
              <w:rPr>
                <w:rFonts w:ascii="Arial" w:cs="Arial" w:eastAsia="Arial" w:hAnsi="Arial"/>
                <w:sz w:val="13"/>
                <w:szCs w:val="13"/>
                <w:color w:val="auto"/>
              </w:rPr>
              <w:t>270.43</w:t>
            </w:r>
          </w:p>
        </w:tc>
        <w:tc>
          <w:tcPr>
            <w:tcW w:w="900" w:type="dxa"/>
            <w:vAlign w:val="bottom"/>
            <w:vMerge w:val="restart"/>
            <w:shd w:val="clear" w:color="auto" w:fill="ECEDED"/>
          </w:tcPr>
          <w:p>
            <w:pPr>
              <w:jc w:val="right"/>
              <w:ind w:right="38"/>
              <w:spacing w:after="0"/>
              <w:rPr>
                <w:sz w:val="20"/>
                <w:szCs w:val="20"/>
                <w:color w:val="auto"/>
              </w:rPr>
            </w:pPr>
            <w:r>
              <w:rPr>
                <w:rFonts w:ascii="Arial" w:cs="Arial" w:eastAsia="Arial" w:hAnsi="Arial"/>
                <w:sz w:val="13"/>
                <w:szCs w:val="13"/>
                <w:color w:val="auto"/>
              </w:rPr>
              <w:t>12/13/2023</w:t>
            </w:r>
          </w:p>
        </w:tc>
        <w:tc>
          <w:tcPr>
            <w:tcW w:w="100" w:type="dxa"/>
            <w:vAlign w:val="bottom"/>
            <w:shd w:val="clear" w:color="auto" w:fill="ECEDED"/>
          </w:tcPr>
          <w:p>
            <w:pPr>
              <w:spacing w:after="0"/>
              <w:rPr>
                <w:sz w:val="4"/>
                <w:szCs w:val="4"/>
                <w:color w:val="auto"/>
              </w:rPr>
            </w:pPr>
          </w:p>
        </w:tc>
        <w:tc>
          <w:tcPr>
            <w:tcW w:w="1000" w:type="dxa"/>
            <w:vAlign w:val="bottom"/>
            <w:vMerge w:val="restart"/>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5"/>
        </w:trPr>
        <w:tc>
          <w:tcPr>
            <w:tcW w:w="1400" w:type="dxa"/>
            <w:vAlign w:val="bottom"/>
            <w:tcBorders>
              <w:bottom w:val="single" w:sz="8" w:color="ECEDED"/>
            </w:tcBorders>
            <w:shd w:val="clear" w:color="auto" w:fill="ECEDED"/>
          </w:tcPr>
          <w:p>
            <w:pPr>
              <w:spacing w:after="0"/>
              <w:rPr>
                <w:sz w:val="9"/>
                <w:szCs w:val="9"/>
                <w:color w:val="auto"/>
              </w:rPr>
            </w:pPr>
          </w:p>
        </w:tc>
        <w:tc>
          <w:tcPr>
            <w:tcW w:w="220" w:type="dxa"/>
            <w:vAlign w:val="bottom"/>
            <w:tcBorders>
              <w:bottom w:val="single" w:sz="8" w:color="ECEDED"/>
            </w:tcBorders>
            <w:shd w:val="clear" w:color="auto" w:fill="ECEDED"/>
          </w:tcPr>
          <w:p>
            <w:pPr>
              <w:spacing w:after="0"/>
              <w:rPr>
                <w:sz w:val="9"/>
                <w:szCs w:val="9"/>
                <w:color w:val="auto"/>
              </w:rPr>
            </w:pPr>
          </w:p>
        </w:tc>
        <w:tc>
          <w:tcPr>
            <w:tcW w:w="100" w:type="dxa"/>
            <w:vAlign w:val="bottom"/>
            <w:tcBorders>
              <w:bottom w:val="single" w:sz="8" w:color="58585A"/>
            </w:tcBorders>
            <w:shd w:val="clear" w:color="auto" w:fill="ECEDED"/>
          </w:tcPr>
          <w:p>
            <w:pPr>
              <w:spacing w:after="0"/>
              <w:rPr>
                <w:sz w:val="9"/>
                <w:szCs w:val="9"/>
                <w:color w:val="auto"/>
              </w:rPr>
            </w:pPr>
          </w:p>
        </w:tc>
        <w:tc>
          <w:tcPr>
            <w:tcW w:w="520" w:type="dxa"/>
            <w:vAlign w:val="bottom"/>
            <w:tcBorders>
              <w:bottom w:val="single" w:sz="8" w:color="58585A"/>
            </w:tcBorders>
            <w:vMerge w:val="continue"/>
            <w:shd w:val="clear" w:color="auto" w:fill="ECEDED"/>
          </w:tcPr>
          <w:p>
            <w:pPr>
              <w:spacing w:after="0"/>
              <w:rPr>
                <w:sz w:val="9"/>
                <w:szCs w:val="9"/>
                <w:color w:val="auto"/>
              </w:rPr>
            </w:pPr>
          </w:p>
        </w:tc>
        <w:tc>
          <w:tcPr>
            <w:tcW w:w="100" w:type="dxa"/>
            <w:vAlign w:val="bottom"/>
            <w:tcBorders>
              <w:bottom w:val="single" w:sz="8" w:color="58585A"/>
            </w:tcBorders>
            <w:shd w:val="clear" w:color="auto" w:fill="ECEDED"/>
          </w:tcPr>
          <w:p>
            <w:pPr>
              <w:spacing w:after="0"/>
              <w:rPr>
                <w:sz w:val="9"/>
                <w:szCs w:val="9"/>
                <w:color w:val="auto"/>
              </w:rPr>
            </w:pPr>
          </w:p>
        </w:tc>
        <w:tc>
          <w:tcPr>
            <w:tcW w:w="220" w:type="dxa"/>
            <w:vAlign w:val="bottom"/>
            <w:tcBorders>
              <w:bottom w:val="single" w:sz="8" w:color="58585A"/>
            </w:tcBorders>
            <w:shd w:val="clear" w:color="auto" w:fill="ECEDED"/>
          </w:tcPr>
          <w:p>
            <w:pPr>
              <w:spacing w:after="0"/>
              <w:rPr>
                <w:sz w:val="9"/>
                <w:szCs w:val="9"/>
                <w:color w:val="auto"/>
              </w:rPr>
            </w:pPr>
          </w:p>
        </w:tc>
        <w:tc>
          <w:tcPr>
            <w:tcW w:w="720" w:type="dxa"/>
            <w:vAlign w:val="bottom"/>
            <w:tcBorders>
              <w:bottom w:val="single" w:sz="8" w:color="58585A"/>
            </w:tcBorders>
            <w:vMerge w:val="continue"/>
            <w:shd w:val="clear" w:color="auto" w:fill="ECEDED"/>
          </w:tcPr>
          <w:p>
            <w:pPr>
              <w:spacing w:after="0"/>
              <w:rPr>
                <w:sz w:val="9"/>
                <w:szCs w:val="9"/>
                <w:color w:val="auto"/>
              </w:rPr>
            </w:pPr>
          </w:p>
        </w:tc>
        <w:tc>
          <w:tcPr>
            <w:tcW w:w="100" w:type="dxa"/>
            <w:vAlign w:val="bottom"/>
            <w:tcBorders>
              <w:bottom w:val="single" w:sz="8" w:color="58585A"/>
            </w:tcBorders>
            <w:shd w:val="clear" w:color="auto" w:fill="ECEDED"/>
          </w:tcPr>
          <w:p>
            <w:pPr>
              <w:spacing w:after="0"/>
              <w:rPr>
                <w:sz w:val="9"/>
                <w:szCs w:val="9"/>
                <w:color w:val="auto"/>
              </w:rPr>
            </w:pPr>
          </w:p>
        </w:tc>
        <w:tc>
          <w:tcPr>
            <w:tcW w:w="980" w:type="dxa"/>
            <w:vAlign w:val="bottom"/>
            <w:tcBorders>
              <w:bottom w:val="single" w:sz="8" w:color="58585A"/>
            </w:tcBorders>
            <w:vMerge w:val="continue"/>
            <w:shd w:val="clear" w:color="auto" w:fill="ECEDED"/>
          </w:tcPr>
          <w:p>
            <w:pPr>
              <w:spacing w:after="0"/>
              <w:rPr>
                <w:sz w:val="9"/>
                <w:szCs w:val="9"/>
                <w:color w:val="auto"/>
              </w:rPr>
            </w:pPr>
          </w:p>
        </w:tc>
        <w:tc>
          <w:tcPr>
            <w:tcW w:w="940" w:type="dxa"/>
            <w:vAlign w:val="bottom"/>
            <w:tcBorders>
              <w:bottom w:val="single" w:sz="8" w:color="58585A"/>
            </w:tcBorders>
            <w:vMerge w:val="continue"/>
            <w:shd w:val="clear" w:color="auto" w:fill="ECEDED"/>
          </w:tcPr>
          <w:p>
            <w:pPr>
              <w:spacing w:after="0"/>
              <w:rPr>
                <w:sz w:val="9"/>
                <w:szCs w:val="9"/>
                <w:color w:val="auto"/>
              </w:rPr>
            </w:pPr>
          </w:p>
        </w:tc>
        <w:tc>
          <w:tcPr>
            <w:tcW w:w="900" w:type="dxa"/>
            <w:vAlign w:val="bottom"/>
            <w:tcBorders>
              <w:bottom w:val="single" w:sz="8" w:color="58585A"/>
            </w:tcBorders>
            <w:vMerge w:val="continue"/>
            <w:shd w:val="clear" w:color="auto" w:fill="ECEDED"/>
          </w:tcPr>
          <w:p>
            <w:pPr>
              <w:spacing w:after="0"/>
              <w:rPr>
                <w:sz w:val="9"/>
                <w:szCs w:val="9"/>
                <w:color w:val="auto"/>
              </w:rPr>
            </w:pPr>
          </w:p>
        </w:tc>
        <w:tc>
          <w:tcPr>
            <w:tcW w:w="100" w:type="dxa"/>
            <w:vAlign w:val="bottom"/>
            <w:tcBorders>
              <w:bottom w:val="single" w:sz="8" w:color="58585A"/>
            </w:tcBorders>
            <w:shd w:val="clear" w:color="auto" w:fill="ECEDED"/>
          </w:tcPr>
          <w:p>
            <w:pPr>
              <w:spacing w:after="0"/>
              <w:rPr>
                <w:sz w:val="9"/>
                <w:szCs w:val="9"/>
                <w:color w:val="auto"/>
              </w:rPr>
            </w:pPr>
          </w:p>
        </w:tc>
        <w:tc>
          <w:tcPr>
            <w:tcW w:w="1000" w:type="dxa"/>
            <w:vAlign w:val="bottom"/>
            <w:tcBorders>
              <w:bottom w:val="single" w:sz="8" w:color="58585A"/>
            </w:tcBorders>
            <w:vMerge w:val="continue"/>
            <w:shd w:val="clear" w:color="auto" w:fill="ECEDED"/>
          </w:tcPr>
          <w:p>
            <w:pPr>
              <w:spacing w:after="0"/>
              <w:rPr>
                <w:sz w:val="9"/>
                <w:szCs w:val="9"/>
                <w:color w:val="auto"/>
              </w:rPr>
            </w:pPr>
          </w:p>
        </w:tc>
        <w:tc>
          <w:tcPr>
            <w:tcW w:w="1080" w:type="dxa"/>
            <w:vAlign w:val="bottom"/>
            <w:tcBorders>
              <w:bottom w:val="single" w:sz="8" w:color="58585A"/>
            </w:tcBorders>
            <w:vMerge w:val="continue"/>
            <w:shd w:val="clear" w:color="auto" w:fill="ECEDED"/>
          </w:tcPr>
          <w:p>
            <w:pPr>
              <w:spacing w:after="0"/>
              <w:rPr>
                <w:sz w:val="9"/>
                <w:szCs w:val="9"/>
                <w:color w:val="auto"/>
              </w:rPr>
            </w:pPr>
          </w:p>
        </w:tc>
        <w:tc>
          <w:tcPr>
            <w:tcW w:w="1100" w:type="dxa"/>
            <w:vAlign w:val="bottom"/>
            <w:tcBorders>
              <w:bottom w:val="single" w:sz="8" w:color="58585A"/>
            </w:tcBorders>
            <w:vMerge w:val="continue"/>
            <w:shd w:val="clear" w:color="auto" w:fill="ECEDED"/>
          </w:tcPr>
          <w:p>
            <w:pPr>
              <w:spacing w:after="0"/>
              <w:rPr>
                <w:sz w:val="9"/>
                <w:szCs w:val="9"/>
                <w:color w:val="auto"/>
              </w:rPr>
            </w:pPr>
          </w:p>
        </w:tc>
        <w:tc>
          <w:tcPr>
            <w:tcW w:w="920" w:type="dxa"/>
            <w:vAlign w:val="bottom"/>
            <w:tcBorders>
              <w:bottom w:val="single" w:sz="8" w:color="58585A"/>
            </w:tcBorders>
            <w:vMerge w:val="continue"/>
            <w:shd w:val="clear" w:color="auto" w:fill="ECEDED"/>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75,000</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179.13</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12/14/2022</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52,500</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52.03</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12/16/2021</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ECEDED"/>
            </w:tcBorders>
            <w:shd w:val="clear" w:color="auto" w:fill="ECEDED"/>
          </w:tcPr>
          <w:p>
            <w:pPr>
              <w:spacing w:after="0"/>
              <w:rPr>
                <w:sz w:val="14"/>
                <w:szCs w:val="14"/>
                <w:color w:val="auto"/>
              </w:rPr>
            </w:pPr>
          </w:p>
        </w:tc>
        <w:tc>
          <w:tcPr>
            <w:tcW w:w="220" w:type="dxa"/>
            <w:vAlign w:val="bottom"/>
            <w:tcBorders>
              <w:bottom w:val="single" w:sz="8" w:color="ECEDED"/>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33,079</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52.03</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12/16/2021</w:t>
            </w: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tcBorders>
              <w:bottom w:val="single" w:sz="8" w:color="ECEDED"/>
            </w:tcBorders>
            <w:shd w:val="clear" w:color="auto" w:fill="ECEDED"/>
          </w:tcPr>
          <w:p>
            <w:pPr>
              <w:spacing w:after="0"/>
              <w:rPr>
                <w:sz w:val="13"/>
                <w:szCs w:val="13"/>
                <w:color w:val="auto"/>
              </w:rPr>
            </w:pPr>
          </w:p>
        </w:tc>
        <w:tc>
          <w:tcPr>
            <w:tcW w:w="220" w:type="dxa"/>
            <w:vAlign w:val="bottom"/>
            <w:tcBorders>
              <w:bottom w:val="single" w:sz="8" w:color="ECEDED"/>
            </w:tcBorders>
            <w:shd w:val="clear" w:color="auto" w:fill="ECEDED"/>
          </w:tcPr>
          <w:p>
            <w:pPr>
              <w:spacing w:after="0"/>
              <w:rPr>
                <w:sz w:val="13"/>
                <w:szCs w:val="13"/>
                <w:color w:val="auto"/>
              </w:rPr>
            </w:pPr>
          </w:p>
        </w:tc>
        <w:tc>
          <w:tcPr>
            <w:tcW w:w="100" w:type="dxa"/>
            <w:vAlign w:val="bottom"/>
            <w:tcBorders>
              <w:bottom w:val="single" w:sz="8" w:color="58585A"/>
            </w:tcBorders>
            <w:shd w:val="clear" w:color="auto" w:fill="ECEDED"/>
          </w:tcPr>
          <w:p>
            <w:pPr>
              <w:spacing w:after="0"/>
              <w:rPr>
                <w:sz w:val="13"/>
                <w:szCs w:val="13"/>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32,735</w:t>
            </w:r>
          </w:p>
        </w:tc>
        <w:tc>
          <w:tcPr>
            <w:tcW w:w="100" w:type="dxa"/>
            <w:vAlign w:val="bottom"/>
            <w:tcBorders>
              <w:bottom w:val="single" w:sz="8" w:color="58585A"/>
            </w:tcBorders>
            <w:shd w:val="clear" w:color="auto" w:fill="ECEDED"/>
          </w:tcPr>
          <w:p>
            <w:pPr>
              <w:spacing w:after="0"/>
              <w:rPr>
                <w:sz w:val="13"/>
                <w:szCs w:val="13"/>
                <w:color w:val="auto"/>
              </w:rPr>
            </w:pPr>
          </w:p>
        </w:tc>
        <w:tc>
          <w:tcPr>
            <w:tcW w:w="220" w:type="dxa"/>
            <w:vAlign w:val="bottom"/>
            <w:tcBorders>
              <w:bottom w:val="single" w:sz="8" w:color="58585A"/>
            </w:tcBorders>
            <w:shd w:val="clear" w:color="auto" w:fill="ECEDED"/>
          </w:tcPr>
          <w:p>
            <w:pPr>
              <w:spacing w:after="0"/>
              <w:rPr>
                <w:sz w:val="13"/>
                <w:szCs w:val="13"/>
                <w:color w:val="auto"/>
              </w:rPr>
            </w:pPr>
          </w:p>
        </w:tc>
        <w:tc>
          <w:tcPr>
            <w:tcW w:w="720" w:type="dxa"/>
            <w:vAlign w:val="bottom"/>
            <w:tcBorders>
              <w:bottom w:val="single" w:sz="8" w:color="58585A"/>
            </w:tcBorders>
            <w:shd w:val="clear" w:color="auto" w:fill="ECEDED"/>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CEDED"/>
          </w:tcPr>
          <w:p>
            <w:pPr>
              <w:spacing w:after="0"/>
              <w:rPr>
                <w:sz w:val="13"/>
                <w:szCs w:val="13"/>
                <w:color w:val="auto"/>
              </w:rPr>
            </w:pPr>
          </w:p>
        </w:tc>
        <w:tc>
          <w:tcPr>
            <w:tcW w:w="980" w:type="dxa"/>
            <w:vAlign w:val="bottom"/>
            <w:tcBorders>
              <w:bottom w:val="single" w:sz="8" w:color="58585A"/>
            </w:tcBorders>
            <w:shd w:val="clear" w:color="auto" w:fill="ECEDED"/>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CEDED"/>
          </w:tcPr>
          <w:p>
            <w:pPr>
              <w:jc w:val="right"/>
              <w:ind w:right="98"/>
              <w:spacing w:after="0"/>
              <w:rPr>
                <w:sz w:val="20"/>
                <w:szCs w:val="20"/>
                <w:color w:val="auto"/>
              </w:rPr>
            </w:pPr>
            <w:r>
              <w:rPr>
                <w:rFonts w:ascii="Arial" w:cs="Arial" w:eastAsia="Arial" w:hAnsi="Arial"/>
                <w:sz w:val="13"/>
                <w:szCs w:val="13"/>
                <w:color w:val="auto"/>
              </w:rPr>
              <w:t>30.63</w:t>
            </w:r>
          </w:p>
        </w:tc>
        <w:tc>
          <w:tcPr>
            <w:tcW w:w="900" w:type="dxa"/>
            <w:vAlign w:val="bottom"/>
            <w:tcBorders>
              <w:bottom w:val="single" w:sz="8" w:color="58585A"/>
            </w:tcBorders>
            <w:shd w:val="clear" w:color="auto" w:fill="ECEDED"/>
          </w:tcPr>
          <w:p>
            <w:pPr>
              <w:jc w:val="right"/>
              <w:ind w:right="38"/>
              <w:spacing w:after="0"/>
              <w:rPr>
                <w:sz w:val="20"/>
                <w:szCs w:val="20"/>
                <w:color w:val="auto"/>
              </w:rPr>
            </w:pPr>
            <w:r>
              <w:rPr>
                <w:rFonts w:ascii="Arial" w:cs="Arial" w:eastAsia="Arial" w:hAnsi="Arial"/>
                <w:sz w:val="13"/>
                <w:szCs w:val="13"/>
                <w:color w:val="auto"/>
              </w:rPr>
              <w:t>12/14/2020</w:t>
            </w:r>
          </w:p>
        </w:tc>
        <w:tc>
          <w:tcPr>
            <w:tcW w:w="100" w:type="dxa"/>
            <w:vAlign w:val="bottom"/>
            <w:tcBorders>
              <w:bottom w:val="single" w:sz="8" w:color="58585A"/>
            </w:tcBorders>
            <w:shd w:val="clear" w:color="auto" w:fill="ECEDED"/>
          </w:tcPr>
          <w:p>
            <w:pPr>
              <w:spacing w:after="0"/>
              <w:rPr>
                <w:sz w:val="13"/>
                <w:szCs w:val="13"/>
                <w:color w:val="auto"/>
              </w:rPr>
            </w:pPr>
          </w:p>
        </w:tc>
        <w:tc>
          <w:tcPr>
            <w:tcW w:w="1000" w:type="dxa"/>
            <w:vAlign w:val="bottom"/>
            <w:tcBorders>
              <w:bottom w:val="single" w:sz="8" w:color="58585A"/>
            </w:tcBorders>
            <w:shd w:val="clear" w:color="auto" w:fill="ECEDED"/>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shd w:val="clear" w:color="auto" w:fill="ECEDED"/>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CEDED"/>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400" w:type="dxa"/>
            <w:vAlign w:val="bottom"/>
            <w:tcBorders>
              <w:bottom w:val="single" w:sz="8" w:color="58585A"/>
            </w:tcBorders>
            <w:shd w:val="clear" w:color="auto" w:fill="ECEDED"/>
          </w:tcPr>
          <w:p>
            <w:pPr>
              <w:ind w:left="1000"/>
              <w:spacing w:after="0"/>
              <w:rPr>
                <w:sz w:val="20"/>
                <w:szCs w:val="20"/>
                <w:color w:val="auto"/>
              </w:rPr>
            </w:pPr>
            <w:r>
              <w:rPr>
                <w:rFonts w:ascii="Arial" w:cs="Arial" w:eastAsia="Arial" w:hAnsi="Arial"/>
                <w:sz w:val="12"/>
                <w:szCs w:val="12"/>
                <w:b w:val="1"/>
                <w:bCs w:val="1"/>
                <w:color w:val="auto"/>
                <w:w w:val="94"/>
              </w:rPr>
              <w:t>TOTAL</w:t>
            </w:r>
          </w:p>
        </w:tc>
        <w:tc>
          <w:tcPr>
            <w:tcW w:w="220" w:type="dxa"/>
            <w:vAlign w:val="bottom"/>
            <w:tcBorders>
              <w:bottom w:val="single" w:sz="8" w:color="58585A"/>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52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b w:val="1"/>
                <w:bCs w:val="1"/>
                <w:color w:val="auto"/>
              </w:rPr>
              <w:t>342,814</w:t>
            </w:r>
          </w:p>
        </w:tc>
        <w:tc>
          <w:tcPr>
            <w:tcW w:w="100" w:type="dxa"/>
            <w:vAlign w:val="bottom"/>
            <w:tcBorders>
              <w:bottom w:val="single" w:sz="8" w:color="58585A"/>
            </w:tcBorders>
            <w:shd w:val="clear" w:color="auto" w:fill="ECEDED"/>
          </w:tcPr>
          <w:p>
            <w:pPr>
              <w:spacing w:after="0"/>
              <w:rPr>
                <w:sz w:val="14"/>
                <w:szCs w:val="14"/>
                <w:color w:val="auto"/>
              </w:rPr>
            </w:pPr>
          </w:p>
        </w:tc>
        <w:tc>
          <w:tcPr>
            <w:tcW w:w="220" w:type="dxa"/>
            <w:vAlign w:val="bottom"/>
            <w:tcBorders>
              <w:bottom w:val="single" w:sz="8" w:color="58585A"/>
            </w:tcBorders>
            <w:shd w:val="clear" w:color="auto" w:fill="ECEDED"/>
          </w:tcPr>
          <w:p>
            <w:pPr>
              <w:spacing w:after="0"/>
              <w:rPr>
                <w:sz w:val="14"/>
                <w:szCs w:val="14"/>
                <w:color w:val="auto"/>
              </w:rPr>
            </w:pPr>
          </w:p>
        </w:tc>
        <w:tc>
          <w:tcPr>
            <w:tcW w:w="720" w:type="dxa"/>
            <w:vAlign w:val="bottom"/>
            <w:tcBorders>
              <w:bottom w:val="single" w:sz="8" w:color="58585A"/>
            </w:tcBorders>
            <w:shd w:val="clear" w:color="auto" w:fill="ECEDED"/>
          </w:tcPr>
          <w:p>
            <w:pPr>
              <w:jc w:val="right"/>
              <w:ind w:right="59"/>
              <w:spacing w:after="0"/>
              <w:rPr>
                <w:sz w:val="20"/>
                <w:szCs w:val="20"/>
                <w:color w:val="auto"/>
              </w:rPr>
            </w:pPr>
            <w:r>
              <w:rPr>
                <w:rFonts w:ascii="Arial" w:cs="Arial" w:eastAsia="Arial" w:hAnsi="Arial"/>
                <w:sz w:val="13"/>
                <w:szCs w:val="13"/>
                <w:b w:val="1"/>
                <w:bCs w:val="1"/>
                <w:color w:val="auto"/>
              </w:rPr>
              <w:t>110,750</w:t>
            </w:r>
          </w:p>
        </w:tc>
        <w:tc>
          <w:tcPr>
            <w:tcW w:w="100" w:type="dxa"/>
            <w:vAlign w:val="bottom"/>
            <w:tcBorders>
              <w:bottom w:val="single" w:sz="8" w:color="58585A"/>
            </w:tcBorders>
            <w:shd w:val="clear" w:color="auto" w:fill="ECEDED"/>
          </w:tcPr>
          <w:p>
            <w:pPr>
              <w:spacing w:after="0"/>
              <w:rPr>
                <w:sz w:val="14"/>
                <w:szCs w:val="14"/>
                <w:color w:val="auto"/>
              </w:rPr>
            </w:pPr>
          </w:p>
        </w:tc>
        <w:tc>
          <w:tcPr>
            <w:tcW w:w="980" w:type="dxa"/>
            <w:vAlign w:val="bottom"/>
            <w:tcBorders>
              <w:bottom w:val="single" w:sz="8" w:color="58585A"/>
            </w:tcBorders>
            <w:shd w:val="clear" w:color="auto" w:fill="ECEDED"/>
          </w:tcPr>
          <w:p>
            <w:pPr>
              <w:spacing w:after="0"/>
              <w:rPr>
                <w:sz w:val="14"/>
                <w:szCs w:val="14"/>
                <w:color w:val="auto"/>
              </w:rPr>
            </w:pPr>
          </w:p>
        </w:tc>
        <w:tc>
          <w:tcPr>
            <w:tcW w:w="940" w:type="dxa"/>
            <w:vAlign w:val="bottom"/>
            <w:tcBorders>
              <w:bottom w:val="single" w:sz="8" w:color="58585A"/>
            </w:tcBorders>
            <w:shd w:val="clear" w:color="auto" w:fill="ECEDED"/>
          </w:tcPr>
          <w:p>
            <w:pPr>
              <w:spacing w:after="0"/>
              <w:rPr>
                <w:sz w:val="14"/>
                <w:szCs w:val="14"/>
                <w:color w:val="auto"/>
              </w:rPr>
            </w:pPr>
          </w:p>
        </w:tc>
        <w:tc>
          <w:tcPr>
            <w:tcW w:w="900" w:type="dxa"/>
            <w:vAlign w:val="bottom"/>
            <w:tcBorders>
              <w:bottom w:val="single" w:sz="8" w:color="58585A"/>
            </w:tcBorders>
            <w:shd w:val="clear" w:color="auto" w:fill="ECEDED"/>
          </w:tcPr>
          <w:p>
            <w:pPr>
              <w:spacing w:after="0"/>
              <w:rPr>
                <w:sz w:val="14"/>
                <w:szCs w:val="14"/>
                <w:color w:val="auto"/>
              </w:rPr>
            </w:pPr>
          </w:p>
        </w:tc>
        <w:tc>
          <w:tcPr>
            <w:tcW w:w="100" w:type="dxa"/>
            <w:vAlign w:val="bottom"/>
            <w:tcBorders>
              <w:bottom w:val="single" w:sz="8" w:color="58585A"/>
            </w:tcBorders>
            <w:shd w:val="clear" w:color="auto" w:fill="ECEDED"/>
          </w:tcPr>
          <w:p>
            <w:pPr>
              <w:spacing w:after="0"/>
              <w:rPr>
                <w:sz w:val="14"/>
                <w:szCs w:val="14"/>
                <w:color w:val="auto"/>
              </w:rPr>
            </w:pPr>
          </w:p>
        </w:tc>
        <w:tc>
          <w:tcPr>
            <w:tcW w:w="1000" w:type="dxa"/>
            <w:vAlign w:val="bottom"/>
            <w:tcBorders>
              <w:bottom w:val="single" w:sz="8" w:color="58585A"/>
            </w:tcBorders>
            <w:shd w:val="clear" w:color="auto" w:fill="ECEDED"/>
          </w:tcPr>
          <w:p>
            <w:pPr>
              <w:spacing w:after="0"/>
              <w:rPr>
                <w:sz w:val="14"/>
                <w:szCs w:val="14"/>
                <w:color w:val="auto"/>
              </w:rPr>
            </w:pPr>
          </w:p>
        </w:tc>
        <w:tc>
          <w:tcPr>
            <w:tcW w:w="1080" w:type="dxa"/>
            <w:vAlign w:val="bottom"/>
            <w:tcBorders>
              <w:bottom w:val="single" w:sz="8" w:color="58585A"/>
            </w:tcBorders>
            <w:shd w:val="clear" w:color="auto" w:fill="ECEDED"/>
          </w:tcPr>
          <w:p>
            <w:pPr>
              <w:spacing w:after="0"/>
              <w:rPr>
                <w:sz w:val="14"/>
                <w:szCs w:val="14"/>
                <w:color w:val="auto"/>
              </w:rPr>
            </w:pPr>
          </w:p>
        </w:tc>
        <w:tc>
          <w:tcPr>
            <w:tcW w:w="1100" w:type="dxa"/>
            <w:vAlign w:val="bottom"/>
            <w:tcBorders>
              <w:bottom w:val="single" w:sz="8" w:color="58585A"/>
            </w:tcBorders>
            <w:shd w:val="clear" w:color="auto" w:fill="ECEDED"/>
          </w:tcPr>
          <w:p>
            <w:pPr>
              <w:spacing w:after="0"/>
              <w:rPr>
                <w:sz w:val="14"/>
                <w:szCs w:val="14"/>
                <w:color w:val="auto"/>
              </w:rPr>
            </w:pPr>
          </w:p>
        </w:tc>
        <w:tc>
          <w:tcPr>
            <w:tcW w:w="920" w:type="dxa"/>
            <w:vAlign w:val="bottom"/>
            <w:tcBorders>
              <w:bottom w:val="single" w:sz="8" w:color="58585A"/>
            </w:tcBorders>
            <w:shd w:val="clear" w:color="auto" w:fill="ECEDED"/>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58585A"/>
            </w:tcBorders>
          </w:tcPr>
          <w:p>
            <w:pPr>
              <w:spacing w:after="0"/>
              <w:rPr>
                <w:sz w:val="14"/>
                <w:szCs w:val="14"/>
                <w:color w:val="auto"/>
              </w:rPr>
            </w:pPr>
          </w:p>
        </w:tc>
        <w:tc>
          <w:tcPr>
            <w:tcW w:w="6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jc w:val="right"/>
              <w:spacing w:after="0" w:line="164" w:lineRule="exact"/>
              <w:rPr>
                <w:sz w:val="20"/>
                <w:szCs w:val="20"/>
                <w:color w:val="auto"/>
              </w:rPr>
            </w:pPr>
            <w:r>
              <w:rPr>
                <w:rFonts w:ascii="Arial" w:cs="Arial" w:eastAsia="Arial" w:hAnsi="Arial"/>
                <w:sz w:val="11"/>
                <w:szCs w:val="11"/>
                <w:color w:val="auto"/>
              </w:rPr>
              <w:t>10,000</w:t>
            </w:r>
            <w:r>
              <w:rPr>
                <w:rFonts w:ascii="Arial" w:cs="Arial" w:eastAsia="Arial" w:hAnsi="Arial"/>
                <w:sz w:val="18"/>
                <w:szCs w:val="18"/>
                <w:color w:val="auto"/>
                <w:vertAlign w:val="superscript"/>
              </w:rPr>
              <w:t>1</w:t>
            </w:r>
          </w:p>
        </w:tc>
        <w:tc>
          <w:tcPr>
            <w:tcW w:w="100" w:type="dxa"/>
            <w:vAlign w:val="bottom"/>
            <w:tcBorders>
              <w:bottom w:val="single" w:sz="8" w:color="58585A"/>
            </w:tcBorders>
          </w:tcPr>
          <w:p>
            <w:pPr>
              <w:spacing w:after="0"/>
              <w:rPr>
                <w:sz w:val="14"/>
                <w:szCs w:val="14"/>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381.40</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12/12/2028</w:t>
            </w:r>
          </w:p>
        </w:tc>
        <w:tc>
          <w:tcPr>
            <w:tcW w:w="10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0"/>
              <w:spacing w:after="0"/>
              <w:rPr>
                <w:sz w:val="20"/>
                <w:szCs w:val="20"/>
                <w:color w:val="auto"/>
              </w:rPr>
            </w:pPr>
            <w:r>
              <w:rPr>
                <w:rFonts w:ascii="Arial" w:cs="Arial" w:eastAsia="Arial" w:hAnsi="Arial"/>
                <w:sz w:val="12"/>
                <w:szCs w:val="12"/>
                <w:b w:val="1"/>
                <w:bCs w:val="1"/>
                <w:color w:val="D61C5A"/>
              </w:rPr>
              <w:t>Marion McCourt</w:t>
            </w:r>
          </w:p>
        </w:tc>
        <w:tc>
          <w:tcPr>
            <w:tcW w:w="220" w:type="dxa"/>
            <w:vAlign w:val="bottom"/>
          </w:tcPr>
          <w:p>
            <w:pPr>
              <w:spacing w:after="0"/>
              <w:rPr>
                <w:sz w:val="14"/>
                <w:szCs w:val="14"/>
                <w:color w:val="auto"/>
              </w:rPr>
            </w:pPr>
          </w:p>
        </w:tc>
        <w:tc>
          <w:tcPr>
            <w:tcW w:w="100" w:type="dxa"/>
            <w:vAlign w:val="bottom"/>
            <w:tcBorders>
              <w:bottom w:val="single" w:sz="8" w:color="58585A"/>
            </w:tcBorders>
          </w:tcPr>
          <w:p>
            <w:pPr>
              <w:spacing w:after="0"/>
              <w:rPr>
                <w:sz w:val="14"/>
                <w:szCs w:val="14"/>
                <w:color w:val="auto"/>
              </w:rPr>
            </w:pPr>
          </w:p>
        </w:tc>
        <w:tc>
          <w:tcPr>
            <w:tcW w:w="62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jc w:val="right"/>
              <w:spacing w:after="0" w:line="162" w:lineRule="exact"/>
              <w:rPr>
                <w:sz w:val="20"/>
                <w:szCs w:val="20"/>
                <w:color w:val="auto"/>
              </w:rPr>
            </w:pPr>
            <w:r>
              <w:rPr>
                <w:rFonts w:ascii="Arial" w:cs="Arial" w:eastAsia="Arial" w:hAnsi="Arial"/>
                <w:sz w:val="11"/>
                <w:szCs w:val="11"/>
                <w:color w:val="auto"/>
              </w:rPr>
              <w:t>20,000</w:t>
            </w:r>
            <w:r>
              <w:rPr>
                <w:rFonts w:ascii="Arial" w:cs="Arial" w:eastAsia="Arial" w:hAnsi="Arial"/>
                <w:sz w:val="18"/>
                <w:szCs w:val="18"/>
                <w:color w:val="auto"/>
                <w:vertAlign w:val="superscript"/>
              </w:rPr>
              <w:t>7</w:t>
            </w:r>
          </w:p>
        </w:tc>
        <w:tc>
          <w:tcPr>
            <w:tcW w:w="100" w:type="dxa"/>
            <w:vAlign w:val="bottom"/>
            <w:tcBorders>
              <w:bottom w:val="single" w:sz="8" w:color="58585A"/>
            </w:tcBorders>
          </w:tcPr>
          <w:p>
            <w:pPr>
              <w:spacing w:after="0"/>
              <w:rPr>
                <w:sz w:val="14"/>
                <w:szCs w:val="14"/>
                <w:color w:val="auto"/>
              </w:rPr>
            </w:pPr>
          </w:p>
        </w:tc>
        <w:tc>
          <w:tcPr>
            <w:tcW w:w="980" w:type="dxa"/>
            <w:vAlign w:val="bottom"/>
            <w:tcBorders>
              <w:bottom w:val="single" w:sz="8" w:color="58585A"/>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98"/>
              <w:spacing w:after="0"/>
              <w:rPr>
                <w:sz w:val="20"/>
                <w:szCs w:val="20"/>
                <w:color w:val="auto"/>
              </w:rPr>
            </w:pPr>
            <w:r>
              <w:rPr>
                <w:rFonts w:ascii="Arial" w:cs="Arial" w:eastAsia="Arial" w:hAnsi="Arial"/>
                <w:sz w:val="13"/>
                <w:szCs w:val="13"/>
                <w:color w:val="auto"/>
              </w:rPr>
              <w:t>342.93</w:t>
            </w:r>
          </w:p>
        </w:tc>
        <w:tc>
          <w:tcPr>
            <w:tcW w:w="900" w:type="dxa"/>
            <w:vAlign w:val="bottom"/>
            <w:tcBorders>
              <w:bottom w:val="single" w:sz="8" w:color="58585A"/>
            </w:tcBorders>
          </w:tcPr>
          <w:p>
            <w:pPr>
              <w:jc w:val="right"/>
              <w:ind w:right="38"/>
              <w:spacing w:after="0"/>
              <w:rPr>
                <w:sz w:val="20"/>
                <w:szCs w:val="20"/>
                <w:color w:val="auto"/>
              </w:rPr>
            </w:pPr>
            <w:r>
              <w:rPr>
                <w:rFonts w:ascii="Arial" w:cs="Arial" w:eastAsia="Arial" w:hAnsi="Arial"/>
                <w:sz w:val="13"/>
                <w:szCs w:val="13"/>
                <w:color w:val="auto"/>
              </w:rPr>
              <w:t>2/12/2028</w:t>
            </w:r>
          </w:p>
        </w:tc>
        <w:tc>
          <w:tcPr>
            <w:tcW w:w="100" w:type="dxa"/>
            <w:vAlign w:val="bottom"/>
            <w:tcBorders>
              <w:bottom w:val="single" w:sz="8" w:color="58585A"/>
            </w:tcBorders>
          </w:tcPr>
          <w:p>
            <w:pPr>
              <w:spacing w:after="0"/>
              <w:rPr>
                <w:sz w:val="14"/>
                <w:szCs w:val="14"/>
                <w:color w:val="auto"/>
              </w:rPr>
            </w:pPr>
          </w:p>
        </w:tc>
        <w:tc>
          <w:tcPr>
            <w:tcW w:w="1000" w:type="dxa"/>
            <w:vAlign w:val="bottom"/>
            <w:tcBorders>
              <w:bottom w:val="single" w:sz="8" w:color="58585A"/>
            </w:tcBorders>
          </w:tcPr>
          <w:p>
            <w:pPr>
              <w:jc w:val="right"/>
              <w:ind w:right="21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585A"/>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4"/>
                <w:szCs w:val="4"/>
                <w:color w:val="auto"/>
              </w:rPr>
            </w:pPr>
          </w:p>
        </w:tc>
        <w:tc>
          <w:tcPr>
            <w:tcW w:w="72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4"/>
                <w:szCs w:val="4"/>
                <w:color w:val="auto"/>
              </w:rPr>
            </w:pPr>
          </w:p>
        </w:tc>
        <w:tc>
          <w:tcPr>
            <w:tcW w:w="98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98"/>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59"/>
              <w:spacing w:after="0" w:line="162" w:lineRule="exact"/>
              <w:rPr>
                <w:sz w:val="20"/>
                <w:szCs w:val="20"/>
                <w:color w:val="auto"/>
              </w:rPr>
            </w:pPr>
            <w:r>
              <w:rPr>
                <w:rFonts w:ascii="Arial" w:cs="Arial" w:eastAsia="Arial" w:hAnsi="Arial"/>
                <w:sz w:val="11"/>
                <w:szCs w:val="11"/>
                <w:color w:val="auto"/>
              </w:rPr>
              <w:t>10,000</w:t>
            </w:r>
            <w:r>
              <w:rPr>
                <w:rFonts w:ascii="Arial" w:cs="Arial" w:eastAsia="Arial" w:hAnsi="Arial"/>
                <w:sz w:val="18"/>
                <w:szCs w:val="18"/>
                <w:color w:val="auto"/>
                <w:vertAlign w:val="superscript"/>
              </w:rPr>
              <w:t>5</w:t>
            </w:r>
          </w:p>
        </w:tc>
        <w:tc>
          <w:tcPr>
            <w:tcW w:w="1080" w:type="dxa"/>
            <w:vAlign w:val="bottom"/>
            <w:vMerge w:val="restart"/>
          </w:tcPr>
          <w:p>
            <w:pPr>
              <w:jc w:val="right"/>
              <w:ind w:right="160"/>
              <w:spacing w:after="0" w:line="162" w:lineRule="exact"/>
              <w:rPr>
                <w:sz w:val="20"/>
                <w:szCs w:val="20"/>
                <w:color w:val="auto"/>
              </w:rPr>
            </w:pPr>
            <w:r>
              <w:rPr>
                <w:rFonts w:ascii="Arial" w:cs="Arial" w:eastAsia="Arial" w:hAnsi="Arial"/>
                <w:sz w:val="11"/>
                <w:szCs w:val="11"/>
                <w:color w:val="auto"/>
              </w:rPr>
              <w:t>3,735,000</w:t>
            </w:r>
            <w:r>
              <w:rPr>
                <w:rFonts w:ascii="Arial" w:cs="Arial" w:eastAsia="Arial" w:hAnsi="Arial"/>
                <w:sz w:val="18"/>
                <w:szCs w:val="18"/>
                <w:color w:val="auto"/>
                <w:vertAlign w:val="superscript"/>
              </w:rPr>
              <w:t>6</w:t>
            </w:r>
          </w:p>
        </w:tc>
        <w:tc>
          <w:tcPr>
            <w:tcW w:w="110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58585A"/>
            </w:tcBorders>
          </w:tcPr>
          <w:p>
            <w:pPr>
              <w:spacing w:after="0"/>
              <w:rPr>
                <w:sz w:val="9"/>
                <w:szCs w:val="9"/>
                <w:color w:val="auto"/>
              </w:rPr>
            </w:pPr>
          </w:p>
        </w:tc>
        <w:tc>
          <w:tcPr>
            <w:tcW w:w="620" w:type="dxa"/>
            <w:vAlign w:val="bottom"/>
            <w:tcBorders>
              <w:bottom w:val="single" w:sz="8" w:color="58585A"/>
            </w:tcBorders>
            <w:gridSpan w:val="2"/>
            <w:vMerge w:val="continue"/>
          </w:tcPr>
          <w:p>
            <w:pPr>
              <w:spacing w:after="0"/>
              <w:rPr>
                <w:sz w:val="9"/>
                <w:szCs w:val="9"/>
                <w:color w:val="auto"/>
              </w:rPr>
            </w:pPr>
          </w:p>
        </w:tc>
        <w:tc>
          <w:tcPr>
            <w:tcW w:w="220" w:type="dxa"/>
            <w:vAlign w:val="bottom"/>
            <w:tcBorders>
              <w:bottom w:val="single" w:sz="8" w:color="58585A"/>
            </w:tcBorders>
          </w:tcPr>
          <w:p>
            <w:pPr>
              <w:spacing w:after="0"/>
              <w:rPr>
                <w:sz w:val="9"/>
                <w:szCs w:val="9"/>
                <w:color w:val="auto"/>
              </w:rPr>
            </w:pPr>
          </w:p>
        </w:tc>
        <w:tc>
          <w:tcPr>
            <w:tcW w:w="720" w:type="dxa"/>
            <w:vAlign w:val="bottom"/>
            <w:tcBorders>
              <w:bottom w:val="single" w:sz="8" w:color="58585A"/>
            </w:tcBorders>
            <w:vMerge w:val="continue"/>
          </w:tcPr>
          <w:p>
            <w:pPr>
              <w:spacing w:after="0"/>
              <w:rPr>
                <w:sz w:val="9"/>
                <w:szCs w:val="9"/>
                <w:color w:val="auto"/>
              </w:rPr>
            </w:pPr>
          </w:p>
        </w:tc>
        <w:tc>
          <w:tcPr>
            <w:tcW w:w="100" w:type="dxa"/>
            <w:vAlign w:val="bottom"/>
            <w:tcBorders>
              <w:bottom w:val="single" w:sz="8" w:color="58585A"/>
            </w:tcBorders>
          </w:tcPr>
          <w:p>
            <w:pPr>
              <w:spacing w:after="0"/>
              <w:rPr>
                <w:sz w:val="9"/>
                <w:szCs w:val="9"/>
                <w:color w:val="auto"/>
              </w:rPr>
            </w:pPr>
          </w:p>
        </w:tc>
        <w:tc>
          <w:tcPr>
            <w:tcW w:w="980" w:type="dxa"/>
            <w:vAlign w:val="bottom"/>
            <w:tcBorders>
              <w:bottom w:val="single" w:sz="8" w:color="58585A"/>
            </w:tcBorders>
            <w:vMerge w:val="continue"/>
          </w:tcPr>
          <w:p>
            <w:pPr>
              <w:spacing w:after="0"/>
              <w:rPr>
                <w:sz w:val="9"/>
                <w:szCs w:val="9"/>
                <w:color w:val="auto"/>
              </w:rPr>
            </w:pPr>
          </w:p>
        </w:tc>
        <w:tc>
          <w:tcPr>
            <w:tcW w:w="940" w:type="dxa"/>
            <w:vAlign w:val="bottom"/>
            <w:tcBorders>
              <w:bottom w:val="single" w:sz="8" w:color="58585A"/>
            </w:tcBorders>
            <w:vMerge w:val="continue"/>
          </w:tcPr>
          <w:p>
            <w:pPr>
              <w:spacing w:after="0"/>
              <w:rPr>
                <w:sz w:val="9"/>
                <w:szCs w:val="9"/>
                <w:color w:val="auto"/>
              </w:rPr>
            </w:pPr>
          </w:p>
        </w:tc>
        <w:tc>
          <w:tcPr>
            <w:tcW w:w="1000" w:type="dxa"/>
            <w:vAlign w:val="bottom"/>
            <w:tcBorders>
              <w:bottom w:val="single" w:sz="8" w:color="58585A"/>
            </w:tcBorders>
            <w:gridSpan w:val="2"/>
            <w:vMerge w:val="continue"/>
          </w:tcPr>
          <w:p>
            <w:pPr>
              <w:spacing w:after="0"/>
              <w:rPr>
                <w:sz w:val="9"/>
                <w:szCs w:val="9"/>
                <w:color w:val="auto"/>
              </w:rPr>
            </w:pPr>
          </w:p>
        </w:tc>
        <w:tc>
          <w:tcPr>
            <w:tcW w:w="1000" w:type="dxa"/>
            <w:vAlign w:val="bottom"/>
            <w:tcBorders>
              <w:bottom w:val="single" w:sz="8" w:color="58585A"/>
            </w:tcBorders>
            <w:vMerge w:val="continue"/>
          </w:tcPr>
          <w:p>
            <w:pPr>
              <w:spacing w:after="0"/>
              <w:rPr>
                <w:sz w:val="9"/>
                <w:szCs w:val="9"/>
                <w:color w:val="auto"/>
              </w:rPr>
            </w:pPr>
          </w:p>
        </w:tc>
        <w:tc>
          <w:tcPr>
            <w:tcW w:w="1080" w:type="dxa"/>
            <w:vAlign w:val="bottom"/>
            <w:tcBorders>
              <w:bottom w:val="single" w:sz="8" w:color="58585A"/>
            </w:tcBorders>
            <w:vMerge w:val="continue"/>
          </w:tcPr>
          <w:p>
            <w:pPr>
              <w:spacing w:after="0"/>
              <w:rPr>
                <w:sz w:val="9"/>
                <w:szCs w:val="9"/>
                <w:color w:val="auto"/>
              </w:rPr>
            </w:pPr>
          </w:p>
        </w:tc>
        <w:tc>
          <w:tcPr>
            <w:tcW w:w="1100" w:type="dxa"/>
            <w:vAlign w:val="bottom"/>
            <w:tcBorders>
              <w:bottom w:val="single" w:sz="8" w:color="58585A"/>
            </w:tcBorders>
            <w:vMerge w:val="continue"/>
          </w:tcPr>
          <w:p>
            <w:pPr>
              <w:spacing w:after="0"/>
              <w:rPr>
                <w:sz w:val="9"/>
                <w:szCs w:val="9"/>
                <w:color w:val="auto"/>
              </w:rPr>
            </w:pPr>
          </w:p>
        </w:tc>
        <w:tc>
          <w:tcPr>
            <w:tcW w:w="920" w:type="dxa"/>
            <w:vAlign w:val="bottom"/>
            <w:tcBorders>
              <w:bottom w:val="single" w:sz="8" w:color="58585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205BA8"/>
            </w:tcBorders>
          </w:tcPr>
          <w:p>
            <w:pPr>
              <w:spacing w:after="0"/>
              <w:rPr>
                <w:sz w:val="14"/>
                <w:szCs w:val="14"/>
                <w:color w:val="auto"/>
              </w:rPr>
            </w:pPr>
          </w:p>
        </w:tc>
        <w:tc>
          <w:tcPr>
            <w:tcW w:w="620" w:type="dxa"/>
            <w:vAlign w:val="bottom"/>
            <w:tcBorders>
              <w:bottom w:val="single" w:sz="8" w:color="205BA8"/>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205BA8"/>
            </w:tcBorders>
          </w:tcPr>
          <w:p>
            <w:pPr>
              <w:spacing w:after="0"/>
              <w:rPr>
                <w:sz w:val="14"/>
                <w:szCs w:val="14"/>
                <w:color w:val="auto"/>
              </w:rPr>
            </w:pPr>
          </w:p>
        </w:tc>
        <w:tc>
          <w:tcPr>
            <w:tcW w:w="720" w:type="dxa"/>
            <w:vAlign w:val="bottom"/>
            <w:tcBorders>
              <w:bottom w:val="single" w:sz="8" w:color="205BA8"/>
            </w:tcBorders>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05BA8"/>
            </w:tcBorders>
          </w:tcPr>
          <w:p>
            <w:pPr>
              <w:spacing w:after="0"/>
              <w:rPr>
                <w:sz w:val="14"/>
                <w:szCs w:val="14"/>
                <w:color w:val="auto"/>
              </w:rPr>
            </w:pPr>
          </w:p>
        </w:tc>
        <w:tc>
          <w:tcPr>
            <w:tcW w:w="980" w:type="dxa"/>
            <w:vAlign w:val="bottom"/>
            <w:tcBorders>
              <w:bottom w:val="single" w:sz="8" w:color="205BA8"/>
            </w:tcBorders>
          </w:tcPr>
          <w:p>
            <w:pPr>
              <w:ind w:left="3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05BA8"/>
            </w:tcBorders>
          </w:tcPr>
          <w:p>
            <w:pPr>
              <w:jc w:val="right"/>
              <w:ind w:right="98"/>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205BA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205BA8"/>
            </w:tcBorders>
          </w:tcPr>
          <w:p>
            <w:pPr>
              <w:jc w:val="right"/>
              <w:ind w:right="159"/>
              <w:spacing w:after="0" w:line="162" w:lineRule="exact"/>
              <w:rPr>
                <w:sz w:val="20"/>
                <w:szCs w:val="20"/>
                <w:color w:val="auto"/>
              </w:rPr>
            </w:pPr>
            <w:r>
              <w:rPr>
                <w:rFonts w:ascii="Arial" w:cs="Arial" w:eastAsia="Arial" w:hAnsi="Arial"/>
                <w:sz w:val="11"/>
                <w:szCs w:val="11"/>
                <w:color w:val="auto"/>
              </w:rPr>
              <w:t>2,500</w:t>
            </w:r>
            <w:r>
              <w:rPr>
                <w:rFonts w:ascii="Arial" w:cs="Arial" w:eastAsia="Arial" w:hAnsi="Arial"/>
                <w:sz w:val="18"/>
                <w:szCs w:val="18"/>
                <w:color w:val="auto"/>
                <w:vertAlign w:val="superscript"/>
              </w:rPr>
              <w:t>8</w:t>
            </w:r>
          </w:p>
        </w:tc>
        <w:tc>
          <w:tcPr>
            <w:tcW w:w="1080" w:type="dxa"/>
            <w:vAlign w:val="bottom"/>
            <w:tcBorders>
              <w:bottom w:val="single" w:sz="8" w:color="205BA8"/>
            </w:tcBorders>
          </w:tcPr>
          <w:p>
            <w:pPr>
              <w:jc w:val="right"/>
              <w:ind w:right="160"/>
              <w:spacing w:after="0" w:line="162" w:lineRule="exact"/>
              <w:rPr>
                <w:sz w:val="20"/>
                <w:szCs w:val="20"/>
                <w:color w:val="auto"/>
              </w:rPr>
            </w:pPr>
            <w:r>
              <w:rPr>
                <w:rFonts w:ascii="Arial" w:cs="Arial" w:eastAsia="Arial" w:hAnsi="Arial"/>
                <w:sz w:val="11"/>
                <w:szCs w:val="11"/>
                <w:color w:val="auto"/>
              </w:rPr>
              <w:t>933,750</w:t>
            </w:r>
            <w:r>
              <w:rPr>
                <w:rFonts w:ascii="Arial" w:cs="Arial" w:eastAsia="Arial" w:hAnsi="Arial"/>
                <w:sz w:val="18"/>
                <w:szCs w:val="18"/>
                <w:color w:val="auto"/>
                <w:vertAlign w:val="superscript"/>
              </w:rPr>
              <w:t>6</w:t>
            </w:r>
          </w:p>
        </w:tc>
        <w:tc>
          <w:tcPr>
            <w:tcW w:w="1100" w:type="dxa"/>
            <w:vAlign w:val="bottom"/>
            <w:tcBorders>
              <w:bottom w:val="single" w:sz="8" w:color="205BA8"/>
            </w:tcBorders>
          </w:tcPr>
          <w:p>
            <w:pPr>
              <w:ind w:left="5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205BA8"/>
            </w:tcBorders>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tcBorders>
              <w:bottom w:val="single" w:sz="8" w:color="205BA8"/>
            </w:tcBorders>
          </w:tcPr>
          <w:p>
            <w:pPr>
              <w:ind w:left="1000"/>
              <w:spacing w:after="0"/>
              <w:rPr>
                <w:sz w:val="20"/>
                <w:szCs w:val="20"/>
                <w:color w:val="auto"/>
              </w:rPr>
            </w:pPr>
            <w:r>
              <w:rPr>
                <w:rFonts w:ascii="Arial" w:cs="Arial" w:eastAsia="Arial" w:hAnsi="Arial"/>
                <w:sz w:val="12"/>
                <w:szCs w:val="12"/>
                <w:b w:val="1"/>
                <w:bCs w:val="1"/>
                <w:color w:val="auto"/>
                <w:w w:val="94"/>
              </w:rPr>
              <w:t>TOTAL</w:t>
            </w:r>
          </w:p>
        </w:tc>
        <w:tc>
          <w:tcPr>
            <w:tcW w:w="220" w:type="dxa"/>
            <w:vAlign w:val="bottom"/>
            <w:tcBorders>
              <w:bottom w:val="single" w:sz="8" w:color="205BA8"/>
            </w:tcBorders>
          </w:tcPr>
          <w:p>
            <w:pPr>
              <w:spacing w:after="0"/>
              <w:rPr>
                <w:sz w:val="13"/>
                <w:szCs w:val="13"/>
                <w:color w:val="auto"/>
              </w:rPr>
            </w:pPr>
          </w:p>
        </w:tc>
        <w:tc>
          <w:tcPr>
            <w:tcW w:w="100" w:type="dxa"/>
            <w:vAlign w:val="bottom"/>
            <w:tcBorders>
              <w:bottom w:val="single" w:sz="8" w:color="205BA8"/>
            </w:tcBorders>
          </w:tcPr>
          <w:p>
            <w:pPr>
              <w:spacing w:after="0"/>
              <w:rPr>
                <w:sz w:val="13"/>
                <w:szCs w:val="13"/>
                <w:color w:val="auto"/>
              </w:rPr>
            </w:pPr>
          </w:p>
        </w:tc>
        <w:tc>
          <w:tcPr>
            <w:tcW w:w="620" w:type="dxa"/>
            <w:vAlign w:val="bottom"/>
            <w:tcBorders>
              <w:bottom w:val="single" w:sz="8" w:color="205BA8"/>
            </w:tcBorders>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205BA8"/>
            </w:tcBorders>
            <w:gridSpan w:val="2"/>
          </w:tcPr>
          <w:p>
            <w:pPr>
              <w:jc w:val="right"/>
              <w:ind w:right="59"/>
              <w:spacing w:after="0"/>
              <w:rPr>
                <w:sz w:val="20"/>
                <w:szCs w:val="20"/>
                <w:color w:val="auto"/>
              </w:rPr>
            </w:pPr>
            <w:r>
              <w:rPr>
                <w:rFonts w:ascii="Arial" w:cs="Arial" w:eastAsia="Arial" w:hAnsi="Arial"/>
                <w:sz w:val="13"/>
                <w:szCs w:val="13"/>
                <w:b w:val="1"/>
                <w:bCs w:val="1"/>
                <w:color w:val="auto"/>
              </w:rPr>
              <w:t>30,000</w:t>
            </w:r>
          </w:p>
        </w:tc>
        <w:tc>
          <w:tcPr>
            <w:tcW w:w="100" w:type="dxa"/>
            <w:vAlign w:val="bottom"/>
            <w:tcBorders>
              <w:bottom w:val="single" w:sz="8" w:color="205BA8"/>
            </w:tcBorders>
          </w:tcPr>
          <w:p>
            <w:pPr>
              <w:spacing w:after="0"/>
              <w:rPr>
                <w:sz w:val="13"/>
                <w:szCs w:val="13"/>
                <w:color w:val="auto"/>
              </w:rPr>
            </w:pPr>
          </w:p>
        </w:tc>
        <w:tc>
          <w:tcPr>
            <w:tcW w:w="980" w:type="dxa"/>
            <w:vAlign w:val="bottom"/>
            <w:tcBorders>
              <w:bottom w:val="single" w:sz="8" w:color="205BA8"/>
            </w:tcBorders>
          </w:tcPr>
          <w:p>
            <w:pPr>
              <w:spacing w:after="0"/>
              <w:rPr>
                <w:sz w:val="13"/>
                <w:szCs w:val="13"/>
                <w:color w:val="auto"/>
              </w:rPr>
            </w:pPr>
          </w:p>
        </w:tc>
        <w:tc>
          <w:tcPr>
            <w:tcW w:w="940" w:type="dxa"/>
            <w:vAlign w:val="bottom"/>
            <w:tcBorders>
              <w:bottom w:val="single" w:sz="8" w:color="205BA8"/>
            </w:tcBorders>
          </w:tcPr>
          <w:p>
            <w:pPr>
              <w:spacing w:after="0"/>
              <w:rPr>
                <w:sz w:val="13"/>
                <w:szCs w:val="13"/>
                <w:color w:val="auto"/>
              </w:rPr>
            </w:pPr>
          </w:p>
        </w:tc>
        <w:tc>
          <w:tcPr>
            <w:tcW w:w="900" w:type="dxa"/>
            <w:vAlign w:val="bottom"/>
            <w:tcBorders>
              <w:bottom w:val="single" w:sz="8" w:color="205BA8"/>
            </w:tcBorders>
          </w:tcPr>
          <w:p>
            <w:pPr>
              <w:spacing w:after="0"/>
              <w:rPr>
                <w:sz w:val="13"/>
                <w:szCs w:val="13"/>
                <w:color w:val="auto"/>
              </w:rPr>
            </w:pPr>
          </w:p>
        </w:tc>
        <w:tc>
          <w:tcPr>
            <w:tcW w:w="100" w:type="dxa"/>
            <w:vAlign w:val="bottom"/>
            <w:tcBorders>
              <w:bottom w:val="single" w:sz="8" w:color="205BA8"/>
            </w:tcBorders>
          </w:tcPr>
          <w:p>
            <w:pPr>
              <w:spacing w:after="0"/>
              <w:rPr>
                <w:sz w:val="13"/>
                <w:szCs w:val="13"/>
                <w:color w:val="auto"/>
              </w:rPr>
            </w:pPr>
          </w:p>
        </w:tc>
        <w:tc>
          <w:tcPr>
            <w:tcW w:w="1000" w:type="dxa"/>
            <w:vAlign w:val="bottom"/>
            <w:tcBorders>
              <w:bottom w:val="single" w:sz="8" w:color="205BA8"/>
            </w:tcBorders>
          </w:tcPr>
          <w:p>
            <w:pPr>
              <w:jc w:val="right"/>
              <w:ind w:right="219"/>
              <w:spacing w:after="0"/>
              <w:rPr>
                <w:sz w:val="20"/>
                <w:szCs w:val="20"/>
                <w:color w:val="auto"/>
              </w:rPr>
            </w:pPr>
            <w:r>
              <w:rPr>
                <w:rFonts w:ascii="Arial" w:cs="Arial" w:eastAsia="Arial" w:hAnsi="Arial"/>
                <w:sz w:val="13"/>
                <w:szCs w:val="13"/>
                <w:b w:val="1"/>
                <w:bCs w:val="1"/>
                <w:color w:val="auto"/>
              </w:rPr>
              <w:t>12,500</w:t>
            </w:r>
          </w:p>
        </w:tc>
        <w:tc>
          <w:tcPr>
            <w:tcW w:w="1080" w:type="dxa"/>
            <w:vAlign w:val="bottom"/>
            <w:tcBorders>
              <w:bottom w:val="single" w:sz="8" w:color="205BA8"/>
            </w:tcBorders>
          </w:tcPr>
          <w:p>
            <w:pPr>
              <w:spacing w:after="0"/>
              <w:rPr>
                <w:sz w:val="13"/>
                <w:szCs w:val="13"/>
                <w:color w:val="auto"/>
              </w:rPr>
            </w:pPr>
          </w:p>
        </w:tc>
        <w:tc>
          <w:tcPr>
            <w:tcW w:w="1100" w:type="dxa"/>
            <w:vAlign w:val="bottom"/>
            <w:tcBorders>
              <w:bottom w:val="single" w:sz="8" w:color="205BA8"/>
            </w:tcBorders>
          </w:tcPr>
          <w:p>
            <w:pPr>
              <w:spacing w:after="0"/>
              <w:rPr>
                <w:sz w:val="13"/>
                <w:szCs w:val="13"/>
                <w:color w:val="auto"/>
              </w:rPr>
            </w:pPr>
          </w:p>
        </w:tc>
        <w:tc>
          <w:tcPr>
            <w:tcW w:w="920" w:type="dxa"/>
            <w:vAlign w:val="bottom"/>
            <w:tcBorders>
              <w:bottom w:val="single" w:sz="8" w:color="205BA8"/>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203"/>
        <w:spacing w:after="0"/>
        <w:tabs>
          <w:tab w:leader="none" w:pos="720" w:val="left"/>
        </w:tabs>
        <w:numPr>
          <w:ilvl w:val="0"/>
          <w:numId w:val="109"/>
        </w:numPr>
        <w:rPr>
          <w:rFonts w:ascii="Arial" w:cs="Arial" w:eastAsia="Arial" w:hAnsi="Arial"/>
          <w:sz w:val="14"/>
          <w:szCs w:val="14"/>
          <w:b w:val="1"/>
          <w:bCs w:val="1"/>
          <w:color w:val="205BA8"/>
        </w:rPr>
      </w:pPr>
      <w:r>
        <w:rPr>
          <w:rFonts w:ascii="Arial" w:cs="Arial" w:eastAsia="Arial" w:hAnsi="Arial"/>
          <w:sz w:val="14"/>
          <w:szCs w:val="14"/>
          <w:color w:val="auto"/>
        </w:rPr>
        <w:t>This stock option award was granted to the NEO on December 12, 2018 and vests at a rate of 25% per year over the first four years of the option term.</w:t>
      </w:r>
    </w:p>
    <w:p>
      <w:pPr>
        <w:spacing w:after="0" w:line="30" w:lineRule="exact"/>
        <w:rPr>
          <w:rFonts w:ascii="Arial" w:cs="Arial" w:eastAsia="Arial" w:hAnsi="Arial"/>
          <w:sz w:val="14"/>
          <w:szCs w:val="14"/>
          <w:b w:val="1"/>
          <w:bCs w:val="1"/>
          <w:color w:val="205BA8"/>
        </w:rPr>
      </w:pPr>
    </w:p>
    <w:p>
      <w:pPr>
        <w:jc w:val="both"/>
        <w:ind w:left="520" w:right="1480"/>
        <w:spacing w:after="0" w:line="333" w:lineRule="auto"/>
        <w:rPr>
          <w:rFonts w:ascii="Arial" w:cs="Arial" w:eastAsia="Arial" w:hAnsi="Arial"/>
          <w:sz w:val="14"/>
          <w:szCs w:val="14"/>
          <w:b w:val="1"/>
          <w:bCs w:val="1"/>
          <w:color w:val="205BA8"/>
        </w:rPr>
      </w:pPr>
      <w:r>
        <w:rPr>
          <w:rFonts w:ascii="Arial" w:cs="Arial" w:eastAsia="Arial" w:hAnsi="Arial"/>
          <w:sz w:val="13"/>
          <w:szCs w:val="13"/>
          <w:b w:val="1"/>
          <w:bCs w:val="1"/>
          <w:color w:val="205BA8"/>
        </w:rPr>
        <w:t xml:space="preserve">2 </w:t>
      </w:r>
      <w:r>
        <w:rPr>
          <w:rFonts w:ascii="Arial" w:cs="Arial" w:eastAsia="Arial" w:hAnsi="Arial"/>
          <w:sz w:val="13"/>
          <w:szCs w:val="13"/>
          <w:color w:val="000000"/>
        </w:rPr>
        <w:t>This stock option award was granted to the NEO on December 12, 2017 and vests at a rate of 25% per year over the first four years of the option term.</w:t>
      </w:r>
      <w:r>
        <w:rPr>
          <w:rFonts w:ascii="Arial" w:cs="Arial" w:eastAsia="Arial" w:hAnsi="Arial"/>
          <w:sz w:val="13"/>
          <w:szCs w:val="13"/>
          <w:b w:val="1"/>
          <w:bCs w:val="1"/>
          <w:color w:val="205BA8"/>
        </w:rPr>
        <w:t xml:space="preserve"> 3 </w:t>
      </w:r>
      <w:r>
        <w:rPr>
          <w:rFonts w:ascii="Arial" w:cs="Arial" w:eastAsia="Arial" w:hAnsi="Arial"/>
          <w:sz w:val="13"/>
          <w:szCs w:val="13"/>
          <w:color w:val="000000"/>
        </w:rPr>
        <w:t>This stock option award was granted to the NEO on December 16, 2016 and vests at a rate of 25% per year over the first four years of the option term.</w:t>
      </w:r>
      <w:r>
        <w:rPr>
          <w:rFonts w:ascii="Arial" w:cs="Arial" w:eastAsia="Arial" w:hAnsi="Arial"/>
          <w:sz w:val="13"/>
          <w:szCs w:val="13"/>
          <w:b w:val="1"/>
          <w:bCs w:val="1"/>
          <w:color w:val="205BA8"/>
        </w:rPr>
        <w:t xml:space="preserve"> 4 </w:t>
      </w:r>
      <w:r>
        <w:rPr>
          <w:rFonts w:ascii="Arial" w:cs="Arial" w:eastAsia="Arial" w:hAnsi="Arial"/>
          <w:sz w:val="13"/>
          <w:szCs w:val="13"/>
          <w:color w:val="000000"/>
        </w:rPr>
        <w:t>This stock option award was granted to the NEO on December 16, 2015 and vests at a rate of 25% per year over the first four years of the option term.</w:t>
      </w:r>
    </w:p>
    <w:p>
      <w:pPr>
        <w:spacing w:after="0" w:line="17" w:lineRule="exact"/>
        <w:rPr>
          <w:sz w:val="20"/>
          <w:szCs w:val="20"/>
          <w:color w:val="auto"/>
        </w:rPr>
      </w:pPr>
    </w:p>
    <w:p>
      <w:pPr>
        <w:ind w:left="720" w:right="1080" w:hanging="203"/>
        <w:spacing w:after="0" w:line="239" w:lineRule="auto"/>
        <w:tabs>
          <w:tab w:leader="none" w:pos="720" w:val="left"/>
        </w:tabs>
        <w:numPr>
          <w:ilvl w:val="0"/>
          <w:numId w:val="110"/>
        </w:numPr>
        <w:rPr>
          <w:rFonts w:ascii="Arial" w:cs="Arial" w:eastAsia="Arial" w:hAnsi="Arial"/>
          <w:sz w:val="14"/>
          <w:szCs w:val="14"/>
          <w:b w:val="1"/>
          <w:bCs w:val="1"/>
          <w:color w:val="205BA8"/>
        </w:rPr>
      </w:pPr>
      <w:r>
        <w:rPr>
          <w:rFonts w:ascii="Arial" w:cs="Arial" w:eastAsia="Arial" w:hAnsi="Arial"/>
          <w:sz w:val="14"/>
          <w:szCs w:val="14"/>
          <w:color w:val="auto"/>
        </w:rPr>
        <w:t>This restricted stock award was granted to the NEO on December 12, 2018 and vests 100% on the fifth anniversary of the date of grant, subject to the NEO’s continued employment.</w:t>
      </w:r>
    </w:p>
    <w:p>
      <w:pPr>
        <w:spacing w:after="0" w:line="43" w:lineRule="exact"/>
        <w:rPr>
          <w:sz w:val="20"/>
          <w:szCs w:val="20"/>
          <w:color w:val="auto"/>
        </w:rPr>
      </w:pPr>
    </w:p>
    <w:p>
      <w:pPr>
        <w:ind w:left="720" w:hanging="203"/>
        <w:spacing w:after="0"/>
        <w:tabs>
          <w:tab w:leader="none" w:pos="720" w:val="left"/>
        </w:tabs>
        <w:numPr>
          <w:ilvl w:val="0"/>
          <w:numId w:val="111"/>
        </w:numPr>
        <w:rPr>
          <w:rFonts w:ascii="Arial" w:cs="Arial" w:eastAsia="Arial" w:hAnsi="Arial"/>
          <w:sz w:val="14"/>
          <w:szCs w:val="14"/>
          <w:b w:val="1"/>
          <w:bCs w:val="1"/>
          <w:color w:val="205BA8"/>
        </w:rPr>
      </w:pPr>
      <w:r>
        <w:rPr>
          <w:rFonts w:ascii="Arial" w:cs="Arial" w:eastAsia="Arial" w:hAnsi="Arial"/>
          <w:sz w:val="14"/>
          <w:szCs w:val="14"/>
          <w:color w:val="auto"/>
        </w:rPr>
        <w:t>Reflects the closing price of $373.50 per share of the Company’s common stock on the NASDAQ Global Select Market on December 31, 2018.</w:t>
      </w:r>
    </w:p>
    <w:p>
      <w:pPr>
        <w:spacing w:after="0" w:line="47" w:lineRule="exact"/>
        <w:rPr>
          <w:sz w:val="20"/>
          <w:szCs w:val="20"/>
          <w:color w:val="auto"/>
        </w:rPr>
      </w:pPr>
    </w:p>
    <w:p>
      <w:pPr>
        <w:ind w:left="720" w:hanging="203"/>
        <w:spacing w:after="0"/>
        <w:tabs>
          <w:tab w:leader="none" w:pos="720" w:val="left"/>
        </w:tabs>
        <w:numPr>
          <w:ilvl w:val="0"/>
          <w:numId w:val="112"/>
        </w:numPr>
        <w:rPr>
          <w:rFonts w:ascii="Arial" w:cs="Arial" w:eastAsia="Arial" w:hAnsi="Arial"/>
          <w:sz w:val="14"/>
          <w:szCs w:val="14"/>
          <w:b w:val="1"/>
          <w:bCs w:val="1"/>
          <w:color w:val="205BA8"/>
        </w:rPr>
      </w:pPr>
      <w:r>
        <w:rPr>
          <w:rFonts w:ascii="Arial" w:cs="Arial" w:eastAsia="Arial" w:hAnsi="Arial"/>
          <w:sz w:val="14"/>
          <w:szCs w:val="14"/>
          <w:color w:val="auto"/>
        </w:rPr>
        <w:t>This stock option award was granted to the NEO on February 12, 2018 and vests at a rate of 25% per year over the first four years of the option term.</w:t>
      </w:r>
    </w:p>
    <w:p>
      <w:pPr>
        <w:spacing w:after="0" w:line="47" w:lineRule="exact"/>
        <w:rPr>
          <w:sz w:val="20"/>
          <w:szCs w:val="20"/>
          <w:color w:val="auto"/>
        </w:rPr>
      </w:pPr>
    </w:p>
    <w:p>
      <w:pPr>
        <w:ind w:left="720" w:right="540" w:hanging="203"/>
        <w:spacing w:after="0" w:line="239" w:lineRule="auto"/>
        <w:tabs>
          <w:tab w:leader="none" w:pos="720" w:val="left"/>
        </w:tabs>
        <w:numPr>
          <w:ilvl w:val="0"/>
          <w:numId w:val="113"/>
        </w:numPr>
        <w:rPr>
          <w:rFonts w:ascii="Arial" w:cs="Arial" w:eastAsia="Arial" w:hAnsi="Arial"/>
          <w:sz w:val="14"/>
          <w:szCs w:val="14"/>
          <w:b w:val="1"/>
          <w:bCs w:val="1"/>
          <w:color w:val="205BA8"/>
        </w:rPr>
      </w:pPr>
      <w:r>
        <w:rPr>
          <w:rFonts w:ascii="Arial" w:cs="Arial" w:eastAsia="Arial" w:hAnsi="Arial"/>
          <w:sz w:val="14"/>
          <w:szCs w:val="14"/>
          <w:color w:val="auto"/>
        </w:rPr>
        <w:t>This restricted stock award was granted to the NEO on February 12, 2018 and vests 100% on the fifth anniversary of the date of grant, subject to the NEO’s continued employment.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81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4" w:name="page95"/>
    <w:bookmarkEnd w:id="94"/>
    <w:p>
      <w:pPr>
        <w:ind w:left="3"/>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600190" cy="165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8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D61C5A"/>
        </w:rPr>
        <w:t>2018 Option Exercises and Stock Vested</w:t>
      </w:r>
    </w:p>
    <w:p>
      <w:pPr>
        <w:spacing w:after="0" w:line="256" w:lineRule="exact"/>
        <w:rPr>
          <w:sz w:val="20"/>
          <w:szCs w:val="20"/>
          <w:color w:val="auto"/>
        </w:rPr>
      </w:pPr>
    </w:p>
    <w:p>
      <w:pPr>
        <w:ind w:left="3" w:right="220"/>
        <w:spacing w:after="0" w:line="229" w:lineRule="auto"/>
        <w:rPr>
          <w:sz w:val="20"/>
          <w:szCs w:val="20"/>
          <w:color w:val="auto"/>
        </w:rPr>
      </w:pPr>
      <w:r>
        <w:rPr>
          <w:rFonts w:ascii="Arial" w:cs="Arial" w:eastAsia="Arial" w:hAnsi="Arial"/>
          <w:sz w:val="15"/>
          <w:szCs w:val="15"/>
          <w:color w:val="auto"/>
        </w:rPr>
        <w:t>The following table and explanatory footnotes provide information with regard to amounts realized by our NEOs during 2018 as a result of the exercise of stock options or the vesting of restricted stock awards.</w:t>
      </w:r>
    </w:p>
    <w:p>
      <w:pPr>
        <w:spacing w:after="0" w:line="198"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3960" w:type="dxa"/>
            <w:vAlign w:val="bottom"/>
            <w:tcBorders>
              <w:top w:val="single" w:sz="8" w:color="205BA8"/>
              <w:bottom w:val="single" w:sz="8" w:color="205BA8"/>
            </w:tcBorders>
          </w:tcPr>
          <w:p>
            <w:pPr>
              <w:ind w:left="40"/>
              <w:spacing w:after="0"/>
              <w:rPr>
                <w:sz w:val="20"/>
                <w:szCs w:val="20"/>
                <w:color w:val="auto"/>
              </w:rPr>
            </w:pPr>
            <w:r>
              <w:rPr>
                <w:rFonts w:ascii="Arial" w:cs="Arial" w:eastAsia="Arial" w:hAnsi="Arial"/>
                <w:sz w:val="13"/>
                <w:szCs w:val="13"/>
                <w:b w:val="1"/>
                <w:bCs w:val="1"/>
                <w:color w:val="205BA8"/>
              </w:rPr>
              <w:t>A</w:t>
            </w:r>
          </w:p>
        </w:tc>
        <w:tc>
          <w:tcPr>
            <w:tcW w:w="1660" w:type="dxa"/>
            <w:vAlign w:val="bottom"/>
            <w:tcBorders>
              <w:top w:val="single" w:sz="8" w:color="205BA8"/>
              <w:bottom w:val="single" w:sz="8" w:color="205BA8"/>
            </w:tcBorders>
          </w:tcPr>
          <w:p>
            <w:pPr>
              <w:jc w:val="center"/>
              <w:ind w:right="177"/>
              <w:spacing w:after="0"/>
              <w:rPr>
                <w:sz w:val="20"/>
                <w:szCs w:val="20"/>
                <w:color w:val="auto"/>
              </w:rPr>
            </w:pPr>
            <w:r>
              <w:rPr>
                <w:rFonts w:ascii="Arial" w:cs="Arial" w:eastAsia="Arial" w:hAnsi="Arial"/>
                <w:sz w:val="13"/>
                <w:szCs w:val="13"/>
                <w:b w:val="1"/>
                <w:bCs w:val="1"/>
                <w:color w:val="205BA8"/>
              </w:rPr>
              <w:t>B</w:t>
            </w:r>
          </w:p>
        </w:tc>
        <w:tc>
          <w:tcPr>
            <w:tcW w:w="1660" w:type="dxa"/>
            <w:vAlign w:val="bottom"/>
            <w:tcBorders>
              <w:top w:val="single" w:sz="8" w:color="205BA8"/>
              <w:bottom w:val="single" w:sz="8" w:color="205BA8"/>
            </w:tcBorders>
            <w:gridSpan w:val="2"/>
          </w:tcPr>
          <w:p>
            <w:pPr>
              <w:jc w:val="center"/>
              <w:ind w:right="220"/>
              <w:spacing w:after="0"/>
              <w:rPr>
                <w:sz w:val="20"/>
                <w:szCs w:val="20"/>
                <w:color w:val="auto"/>
              </w:rPr>
            </w:pPr>
            <w:r>
              <w:rPr>
                <w:rFonts w:ascii="Arial" w:cs="Arial" w:eastAsia="Arial" w:hAnsi="Arial"/>
                <w:sz w:val="13"/>
                <w:szCs w:val="13"/>
                <w:b w:val="1"/>
                <w:bCs w:val="1"/>
                <w:color w:val="205BA8"/>
                <w:w w:val="84"/>
              </w:rPr>
              <w:t>C</w:t>
            </w:r>
          </w:p>
        </w:tc>
        <w:tc>
          <w:tcPr>
            <w:tcW w:w="1960" w:type="dxa"/>
            <w:vAlign w:val="bottom"/>
            <w:tcBorders>
              <w:top w:val="single" w:sz="8" w:color="205BA8"/>
              <w:bottom w:val="single" w:sz="8" w:color="205BA8"/>
            </w:tcBorders>
          </w:tcPr>
          <w:p>
            <w:pPr>
              <w:jc w:val="center"/>
              <w:ind w:right="457"/>
              <w:spacing w:after="0"/>
              <w:rPr>
                <w:sz w:val="20"/>
                <w:szCs w:val="20"/>
                <w:color w:val="auto"/>
              </w:rPr>
            </w:pPr>
            <w:r>
              <w:rPr>
                <w:rFonts w:ascii="Arial" w:cs="Arial" w:eastAsia="Arial" w:hAnsi="Arial"/>
                <w:sz w:val="13"/>
                <w:szCs w:val="13"/>
                <w:b w:val="1"/>
                <w:bCs w:val="1"/>
                <w:color w:val="205BA8"/>
                <w:w w:val="84"/>
              </w:rPr>
              <w:t>D</w:t>
            </w:r>
          </w:p>
        </w:tc>
        <w:tc>
          <w:tcPr>
            <w:tcW w:w="1160" w:type="dxa"/>
            <w:vAlign w:val="bottom"/>
            <w:tcBorders>
              <w:top w:val="single" w:sz="8" w:color="205BA8"/>
              <w:bottom w:val="single" w:sz="8" w:color="205BA8"/>
            </w:tcBorders>
          </w:tcPr>
          <w:p>
            <w:pPr>
              <w:jc w:val="center"/>
              <w:ind w:right="258"/>
              <w:spacing w:after="0"/>
              <w:rPr>
                <w:sz w:val="20"/>
                <w:szCs w:val="20"/>
                <w:color w:val="auto"/>
              </w:rPr>
            </w:pPr>
            <w:r>
              <w:rPr>
                <w:rFonts w:ascii="Arial" w:cs="Arial" w:eastAsia="Arial" w:hAnsi="Arial"/>
                <w:sz w:val="13"/>
                <w:szCs w:val="13"/>
                <w:b w:val="1"/>
                <w:bCs w:val="1"/>
                <w:color w:val="205BA8"/>
                <w:w w:val="91"/>
              </w:rPr>
              <w:t>E</w:t>
            </w:r>
          </w:p>
        </w:tc>
      </w:tr>
      <w:tr>
        <w:trPr>
          <w:trHeight w:val="136"/>
        </w:trPr>
        <w:tc>
          <w:tcPr>
            <w:tcW w:w="3960" w:type="dxa"/>
            <w:vAlign w:val="bottom"/>
          </w:tcPr>
          <w:p>
            <w:pPr>
              <w:spacing w:after="0"/>
              <w:rPr>
                <w:sz w:val="11"/>
                <w:szCs w:val="11"/>
                <w:color w:val="auto"/>
              </w:rPr>
            </w:pPr>
          </w:p>
        </w:tc>
        <w:tc>
          <w:tcPr>
            <w:tcW w:w="3320" w:type="dxa"/>
            <w:vAlign w:val="bottom"/>
            <w:gridSpan w:val="3"/>
          </w:tcPr>
          <w:p>
            <w:pPr>
              <w:ind w:left="1120"/>
              <w:spacing w:after="0" w:line="136" w:lineRule="exact"/>
              <w:rPr>
                <w:sz w:val="20"/>
                <w:szCs w:val="20"/>
                <w:color w:val="auto"/>
              </w:rPr>
            </w:pPr>
            <w:r>
              <w:rPr>
                <w:rFonts w:ascii="Arial" w:cs="Arial" w:eastAsia="Arial" w:hAnsi="Arial"/>
                <w:sz w:val="13"/>
                <w:szCs w:val="13"/>
                <w:b w:val="1"/>
                <w:bCs w:val="1"/>
                <w:color w:val="205BA8"/>
              </w:rPr>
              <w:t>Option awards</w:t>
            </w:r>
          </w:p>
        </w:tc>
        <w:tc>
          <w:tcPr>
            <w:tcW w:w="1960" w:type="dxa"/>
            <w:vAlign w:val="bottom"/>
          </w:tcPr>
          <w:p>
            <w:pPr>
              <w:jc w:val="right"/>
              <w:spacing w:after="0" w:line="136" w:lineRule="exact"/>
              <w:rPr>
                <w:sz w:val="20"/>
                <w:szCs w:val="20"/>
                <w:color w:val="auto"/>
              </w:rPr>
            </w:pPr>
            <w:r>
              <w:rPr>
                <w:rFonts w:ascii="Arial" w:cs="Arial" w:eastAsia="Arial" w:hAnsi="Arial"/>
                <w:sz w:val="13"/>
                <w:szCs w:val="13"/>
                <w:b w:val="1"/>
                <w:bCs w:val="1"/>
                <w:color w:val="205BA8"/>
              </w:rPr>
              <w:t>Stock awards</w:t>
            </w:r>
          </w:p>
        </w:tc>
        <w:tc>
          <w:tcPr>
            <w:tcW w:w="1160" w:type="dxa"/>
            <w:vAlign w:val="bottom"/>
          </w:tcPr>
          <w:p>
            <w:pPr>
              <w:spacing w:after="0"/>
              <w:rPr>
                <w:sz w:val="11"/>
                <w:szCs w:val="11"/>
                <w:color w:val="auto"/>
              </w:rPr>
            </w:pPr>
          </w:p>
        </w:tc>
      </w:tr>
      <w:tr>
        <w:trPr>
          <w:trHeight w:val="149"/>
        </w:trPr>
        <w:tc>
          <w:tcPr>
            <w:tcW w:w="3960" w:type="dxa"/>
            <w:vAlign w:val="bottom"/>
          </w:tcPr>
          <w:p>
            <w:pPr>
              <w:spacing w:after="0"/>
              <w:rPr>
                <w:sz w:val="12"/>
                <w:szCs w:val="12"/>
                <w:color w:val="auto"/>
              </w:rPr>
            </w:pPr>
          </w:p>
        </w:tc>
        <w:tc>
          <w:tcPr>
            <w:tcW w:w="1660" w:type="dxa"/>
            <w:vAlign w:val="bottom"/>
            <w:tcBorders>
              <w:top w:val="single" w:sz="8" w:color="205BA8"/>
            </w:tcBorders>
          </w:tcPr>
          <w:p>
            <w:pPr>
              <w:jc w:val="center"/>
              <w:ind w:right="177"/>
              <w:spacing w:after="0"/>
              <w:rPr>
                <w:sz w:val="20"/>
                <w:szCs w:val="20"/>
                <w:color w:val="auto"/>
              </w:rPr>
            </w:pPr>
            <w:r>
              <w:rPr>
                <w:rFonts w:ascii="Arial" w:cs="Arial" w:eastAsia="Arial" w:hAnsi="Arial"/>
                <w:sz w:val="13"/>
                <w:szCs w:val="13"/>
                <w:b w:val="1"/>
                <w:bCs w:val="1"/>
                <w:color w:val="205BA8"/>
                <w:w w:val="95"/>
              </w:rPr>
              <w:t>Number of shares</w:t>
            </w:r>
          </w:p>
        </w:tc>
        <w:tc>
          <w:tcPr>
            <w:tcW w:w="1460" w:type="dxa"/>
            <w:vAlign w:val="bottom"/>
            <w:tcBorders>
              <w:top w:val="single" w:sz="8" w:color="205BA8"/>
            </w:tcBorders>
          </w:tcPr>
          <w:p>
            <w:pPr>
              <w:jc w:val="center"/>
              <w:spacing w:after="0"/>
              <w:rPr>
                <w:sz w:val="20"/>
                <w:szCs w:val="20"/>
                <w:color w:val="auto"/>
              </w:rPr>
            </w:pPr>
            <w:r>
              <w:rPr>
                <w:rFonts w:ascii="Arial" w:cs="Arial" w:eastAsia="Arial" w:hAnsi="Arial"/>
                <w:sz w:val="13"/>
                <w:szCs w:val="13"/>
                <w:b w:val="1"/>
                <w:bCs w:val="1"/>
                <w:color w:val="205BA8"/>
                <w:w w:val="96"/>
              </w:rPr>
              <w:t>Value realized</w:t>
            </w:r>
          </w:p>
        </w:tc>
        <w:tc>
          <w:tcPr>
            <w:tcW w:w="200" w:type="dxa"/>
            <w:vAlign w:val="bottom"/>
          </w:tcPr>
          <w:p>
            <w:pPr>
              <w:spacing w:after="0"/>
              <w:rPr>
                <w:sz w:val="12"/>
                <w:szCs w:val="12"/>
                <w:color w:val="auto"/>
              </w:rPr>
            </w:pPr>
          </w:p>
        </w:tc>
        <w:tc>
          <w:tcPr>
            <w:tcW w:w="1960" w:type="dxa"/>
            <w:vAlign w:val="bottom"/>
            <w:tcBorders>
              <w:top w:val="single" w:sz="8" w:color="205BA8"/>
            </w:tcBorders>
          </w:tcPr>
          <w:p>
            <w:pPr>
              <w:jc w:val="center"/>
              <w:ind w:right="457"/>
              <w:spacing w:after="0"/>
              <w:rPr>
                <w:sz w:val="20"/>
                <w:szCs w:val="20"/>
                <w:color w:val="auto"/>
              </w:rPr>
            </w:pPr>
            <w:r>
              <w:rPr>
                <w:rFonts w:ascii="Arial" w:cs="Arial" w:eastAsia="Arial" w:hAnsi="Arial"/>
                <w:sz w:val="13"/>
                <w:szCs w:val="13"/>
                <w:b w:val="1"/>
                <w:bCs w:val="1"/>
                <w:color w:val="205BA8"/>
                <w:w w:val="97"/>
              </w:rPr>
              <w:t>Number of shares</w:t>
            </w:r>
          </w:p>
        </w:tc>
        <w:tc>
          <w:tcPr>
            <w:tcW w:w="1160" w:type="dxa"/>
            <w:vAlign w:val="bottom"/>
            <w:tcBorders>
              <w:top w:val="single" w:sz="8" w:color="205BA8"/>
            </w:tcBorders>
          </w:tcPr>
          <w:p>
            <w:pPr>
              <w:jc w:val="center"/>
              <w:ind w:right="258"/>
              <w:spacing w:after="0"/>
              <w:rPr>
                <w:sz w:val="20"/>
                <w:szCs w:val="20"/>
                <w:color w:val="auto"/>
              </w:rPr>
            </w:pPr>
            <w:r>
              <w:rPr>
                <w:rFonts w:ascii="Arial" w:cs="Arial" w:eastAsia="Arial" w:hAnsi="Arial"/>
                <w:sz w:val="13"/>
                <w:szCs w:val="13"/>
                <w:b w:val="1"/>
                <w:bCs w:val="1"/>
                <w:color w:val="205BA8"/>
                <w:w w:val="96"/>
              </w:rPr>
              <w:t>Value realized</w:t>
            </w:r>
          </w:p>
        </w:tc>
      </w:tr>
      <w:tr>
        <w:trPr>
          <w:trHeight w:val="143"/>
        </w:trPr>
        <w:tc>
          <w:tcPr>
            <w:tcW w:w="3960" w:type="dxa"/>
            <w:vAlign w:val="bottom"/>
          </w:tcPr>
          <w:p>
            <w:pPr>
              <w:spacing w:after="0"/>
              <w:rPr>
                <w:sz w:val="12"/>
                <w:szCs w:val="12"/>
                <w:color w:val="auto"/>
              </w:rPr>
            </w:pPr>
          </w:p>
        </w:tc>
        <w:tc>
          <w:tcPr>
            <w:tcW w:w="1660" w:type="dxa"/>
            <w:vAlign w:val="bottom"/>
          </w:tcPr>
          <w:p>
            <w:pPr>
              <w:jc w:val="center"/>
              <w:ind w:right="157"/>
              <w:spacing w:after="0" w:line="143" w:lineRule="exact"/>
              <w:rPr>
                <w:sz w:val="20"/>
                <w:szCs w:val="20"/>
                <w:color w:val="auto"/>
              </w:rPr>
            </w:pPr>
            <w:r>
              <w:rPr>
                <w:rFonts w:ascii="Arial" w:cs="Arial" w:eastAsia="Arial" w:hAnsi="Arial"/>
                <w:sz w:val="13"/>
                <w:szCs w:val="13"/>
                <w:b w:val="1"/>
                <w:bCs w:val="1"/>
                <w:color w:val="205BA8"/>
                <w:w w:val="95"/>
              </w:rPr>
              <w:t>acquired on exercise</w:t>
            </w:r>
          </w:p>
        </w:tc>
        <w:tc>
          <w:tcPr>
            <w:tcW w:w="16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205BA8"/>
                <w:w w:val="94"/>
              </w:rPr>
              <w:t>on exercise</w:t>
            </w:r>
          </w:p>
        </w:tc>
        <w:tc>
          <w:tcPr>
            <w:tcW w:w="1960" w:type="dxa"/>
            <w:vAlign w:val="bottom"/>
          </w:tcPr>
          <w:p>
            <w:pPr>
              <w:jc w:val="center"/>
              <w:ind w:right="457"/>
              <w:spacing w:after="0" w:line="143" w:lineRule="exact"/>
              <w:rPr>
                <w:sz w:val="20"/>
                <w:szCs w:val="20"/>
                <w:color w:val="auto"/>
              </w:rPr>
            </w:pPr>
            <w:r>
              <w:rPr>
                <w:rFonts w:ascii="Arial" w:cs="Arial" w:eastAsia="Arial" w:hAnsi="Arial"/>
                <w:sz w:val="13"/>
                <w:szCs w:val="13"/>
                <w:b w:val="1"/>
                <w:bCs w:val="1"/>
                <w:color w:val="205BA8"/>
                <w:w w:val="97"/>
              </w:rPr>
              <w:t>acquired on vesting</w:t>
            </w:r>
          </w:p>
        </w:tc>
        <w:tc>
          <w:tcPr>
            <w:tcW w:w="1160" w:type="dxa"/>
            <w:vAlign w:val="bottom"/>
          </w:tcPr>
          <w:p>
            <w:pPr>
              <w:jc w:val="center"/>
              <w:ind w:right="258"/>
              <w:spacing w:after="0" w:line="143" w:lineRule="exact"/>
              <w:rPr>
                <w:sz w:val="20"/>
                <w:szCs w:val="20"/>
                <w:color w:val="auto"/>
              </w:rPr>
            </w:pPr>
            <w:r>
              <w:rPr>
                <w:rFonts w:ascii="Arial" w:cs="Arial" w:eastAsia="Arial" w:hAnsi="Arial"/>
                <w:sz w:val="13"/>
                <w:szCs w:val="13"/>
                <w:b w:val="1"/>
                <w:bCs w:val="1"/>
                <w:color w:val="205BA8"/>
                <w:w w:val="98"/>
              </w:rPr>
              <w:t>on vesting</w:t>
            </w:r>
          </w:p>
        </w:tc>
      </w:tr>
      <w:tr>
        <w:trPr>
          <w:trHeight w:val="175"/>
        </w:trPr>
        <w:tc>
          <w:tcPr>
            <w:tcW w:w="3960" w:type="dxa"/>
            <w:vAlign w:val="bottom"/>
            <w:tcBorders>
              <w:bottom w:val="single" w:sz="8" w:color="205BA8"/>
            </w:tcBorders>
          </w:tcPr>
          <w:p>
            <w:pPr>
              <w:ind w:left="40"/>
              <w:spacing w:after="0"/>
              <w:rPr>
                <w:sz w:val="20"/>
                <w:szCs w:val="20"/>
                <w:color w:val="auto"/>
              </w:rPr>
            </w:pPr>
            <w:r>
              <w:rPr>
                <w:rFonts w:ascii="Arial" w:cs="Arial" w:eastAsia="Arial" w:hAnsi="Arial"/>
                <w:sz w:val="13"/>
                <w:szCs w:val="13"/>
                <w:b w:val="1"/>
                <w:bCs w:val="1"/>
                <w:color w:val="205BA8"/>
              </w:rPr>
              <w:t>Name (a)</w:t>
            </w:r>
          </w:p>
        </w:tc>
        <w:tc>
          <w:tcPr>
            <w:tcW w:w="1660" w:type="dxa"/>
            <w:vAlign w:val="bottom"/>
            <w:tcBorders>
              <w:bottom w:val="single" w:sz="8" w:color="205BA8"/>
            </w:tcBorders>
          </w:tcPr>
          <w:p>
            <w:pPr>
              <w:jc w:val="center"/>
              <w:ind w:right="157"/>
              <w:spacing w:after="0"/>
              <w:rPr>
                <w:sz w:val="20"/>
                <w:szCs w:val="20"/>
                <w:color w:val="auto"/>
              </w:rPr>
            </w:pPr>
            <w:r>
              <w:rPr>
                <w:rFonts w:ascii="Arial" w:cs="Arial" w:eastAsia="Arial" w:hAnsi="Arial"/>
                <w:sz w:val="13"/>
                <w:szCs w:val="13"/>
                <w:b w:val="1"/>
                <w:bCs w:val="1"/>
                <w:color w:val="205BA8"/>
              </w:rPr>
              <w:t>(#)</w:t>
            </w:r>
          </w:p>
        </w:tc>
        <w:tc>
          <w:tcPr>
            <w:tcW w:w="1460" w:type="dxa"/>
            <w:vAlign w:val="bottom"/>
            <w:tcBorders>
              <w:bottom w:val="single" w:sz="8" w:color="205BA8"/>
            </w:tcBorders>
          </w:tcPr>
          <w:p>
            <w:pPr>
              <w:jc w:val="center"/>
              <w:spacing w:after="0" w:line="169" w:lineRule="exact"/>
              <w:rPr>
                <w:sz w:val="20"/>
                <w:szCs w:val="20"/>
                <w:color w:val="auto"/>
              </w:rPr>
            </w:pPr>
            <w:r>
              <w:rPr>
                <w:rFonts w:ascii="Arial" w:cs="Arial" w:eastAsia="Arial" w:hAnsi="Arial"/>
                <w:sz w:val="12"/>
                <w:szCs w:val="12"/>
                <w:b w:val="1"/>
                <w:bCs w:val="1"/>
                <w:color w:val="205BA8"/>
                <w:w w:val="91"/>
              </w:rPr>
              <w:t>($)</w:t>
            </w:r>
            <w:r>
              <w:rPr>
                <w:rFonts w:ascii="Arial" w:cs="Arial" w:eastAsia="Arial" w:hAnsi="Arial"/>
                <w:sz w:val="19"/>
                <w:szCs w:val="19"/>
                <w:b w:val="1"/>
                <w:bCs w:val="1"/>
                <w:color w:val="205BA8"/>
                <w:w w:val="91"/>
                <w:vertAlign w:val="superscript"/>
              </w:rPr>
              <w:t>1</w:t>
            </w:r>
          </w:p>
        </w:tc>
        <w:tc>
          <w:tcPr>
            <w:tcW w:w="200" w:type="dxa"/>
            <w:vAlign w:val="bottom"/>
            <w:tcBorders>
              <w:bottom w:val="single" w:sz="8" w:color="205BA8"/>
            </w:tcBorders>
          </w:tcPr>
          <w:p>
            <w:pPr>
              <w:spacing w:after="0"/>
              <w:rPr>
                <w:sz w:val="15"/>
                <w:szCs w:val="15"/>
                <w:color w:val="auto"/>
              </w:rPr>
            </w:pPr>
          </w:p>
        </w:tc>
        <w:tc>
          <w:tcPr>
            <w:tcW w:w="1960" w:type="dxa"/>
            <w:vAlign w:val="bottom"/>
            <w:tcBorders>
              <w:bottom w:val="single" w:sz="8" w:color="205BA8"/>
            </w:tcBorders>
          </w:tcPr>
          <w:p>
            <w:pPr>
              <w:jc w:val="center"/>
              <w:ind w:right="457"/>
              <w:spacing w:after="0"/>
              <w:rPr>
                <w:sz w:val="20"/>
                <w:szCs w:val="20"/>
                <w:color w:val="auto"/>
              </w:rPr>
            </w:pPr>
            <w:r>
              <w:rPr>
                <w:rFonts w:ascii="Arial" w:cs="Arial" w:eastAsia="Arial" w:hAnsi="Arial"/>
                <w:sz w:val="13"/>
                <w:szCs w:val="13"/>
                <w:b w:val="1"/>
                <w:bCs w:val="1"/>
                <w:color w:val="205BA8"/>
              </w:rPr>
              <w:t>(#)</w:t>
            </w:r>
          </w:p>
        </w:tc>
        <w:tc>
          <w:tcPr>
            <w:tcW w:w="1160" w:type="dxa"/>
            <w:vAlign w:val="bottom"/>
            <w:tcBorders>
              <w:bottom w:val="single" w:sz="8" w:color="205BA8"/>
            </w:tcBorders>
          </w:tcPr>
          <w:p>
            <w:pPr>
              <w:jc w:val="center"/>
              <w:ind w:right="258"/>
              <w:spacing w:after="0" w:line="169" w:lineRule="exact"/>
              <w:rPr>
                <w:sz w:val="20"/>
                <w:szCs w:val="20"/>
                <w:color w:val="auto"/>
              </w:rPr>
            </w:pPr>
            <w:r>
              <w:rPr>
                <w:rFonts w:ascii="Arial" w:cs="Arial" w:eastAsia="Arial" w:hAnsi="Arial"/>
                <w:sz w:val="12"/>
                <w:szCs w:val="12"/>
                <w:b w:val="1"/>
                <w:bCs w:val="1"/>
                <w:color w:val="205BA8"/>
                <w:w w:val="91"/>
              </w:rPr>
              <w:t>($)</w:t>
            </w:r>
            <w:r>
              <w:rPr>
                <w:rFonts w:ascii="Arial" w:cs="Arial" w:eastAsia="Arial" w:hAnsi="Arial"/>
                <w:sz w:val="19"/>
                <w:szCs w:val="19"/>
                <w:b w:val="1"/>
                <w:bCs w:val="1"/>
                <w:color w:val="205BA8"/>
                <w:w w:val="91"/>
                <w:vertAlign w:val="superscript"/>
              </w:rPr>
              <w:t>2</w:t>
            </w:r>
          </w:p>
        </w:tc>
      </w:tr>
      <w:tr>
        <w:trPr>
          <w:trHeight w:val="167"/>
        </w:trPr>
        <w:tc>
          <w:tcPr>
            <w:tcW w:w="3960" w:type="dxa"/>
            <w:vAlign w:val="bottom"/>
            <w:tcBorders>
              <w:bottom w:val="single" w:sz="8" w:color="58585A"/>
            </w:tcBorders>
          </w:tcPr>
          <w:p>
            <w:pPr>
              <w:ind w:left="40"/>
              <w:spacing w:after="0"/>
              <w:rPr>
                <w:sz w:val="20"/>
                <w:szCs w:val="20"/>
                <w:color w:val="auto"/>
              </w:rPr>
            </w:pPr>
            <w:r>
              <w:rPr>
                <w:rFonts w:ascii="Arial" w:cs="Arial" w:eastAsia="Arial" w:hAnsi="Arial"/>
                <w:sz w:val="13"/>
                <w:szCs w:val="13"/>
                <w:b w:val="1"/>
                <w:bCs w:val="1"/>
                <w:color w:val="D61C5A"/>
              </w:rPr>
              <w:t>Leonard S. Schleifer, M.D. , Ph.D.</w:t>
            </w:r>
          </w:p>
        </w:tc>
        <w:tc>
          <w:tcPr>
            <w:tcW w:w="1660" w:type="dxa"/>
            <w:vAlign w:val="bottom"/>
            <w:tcBorders>
              <w:bottom w:val="single" w:sz="8" w:color="58585A"/>
            </w:tcBorders>
          </w:tcPr>
          <w:p>
            <w:pPr>
              <w:jc w:val="right"/>
              <w:ind w:right="457"/>
              <w:spacing w:after="0"/>
              <w:rPr>
                <w:sz w:val="20"/>
                <w:szCs w:val="20"/>
                <w:color w:val="auto"/>
              </w:rPr>
            </w:pPr>
            <w:r>
              <w:rPr>
                <w:rFonts w:ascii="Arial" w:cs="Arial" w:eastAsia="Arial" w:hAnsi="Arial"/>
                <w:sz w:val="13"/>
                <w:szCs w:val="13"/>
                <w:color w:val="auto"/>
              </w:rPr>
              <w:t>312,500</w:t>
            </w:r>
          </w:p>
        </w:tc>
        <w:tc>
          <w:tcPr>
            <w:tcW w:w="1460" w:type="dxa"/>
            <w:vAlign w:val="bottom"/>
            <w:tcBorders>
              <w:bottom w:val="single" w:sz="8" w:color="58585A"/>
            </w:tcBorders>
          </w:tcPr>
          <w:p>
            <w:pPr>
              <w:jc w:val="right"/>
              <w:ind w:right="258"/>
              <w:spacing w:after="0"/>
              <w:rPr>
                <w:sz w:val="20"/>
                <w:szCs w:val="20"/>
                <w:color w:val="auto"/>
              </w:rPr>
            </w:pPr>
            <w:r>
              <w:rPr>
                <w:rFonts w:ascii="Arial" w:cs="Arial" w:eastAsia="Arial" w:hAnsi="Arial"/>
                <w:sz w:val="13"/>
                <w:szCs w:val="13"/>
                <w:color w:val="auto"/>
              </w:rPr>
              <w:t>112,659,375</w:t>
            </w:r>
          </w:p>
        </w:tc>
        <w:tc>
          <w:tcPr>
            <w:tcW w:w="200" w:type="dxa"/>
            <w:vAlign w:val="bottom"/>
            <w:tcBorders>
              <w:bottom w:val="single" w:sz="8" w:color="58585A"/>
            </w:tcBorders>
          </w:tcPr>
          <w:p>
            <w:pPr>
              <w:spacing w:after="0"/>
              <w:rPr>
                <w:sz w:val="14"/>
                <w:szCs w:val="14"/>
                <w:color w:val="auto"/>
              </w:rPr>
            </w:pPr>
          </w:p>
        </w:tc>
        <w:tc>
          <w:tcPr>
            <w:tcW w:w="1960" w:type="dxa"/>
            <w:vAlign w:val="bottom"/>
            <w:tcBorders>
              <w:bottom w:val="single" w:sz="8" w:color="58585A"/>
            </w:tcBorders>
          </w:tcPr>
          <w:p>
            <w:pPr>
              <w:jc w:val="right"/>
              <w:ind w:right="75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58585A"/>
            </w:tcBorders>
          </w:tcPr>
          <w:p>
            <w:pPr>
              <w:jc w:val="right"/>
              <w:ind w:right="258"/>
              <w:spacing w:after="0"/>
              <w:rPr>
                <w:sz w:val="20"/>
                <w:szCs w:val="20"/>
                <w:color w:val="auto"/>
              </w:rPr>
            </w:pPr>
            <w:r>
              <w:rPr>
                <w:rFonts w:ascii="Arial" w:cs="Arial" w:eastAsia="Arial" w:hAnsi="Arial"/>
                <w:sz w:val="13"/>
                <w:szCs w:val="13"/>
                <w:color w:val="auto"/>
              </w:rPr>
              <w:t>—</w:t>
            </w:r>
          </w:p>
        </w:tc>
      </w:tr>
      <w:tr>
        <w:trPr>
          <w:trHeight w:val="162"/>
        </w:trPr>
        <w:tc>
          <w:tcPr>
            <w:tcW w:w="3960" w:type="dxa"/>
            <w:vAlign w:val="bottom"/>
            <w:tcBorders>
              <w:bottom w:val="single" w:sz="8" w:color="58585A"/>
            </w:tcBorders>
            <w:shd w:val="clear" w:color="auto" w:fill="E7E7E8"/>
          </w:tcPr>
          <w:p>
            <w:pPr>
              <w:ind w:left="40"/>
              <w:spacing w:after="0"/>
              <w:rPr>
                <w:sz w:val="20"/>
                <w:szCs w:val="20"/>
                <w:color w:val="auto"/>
              </w:rPr>
            </w:pPr>
            <w:r>
              <w:rPr>
                <w:rFonts w:ascii="Arial" w:cs="Arial" w:eastAsia="Arial" w:hAnsi="Arial"/>
                <w:sz w:val="13"/>
                <w:szCs w:val="13"/>
                <w:b w:val="1"/>
                <w:bCs w:val="1"/>
                <w:color w:val="D61C5A"/>
              </w:rPr>
              <w:t>George D. Yancopoulos, M.D., Ph.D.</w:t>
            </w:r>
          </w:p>
        </w:tc>
        <w:tc>
          <w:tcPr>
            <w:tcW w:w="1660" w:type="dxa"/>
            <w:vAlign w:val="bottom"/>
            <w:tcBorders>
              <w:bottom w:val="single" w:sz="8" w:color="58585A"/>
            </w:tcBorders>
            <w:shd w:val="clear" w:color="auto" w:fill="E7E7E8"/>
          </w:tcPr>
          <w:p>
            <w:pPr>
              <w:jc w:val="right"/>
              <w:ind w:right="457"/>
              <w:spacing w:after="0"/>
              <w:rPr>
                <w:sz w:val="20"/>
                <w:szCs w:val="20"/>
                <w:color w:val="auto"/>
              </w:rPr>
            </w:pPr>
            <w:r>
              <w:rPr>
                <w:rFonts w:ascii="Arial" w:cs="Arial" w:eastAsia="Arial" w:hAnsi="Arial"/>
                <w:sz w:val="13"/>
                <w:szCs w:val="13"/>
                <w:color w:val="auto"/>
              </w:rPr>
              <w:t>244,048</w:t>
            </w:r>
          </w:p>
        </w:tc>
        <w:tc>
          <w:tcPr>
            <w:tcW w:w="1460" w:type="dxa"/>
            <w:vAlign w:val="bottom"/>
            <w:tcBorders>
              <w:bottom w:val="single" w:sz="8" w:color="58585A"/>
            </w:tcBorders>
            <w:shd w:val="clear" w:color="auto" w:fill="E7E7E8"/>
          </w:tcPr>
          <w:p>
            <w:pPr>
              <w:jc w:val="right"/>
              <w:ind w:right="258"/>
              <w:spacing w:after="0"/>
              <w:rPr>
                <w:sz w:val="20"/>
                <w:szCs w:val="20"/>
                <w:color w:val="auto"/>
              </w:rPr>
            </w:pPr>
            <w:r>
              <w:rPr>
                <w:rFonts w:ascii="Arial" w:cs="Arial" w:eastAsia="Arial" w:hAnsi="Arial"/>
                <w:sz w:val="13"/>
                <w:szCs w:val="13"/>
                <w:color w:val="auto"/>
              </w:rPr>
              <w:t>87,981,744</w:t>
            </w:r>
          </w:p>
        </w:tc>
        <w:tc>
          <w:tcPr>
            <w:tcW w:w="200" w:type="dxa"/>
            <w:vAlign w:val="bottom"/>
            <w:tcBorders>
              <w:bottom w:val="single" w:sz="8" w:color="58585A"/>
            </w:tcBorders>
            <w:shd w:val="clear" w:color="auto" w:fill="E7E7E8"/>
          </w:tcPr>
          <w:p>
            <w:pPr>
              <w:spacing w:after="0"/>
              <w:rPr>
                <w:sz w:val="14"/>
                <w:szCs w:val="14"/>
                <w:color w:val="auto"/>
              </w:rPr>
            </w:pPr>
          </w:p>
        </w:tc>
        <w:tc>
          <w:tcPr>
            <w:tcW w:w="1960" w:type="dxa"/>
            <w:vAlign w:val="bottom"/>
            <w:tcBorders>
              <w:bottom w:val="single" w:sz="8" w:color="58585A"/>
            </w:tcBorders>
            <w:shd w:val="clear" w:color="auto" w:fill="E7E7E8"/>
          </w:tcPr>
          <w:p>
            <w:pPr>
              <w:jc w:val="right"/>
              <w:ind w:right="75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58585A"/>
            </w:tcBorders>
            <w:shd w:val="clear" w:color="auto" w:fill="E7E7E8"/>
          </w:tcPr>
          <w:p>
            <w:pPr>
              <w:jc w:val="right"/>
              <w:ind w:right="258"/>
              <w:spacing w:after="0"/>
              <w:rPr>
                <w:sz w:val="20"/>
                <w:szCs w:val="20"/>
                <w:color w:val="auto"/>
              </w:rPr>
            </w:pPr>
            <w:r>
              <w:rPr>
                <w:rFonts w:ascii="Arial" w:cs="Arial" w:eastAsia="Arial" w:hAnsi="Arial"/>
                <w:sz w:val="13"/>
                <w:szCs w:val="13"/>
                <w:color w:val="auto"/>
              </w:rPr>
              <w:t>—</w:t>
            </w:r>
          </w:p>
        </w:tc>
      </w:tr>
      <w:tr>
        <w:trPr>
          <w:trHeight w:val="162"/>
        </w:trPr>
        <w:tc>
          <w:tcPr>
            <w:tcW w:w="3960" w:type="dxa"/>
            <w:vAlign w:val="bottom"/>
            <w:tcBorders>
              <w:bottom w:val="single" w:sz="8" w:color="58585A"/>
            </w:tcBorders>
          </w:tcPr>
          <w:p>
            <w:pPr>
              <w:ind w:left="40"/>
              <w:spacing w:after="0"/>
              <w:rPr>
                <w:sz w:val="20"/>
                <w:szCs w:val="20"/>
                <w:color w:val="auto"/>
              </w:rPr>
            </w:pPr>
            <w:r>
              <w:rPr>
                <w:rFonts w:ascii="Arial" w:cs="Arial" w:eastAsia="Arial" w:hAnsi="Arial"/>
                <w:sz w:val="13"/>
                <w:szCs w:val="13"/>
                <w:b w:val="1"/>
                <w:bCs w:val="1"/>
                <w:color w:val="D61C5A"/>
              </w:rPr>
              <w:t>Robert E. Landry</w:t>
            </w:r>
          </w:p>
        </w:tc>
        <w:tc>
          <w:tcPr>
            <w:tcW w:w="1660" w:type="dxa"/>
            <w:vAlign w:val="bottom"/>
            <w:tcBorders>
              <w:bottom w:val="single" w:sz="8" w:color="58585A"/>
            </w:tcBorders>
          </w:tcPr>
          <w:p>
            <w:pPr>
              <w:jc w:val="right"/>
              <w:ind w:right="457"/>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gridSpan w:val="2"/>
          </w:tcPr>
          <w:p>
            <w:pPr>
              <w:jc w:val="right"/>
              <w:ind w:right="520"/>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58585A"/>
            </w:tcBorders>
          </w:tcPr>
          <w:p>
            <w:pPr>
              <w:jc w:val="right"/>
              <w:ind w:right="757"/>
              <w:spacing w:after="0"/>
              <w:rPr>
                <w:sz w:val="20"/>
                <w:szCs w:val="20"/>
                <w:color w:val="auto"/>
              </w:rPr>
            </w:pPr>
            <w:r>
              <w:rPr>
                <w:rFonts w:ascii="Arial" w:cs="Arial" w:eastAsia="Arial" w:hAnsi="Arial"/>
                <w:sz w:val="13"/>
                <w:szCs w:val="13"/>
                <w:color w:val="auto"/>
              </w:rPr>
              <w:t>5,000</w:t>
            </w:r>
          </w:p>
        </w:tc>
        <w:tc>
          <w:tcPr>
            <w:tcW w:w="1160" w:type="dxa"/>
            <w:vAlign w:val="bottom"/>
            <w:tcBorders>
              <w:bottom w:val="single" w:sz="8" w:color="58585A"/>
            </w:tcBorders>
          </w:tcPr>
          <w:p>
            <w:pPr>
              <w:jc w:val="right"/>
              <w:ind w:right="258"/>
              <w:spacing w:after="0"/>
              <w:rPr>
                <w:sz w:val="20"/>
                <w:szCs w:val="20"/>
                <w:color w:val="auto"/>
              </w:rPr>
            </w:pPr>
            <w:r>
              <w:rPr>
                <w:rFonts w:ascii="Arial" w:cs="Arial" w:eastAsia="Arial" w:hAnsi="Arial"/>
                <w:sz w:val="13"/>
                <w:szCs w:val="13"/>
                <w:color w:val="auto"/>
              </w:rPr>
              <w:t>1,976,450</w:t>
            </w:r>
          </w:p>
        </w:tc>
      </w:tr>
      <w:tr>
        <w:trPr>
          <w:trHeight w:val="162"/>
        </w:trPr>
        <w:tc>
          <w:tcPr>
            <w:tcW w:w="3960" w:type="dxa"/>
            <w:vAlign w:val="bottom"/>
            <w:tcBorders>
              <w:bottom w:val="single" w:sz="8" w:color="58585A"/>
            </w:tcBorders>
            <w:shd w:val="clear" w:color="auto" w:fill="E7E7E8"/>
          </w:tcPr>
          <w:p>
            <w:pPr>
              <w:ind w:left="40"/>
              <w:spacing w:after="0"/>
              <w:rPr>
                <w:sz w:val="20"/>
                <w:szCs w:val="20"/>
                <w:color w:val="auto"/>
              </w:rPr>
            </w:pPr>
            <w:r>
              <w:rPr>
                <w:rFonts w:ascii="Arial" w:cs="Arial" w:eastAsia="Arial" w:hAnsi="Arial"/>
                <w:sz w:val="13"/>
                <w:szCs w:val="13"/>
                <w:b w:val="1"/>
                <w:bCs w:val="1"/>
                <w:color w:val="D61C5A"/>
              </w:rPr>
              <w:t>Daniel P. Van Plew</w:t>
            </w:r>
          </w:p>
        </w:tc>
        <w:tc>
          <w:tcPr>
            <w:tcW w:w="1660" w:type="dxa"/>
            <w:vAlign w:val="bottom"/>
            <w:tcBorders>
              <w:bottom w:val="single" w:sz="8" w:color="58585A"/>
            </w:tcBorders>
            <w:shd w:val="clear" w:color="auto" w:fill="E7E7E8"/>
          </w:tcPr>
          <w:p>
            <w:pPr>
              <w:jc w:val="right"/>
              <w:ind w:right="457"/>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gridSpan w:val="2"/>
            <w:shd w:val="clear" w:color="auto" w:fill="E7E7E8"/>
          </w:tcPr>
          <w:p>
            <w:pPr>
              <w:jc w:val="right"/>
              <w:ind w:right="520"/>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58585A"/>
            </w:tcBorders>
            <w:shd w:val="clear" w:color="auto" w:fill="E7E7E8"/>
          </w:tcPr>
          <w:p>
            <w:pPr>
              <w:jc w:val="right"/>
              <w:ind w:right="75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58585A"/>
            </w:tcBorders>
            <w:shd w:val="clear" w:color="auto" w:fill="E7E7E8"/>
          </w:tcPr>
          <w:p>
            <w:pPr>
              <w:jc w:val="right"/>
              <w:ind w:right="258"/>
              <w:spacing w:after="0"/>
              <w:rPr>
                <w:sz w:val="20"/>
                <w:szCs w:val="20"/>
                <w:color w:val="auto"/>
              </w:rPr>
            </w:pPr>
            <w:r>
              <w:rPr>
                <w:rFonts w:ascii="Arial" w:cs="Arial" w:eastAsia="Arial" w:hAnsi="Arial"/>
                <w:sz w:val="13"/>
                <w:szCs w:val="13"/>
                <w:color w:val="auto"/>
              </w:rPr>
              <w:t>—</w:t>
            </w:r>
          </w:p>
        </w:tc>
      </w:tr>
      <w:tr>
        <w:trPr>
          <w:trHeight w:val="162"/>
        </w:trPr>
        <w:tc>
          <w:tcPr>
            <w:tcW w:w="3960" w:type="dxa"/>
            <w:vAlign w:val="bottom"/>
            <w:tcBorders>
              <w:bottom w:val="single" w:sz="8" w:color="205BA8"/>
            </w:tcBorders>
          </w:tcPr>
          <w:p>
            <w:pPr>
              <w:ind w:left="40"/>
              <w:spacing w:after="0"/>
              <w:rPr>
                <w:sz w:val="20"/>
                <w:szCs w:val="20"/>
                <w:color w:val="auto"/>
              </w:rPr>
            </w:pPr>
            <w:r>
              <w:rPr>
                <w:rFonts w:ascii="Arial" w:cs="Arial" w:eastAsia="Arial" w:hAnsi="Arial"/>
                <w:sz w:val="13"/>
                <w:szCs w:val="13"/>
                <w:b w:val="1"/>
                <w:bCs w:val="1"/>
                <w:color w:val="D61C5A"/>
              </w:rPr>
              <w:t>Marion McCourt</w:t>
            </w:r>
          </w:p>
        </w:tc>
        <w:tc>
          <w:tcPr>
            <w:tcW w:w="1660" w:type="dxa"/>
            <w:vAlign w:val="bottom"/>
            <w:tcBorders>
              <w:bottom w:val="single" w:sz="8" w:color="205BA8"/>
            </w:tcBorders>
          </w:tcPr>
          <w:p>
            <w:pPr>
              <w:jc w:val="right"/>
              <w:ind w:right="457"/>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205BA8"/>
            </w:tcBorders>
            <w:gridSpan w:val="2"/>
          </w:tcPr>
          <w:p>
            <w:pPr>
              <w:jc w:val="right"/>
              <w:ind w:right="520"/>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205BA8"/>
            </w:tcBorders>
          </w:tcPr>
          <w:p>
            <w:pPr>
              <w:jc w:val="right"/>
              <w:ind w:right="75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205BA8"/>
            </w:tcBorders>
          </w:tcPr>
          <w:p>
            <w:pPr>
              <w:jc w:val="right"/>
              <w:ind w:right="258"/>
              <w:spacing w:after="0"/>
              <w:rPr>
                <w:sz w:val="20"/>
                <w:szCs w:val="20"/>
                <w:color w:val="auto"/>
              </w:rPr>
            </w:pPr>
            <w:r>
              <w:rPr>
                <w:rFonts w:ascii="Arial" w:cs="Arial" w:eastAsia="Arial" w:hAnsi="Arial"/>
                <w:sz w:val="13"/>
                <w:szCs w:val="13"/>
                <w:color w:val="auto"/>
              </w:rPr>
              <w:t>—</w:t>
            </w:r>
          </w:p>
        </w:tc>
      </w:tr>
    </w:tbl>
    <w:p>
      <w:pPr>
        <w:spacing w:after="0" w:line="160" w:lineRule="exact"/>
        <w:rPr>
          <w:sz w:val="20"/>
          <w:szCs w:val="20"/>
          <w:color w:val="auto"/>
        </w:rPr>
      </w:pPr>
    </w:p>
    <w:p>
      <w:pPr>
        <w:ind w:left="203" w:right="100" w:hanging="203"/>
        <w:spacing w:after="0" w:line="239" w:lineRule="auto"/>
        <w:tabs>
          <w:tab w:leader="none" w:pos="203" w:val="left"/>
        </w:tabs>
        <w:numPr>
          <w:ilvl w:val="0"/>
          <w:numId w:val="114"/>
        </w:numPr>
        <w:rPr>
          <w:rFonts w:ascii="Arial" w:cs="Arial" w:eastAsia="Arial" w:hAnsi="Arial"/>
          <w:sz w:val="14"/>
          <w:szCs w:val="14"/>
          <w:b w:val="1"/>
          <w:bCs w:val="1"/>
          <w:color w:val="205BA8"/>
        </w:rPr>
      </w:pPr>
      <w:r>
        <w:rPr>
          <w:rFonts w:ascii="Arial" w:cs="Arial" w:eastAsia="Arial" w:hAnsi="Arial"/>
          <w:sz w:val="14"/>
          <w:szCs w:val="14"/>
          <w:color w:val="auto"/>
        </w:rPr>
        <w:t>Amounts reflect the difference between the exercise price of the option(s) and the average of the high and low sales price per share of the Company’s common stock on the NASDAQ Global Select Market on the exercise date(s).</w:t>
      </w:r>
    </w:p>
    <w:p>
      <w:pPr>
        <w:spacing w:after="0" w:line="43" w:lineRule="exact"/>
        <w:rPr>
          <w:sz w:val="20"/>
          <w:szCs w:val="20"/>
          <w:color w:val="auto"/>
        </w:rPr>
      </w:pPr>
    </w:p>
    <w:p>
      <w:pPr>
        <w:ind w:left="203" w:hanging="203"/>
        <w:spacing w:after="0"/>
        <w:tabs>
          <w:tab w:leader="none" w:pos="203" w:val="left"/>
        </w:tabs>
        <w:numPr>
          <w:ilvl w:val="0"/>
          <w:numId w:val="115"/>
        </w:numPr>
        <w:rPr>
          <w:rFonts w:ascii="Arial" w:cs="Arial" w:eastAsia="Arial" w:hAnsi="Arial"/>
          <w:sz w:val="14"/>
          <w:szCs w:val="14"/>
          <w:b w:val="1"/>
          <w:bCs w:val="1"/>
          <w:color w:val="205BA8"/>
        </w:rPr>
      </w:pPr>
      <w:r>
        <w:rPr>
          <w:rFonts w:ascii="Arial" w:cs="Arial" w:eastAsia="Arial" w:hAnsi="Arial"/>
          <w:sz w:val="14"/>
          <w:szCs w:val="14"/>
          <w:color w:val="auto"/>
        </w:rPr>
        <w:t>Amount reflects the average of the high and low sales price per share of the Company’s common stock on the NASDAQ Global Select Market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66001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sectPr>
      </w:pPr>
    </w:p>
    <w:p>
      <w:pPr>
        <w:spacing w:after="0" w:line="308" w:lineRule="exact"/>
        <w:rPr>
          <w:sz w:val="20"/>
          <w:szCs w:val="20"/>
          <w:color w:val="auto"/>
        </w:rPr>
      </w:pPr>
    </w:p>
    <w:p>
      <w:pPr>
        <w:ind w:left="3"/>
        <w:spacing w:after="0"/>
        <w:rPr>
          <w:sz w:val="20"/>
          <w:szCs w:val="20"/>
          <w:color w:val="auto"/>
        </w:rPr>
      </w:pPr>
      <w:r>
        <w:rPr>
          <w:rFonts w:ascii="Arial" w:cs="Arial" w:eastAsia="Arial" w:hAnsi="Arial"/>
          <w:sz w:val="26"/>
          <w:szCs w:val="26"/>
          <w:b w:val="1"/>
          <w:bCs w:val="1"/>
          <w:color w:val="D61C5A"/>
        </w:rPr>
        <w:t>POST-</w:t>
      </w:r>
    </w:p>
    <w:p>
      <w:pPr>
        <w:spacing w:after="0" w:line="32" w:lineRule="exact"/>
        <w:rPr>
          <w:sz w:val="20"/>
          <w:szCs w:val="20"/>
          <w:color w:val="auto"/>
        </w:rPr>
      </w:pPr>
    </w:p>
    <w:p>
      <w:pPr>
        <w:ind w:left="3"/>
        <w:spacing w:after="0"/>
        <w:rPr>
          <w:sz w:val="20"/>
          <w:szCs w:val="20"/>
          <w:color w:val="auto"/>
        </w:rPr>
      </w:pPr>
      <w:r>
        <w:rPr>
          <w:rFonts w:ascii="Arial" w:cs="Arial" w:eastAsia="Arial" w:hAnsi="Arial"/>
          <w:sz w:val="26"/>
          <w:szCs w:val="26"/>
          <w:b w:val="1"/>
          <w:bCs w:val="1"/>
          <w:color w:val="D61C5A"/>
        </w:rPr>
        <w:t>EMPLOYMENT</w:t>
      </w:r>
    </w:p>
    <w:p>
      <w:pPr>
        <w:ind w:left="3"/>
        <w:spacing w:after="0"/>
        <w:rPr>
          <w:sz w:val="20"/>
          <w:szCs w:val="20"/>
          <w:color w:val="auto"/>
        </w:rPr>
      </w:pPr>
      <w:r>
        <w:rPr>
          <w:rFonts w:ascii="Arial" w:cs="Arial" w:eastAsia="Arial" w:hAnsi="Arial"/>
          <w:sz w:val="25"/>
          <w:szCs w:val="25"/>
          <w:b w:val="1"/>
          <w:bCs w:val="1"/>
          <w:color w:val="D61C5A"/>
        </w:rPr>
        <w:t>COMPENSATION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
        <w:spacing w:after="0" w:line="220" w:lineRule="auto"/>
        <w:rPr>
          <w:sz w:val="20"/>
          <w:szCs w:val="20"/>
          <w:color w:val="auto"/>
        </w:rPr>
      </w:pPr>
      <w:r>
        <w:rPr>
          <w:rFonts w:ascii="Arial" w:cs="Arial" w:eastAsia="Arial" w:hAnsi="Arial"/>
          <w:sz w:val="15"/>
          <w:szCs w:val="15"/>
          <w:color w:val="auto"/>
        </w:rPr>
        <w:t>As discussed in “Compensation Dashboard — Additional Compensation Information — 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17" w:lineRule="exact"/>
        <w:rPr>
          <w:sz w:val="20"/>
          <w:szCs w:val="20"/>
          <w:color w:val="auto"/>
        </w:rPr>
      </w:pPr>
    </w:p>
    <w:p>
      <w:pPr>
        <w:sectPr>
          <w:pgSz w:w="11900" w:h="16838" w:orient="portrait"/>
          <w:cols w:equalWidth="0" w:num="2">
            <w:col w:w="2303" w:space="720"/>
            <w:col w:w="7380"/>
          </w:cols>
          <w:pgMar w:left="757" w:top="396" w:right="739" w:bottom="1440" w:gutter="0" w:footer="0" w:header="0"/>
          <w:type w:val="continuous"/>
        </w:sectPr>
      </w:pPr>
    </w:p>
    <w:p>
      <w:pPr>
        <w:ind w:left="3023"/>
        <w:spacing w:after="0"/>
        <w:rPr>
          <w:sz w:val="20"/>
          <w:szCs w:val="20"/>
          <w:color w:val="auto"/>
        </w:rPr>
      </w:pPr>
      <w:r>
        <w:rPr>
          <w:rFonts w:ascii="Arial" w:cs="Arial" w:eastAsia="Arial" w:hAnsi="Arial"/>
          <w:sz w:val="17"/>
          <w:szCs w:val="17"/>
          <w:b w:val="1"/>
          <w:bCs w:val="1"/>
          <w:color w:val="205BA8"/>
        </w:rPr>
        <w:t>Leonard S. Schleifer, M.D., Ph.D., Employment Agreement</w:t>
      </w:r>
    </w:p>
    <w:p>
      <w:pPr>
        <w:spacing w:after="0" w:line="176" w:lineRule="exact"/>
        <w:rPr>
          <w:sz w:val="20"/>
          <w:szCs w:val="20"/>
          <w:color w:val="auto"/>
        </w:rPr>
      </w:pPr>
    </w:p>
    <w:p>
      <w:pPr>
        <w:ind w:left="3023" w:right="80"/>
        <w:spacing w:after="0" w:line="218" w:lineRule="auto"/>
        <w:rPr>
          <w:sz w:val="20"/>
          <w:szCs w:val="20"/>
          <w:color w:val="auto"/>
        </w:rPr>
      </w:pPr>
      <w:r>
        <w:rPr>
          <w:rFonts w:ascii="Arial" w:cs="Arial" w:eastAsia="Arial" w:hAnsi="Arial"/>
          <w:sz w:val="15"/>
          <w:szCs w:val="15"/>
          <w:color w:val="auto"/>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138" w:lineRule="exact"/>
        <w:rPr>
          <w:sz w:val="20"/>
          <w:szCs w:val="20"/>
          <w:color w:val="auto"/>
        </w:rPr>
      </w:pPr>
    </w:p>
    <w:p>
      <w:pPr>
        <w:ind w:left="3023" w:right="180"/>
        <w:spacing w:after="0" w:line="237" w:lineRule="auto"/>
        <w:rPr>
          <w:sz w:val="20"/>
          <w:szCs w:val="20"/>
          <w:color w:val="auto"/>
        </w:rPr>
      </w:pPr>
      <w:r>
        <w:rPr>
          <w:rFonts w:ascii="Arial" w:cs="Arial" w:eastAsia="Arial" w:hAnsi="Arial"/>
          <w:sz w:val="14"/>
          <w:szCs w:val="14"/>
          <w:color w:val="auto"/>
        </w:rPr>
        <w:t>Upon an involuntary termination (</w:t>
      </w:r>
      <w:r>
        <w:rPr>
          <w:rFonts w:ascii="Arial" w:cs="Arial" w:eastAsia="Arial" w:hAnsi="Arial"/>
          <w:sz w:val="14"/>
          <w:szCs w:val="14"/>
          <w:i w:val="1"/>
          <w:iCs w:val="1"/>
          <w:color w:val="auto"/>
        </w:rPr>
        <w:t>i.e.</w:t>
      </w:r>
      <w:r>
        <w:rPr>
          <w:rFonts w:ascii="Arial" w:cs="Arial" w:eastAsia="Arial" w:hAnsi="Arial"/>
          <w:sz w:val="14"/>
          <w:szCs w:val="14"/>
          <w:color w:val="auto"/>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Dr. Schleifer’s outstanding stock options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205BA8"/>
        </w:rPr>
        <w:t xml:space="preserve">82  /  </w:t>
      </w:r>
      <w:r>
        <w:rPr>
          <w:sz w:val="1"/>
          <w:szCs w:val="1"/>
          <w:color w:val="auto"/>
        </w:rPr>
        <w:drawing>
          <wp:inline distT="0" distB="0" distL="0" distR="0">
            <wp:extent cx="717550" cy="8255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152400</wp:posOffset>
            </wp:positionV>
            <wp:extent cx="7251700" cy="330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3"/>
          </w:cols>
          <w:pgMar w:left="757" w:top="396" w:right="739" w:bottom="1440" w:gutter="0" w:footer="0" w:header="0"/>
          <w:type w:val="continuous"/>
        </w:sectPr>
      </w:pPr>
    </w:p>
    <w:bookmarkStart w:id="95" w:name="page96"/>
    <w:bookmarkEnd w:id="95"/>
    <w:p>
      <w:pPr>
        <w:jc w:val="right"/>
        <w:ind w:right="50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304" w:lineRule="exact"/>
        <w:rPr>
          <w:sz w:val="20"/>
          <w:szCs w:val="20"/>
          <w:color w:val="auto"/>
        </w:rPr>
      </w:pPr>
    </w:p>
    <w:p>
      <w:pPr>
        <w:ind w:left="3540" w:right="640"/>
        <w:spacing w:after="0" w:line="221" w:lineRule="auto"/>
        <w:rPr>
          <w:sz w:val="20"/>
          <w:szCs w:val="20"/>
          <w:color w:val="auto"/>
        </w:rPr>
      </w:pPr>
      <w:r>
        <w:rPr>
          <w:rFonts w:ascii="Arial" w:cs="Arial" w:eastAsia="Arial" w:hAnsi="Arial"/>
          <w:sz w:val="15"/>
          <w:szCs w:val="15"/>
          <w:color w:val="auto"/>
        </w:rPr>
        <w:t>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spacing w:after="0" w:line="138" w:lineRule="exact"/>
        <w:rPr>
          <w:sz w:val="20"/>
          <w:szCs w:val="20"/>
          <w:color w:val="auto"/>
        </w:rPr>
      </w:pPr>
    </w:p>
    <w:p>
      <w:pPr>
        <w:ind w:left="3540" w:right="520"/>
        <w:spacing w:after="0" w:line="223" w:lineRule="auto"/>
        <w:rPr>
          <w:sz w:val="20"/>
          <w:szCs w:val="20"/>
          <w:color w:val="auto"/>
        </w:rPr>
      </w:pPr>
      <w:r>
        <w:rPr>
          <w:rFonts w:ascii="Arial" w:cs="Arial" w:eastAsia="Arial" w:hAnsi="Arial"/>
          <w:sz w:val="15"/>
          <w:szCs w:val="15"/>
          <w:color w:val="auto"/>
        </w:rPr>
        <w:t>The following table reflects the potential payments to our CEO under his employment agreement assuming a termination effective December 31, 2018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D61C5A"/>
        </w:rPr>
        <w:t>Potential Severance Payments under Dr. Schleifer’s Employment Agreement</w:t>
      </w: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2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205BA8"/>
                <w:w w:val="98"/>
              </w:rPr>
              <w:t>Death</w:t>
            </w:r>
          </w:p>
        </w:tc>
        <w:tc>
          <w:tcPr>
            <w:tcW w:w="1060" w:type="dxa"/>
            <w:vAlign w:val="bottom"/>
          </w:tcPr>
          <w:p>
            <w:pPr>
              <w:spacing w:after="0"/>
              <w:rPr>
                <w:sz w:val="11"/>
                <w:szCs w:val="11"/>
                <w:color w:val="auto"/>
              </w:rPr>
            </w:pPr>
          </w:p>
        </w:tc>
        <w:tc>
          <w:tcPr>
            <w:tcW w:w="1080" w:type="dxa"/>
            <w:vAlign w:val="bottom"/>
          </w:tcPr>
          <w:p>
            <w:pPr>
              <w:jc w:val="center"/>
              <w:ind w:right="23"/>
              <w:spacing w:after="0"/>
              <w:rPr>
                <w:sz w:val="20"/>
                <w:szCs w:val="20"/>
                <w:color w:val="auto"/>
              </w:rPr>
            </w:pPr>
            <w:r>
              <w:rPr>
                <w:rFonts w:ascii="Arial" w:cs="Arial" w:eastAsia="Arial" w:hAnsi="Arial"/>
                <w:sz w:val="11"/>
                <w:szCs w:val="11"/>
                <w:b w:val="1"/>
                <w:bCs w:val="1"/>
                <w:color w:val="205BA8"/>
              </w:rPr>
              <w:t>Value of</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205BA8"/>
              </w:rPr>
              <w:t>Cutback/</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980" w:type="dxa"/>
            <w:vAlign w:val="bottom"/>
          </w:tcPr>
          <w:p>
            <w:pPr>
              <w:spacing w:after="0"/>
              <w:rPr>
                <w:sz w:val="8"/>
                <w:szCs w:val="8"/>
                <w:color w:val="auto"/>
              </w:rPr>
            </w:pPr>
          </w:p>
        </w:tc>
        <w:tc>
          <w:tcPr>
            <w:tcW w:w="126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205BA8"/>
              </w:rPr>
              <w:t>Cash</w:t>
            </w:r>
          </w:p>
        </w:tc>
        <w:tc>
          <w:tcPr>
            <w:tcW w:w="1100" w:type="dxa"/>
            <w:vAlign w:val="bottom"/>
            <w:vMerge w:val="restart"/>
          </w:tcPr>
          <w:p>
            <w:pPr>
              <w:jc w:val="right"/>
              <w:ind w:right="305"/>
              <w:spacing w:after="0"/>
              <w:rPr>
                <w:sz w:val="20"/>
                <w:szCs w:val="20"/>
                <w:color w:val="auto"/>
              </w:rPr>
            </w:pPr>
            <w:r>
              <w:rPr>
                <w:rFonts w:ascii="Arial" w:cs="Arial" w:eastAsia="Arial" w:hAnsi="Arial"/>
                <w:sz w:val="11"/>
                <w:szCs w:val="11"/>
                <w:b w:val="1"/>
                <w:bCs w:val="1"/>
                <w:color w:val="205BA8"/>
              </w:rPr>
              <w:t>Benefits</w:t>
            </w:r>
          </w:p>
        </w:tc>
        <w:tc>
          <w:tcPr>
            <w:tcW w:w="980" w:type="dxa"/>
            <w:vAlign w:val="bottom"/>
            <w:vMerge w:val="continue"/>
          </w:tcPr>
          <w:p>
            <w:pPr>
              <w:spacing w:after="0"/>
              <w:rPr>
                <w:sz w:val="8"/>
                <w:szCs w:val="8"/>
                <w:color w:val="auto"/>
              </w:rPr>
            </w:pPr>
          </w:p>
        </w:tc>
        <w:tc>
          <w:tcPr>
            <w:tcW w:w="1060" w:type="dxa"/>
            <w:vAlign w:val="bottom"/>
            <w:vMerge w:val="restart"/>
          </w:tcPr>
          <w:p>
            <w:pPr>
              <w:ind w:left="260"/>
              <w:spacing w:after="0"/>
              <w:rPr>
                <w:sz w:val="20"/>
                <w:szCs w:val="20"/>
                <w:color w:val="auto"/>
              </w:rPr>
            </w:pPr>
            <w:r>
              <w:rPr>
                <w:rFonts w:ascii="Arial" w:cs="Arial" w:eastAsia="Arial" w:hAnsi="Arial"/>
                <w:sz w:val="11"/>
                <w:szCs w:val="11"/>
                <w:b w:val="1"/>
                <w:bCs w:val="1"/>
                <w:color w:val="205BA8"/>
              </w:rPr>
              <w:t>Disability</w:t>
            </w:r>
          </w:p>
        </w:tc>
        <w:tc>
          <w:tcPr>
            <w:tcW w:w="108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205BA8"/>
              </w:rPr>
              <w:t>Accelerated</w:t>
            </w:r>
          </w:p>
        </w:tc>
        <w:tc>
          <w:tcPr>
            <w:tcW w:w="920" w:type="dxa"/>
            <w:vAlign w:val="bottom"/>
            <w:vMerge w:val="continue"/>
          </w:tcPr>
          <w:p>
            <w:pPr>
              <w:spacing w:after="0"/>
              <w:rPr>
                <w:sz w:val="8"/>
                <w:szCs w:val="8"/>
                <w:color w:val="auto"/>
              </w:rPr>
            </w:pPr>
          </w:p>
        </w:tc>
        <w:tc>
          <w:tcPr>
            <w:tcW w:w="102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205BA8"/>
              </w:rPr>
              <w:t>Total</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980" w:type="dxa"/>
            <w:vAlign w:val="bottom"/>
            <w:vMerge w:val="restart"/>
          </w:tcPr>
          <w:p>
            <w:pPr>
              <w:jc w:val="center"/>
              <w:ind w:right="19"/>
              <w:spacing w:after="0" w:line="175" w:lineRule="exact"/>
              <w:rPr>
                <w:sz w:val="20"/>
                <w:szCs w:val="20"/>
                <w:color w:val="auto"/>
              </w:rPr>
            </w:pPr>
            <w:r>
              <w:rPr>
                <w:rFonts w:ascii="Arial" w:cs="Arial" w:eastAsia="Arial" w:hAnsi="Arial"/>
                <w:sz w:val="11"/>
                <w:szCs w:val="11"/>
                <w:b w:val="1"/>
                <w:bCs w:val="1"/>
                <w:color w:val="205BA8"/>
                <w:w w:val="99"/>
              </w:rPr>
              <w:t>Benefits</w:t>
            </w:r>
            <w:r>
              <w:rPr>
                <w:rFonts w:ascii="Arial" w:cs="Arial" w:eastAsia="Arial" w:hAnsi="Arial"/>
                <w:sz w:val="18"/>
                <w:szCs w:val="18"/>
                <w:b w:val="1"/>
                <w:bCs w:val="1"/>
                <w:color w:val="205BA8"/>
                <w:w w:val="99"/>
                <w:vertAlign w:val="superscript"/>
              </w:rPr>
              <w:t>4</w:t>
            </w:r>
          </w:p>
        </w:tc>
        <w:tc>
          <w:tcPr>
            <w:tcW w:w="10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vMerge w:val="restart"/>
          </w:tcPr>
          <w:p>
            <w:pPr>
              <w:jc w:val="center"/>
              <w:spacing w:after="0" w:line="175" w:lineRule="exact"/>
              <w:rPr>
                <w:sz w:val="20"/>
                <w:szCs w:val="20"/>
                <w:color w:val="auto"/>
              </w:rPr>
            </w:pPr>
            <w:r>
              <w:rPr>
                <w:rFonts w:ascii="Arial" w:cs="Arial" w:eastAsia="Arial" w:hAnsi="Arial"/>
                <w:sz w:val="11"/>
                <w:szCs w:val="11"/>
                <w:b w:val="1"/>
                <w:bCs w:val="1"/>
                <w:color w:val="205BA8"/>
              </w:rPr>
              <w:t>Gross-up</w:t>
            </w:r>
            <w:r>
              <w:rPr>
                <w:rFonts w:ascii="Arial" w:cs="Arial" w:eastAsia="Arial" w:hAnsi="Arial"/>
                <w:sz w:val="18"/>
                <w:szCs w:val="18"/>
                <w:b w:val="1"/>
                <w:bCs w:val="1"/>
                <w:color w:val="205BA8"/>
                <w:vertAlign w:val="superscript"/>
              </w:rPr>
              <w:t>6</w:t>
            </w: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tcBorders>
              <w:bottom w:val="single" w:sz="8" w:color="205BA8"/>
            </w:tcBorders>
          </w:tcPr>
          <w:p>
            <w:pPr>
              <w:spacing w:after="0"/>
              <w:rPr>
                <w:sz w:val="12"/>
                <w:szCs w:val="12"/>
                <w:color w:val="auto"/>
              </w:rPr>
            </w:pPr>
          </w:p>
        </w:tc>
        <w:tc>
          <w:tcPr>
            <w:tcW w:w="1260" w:type="dxa"/>
            <w:vAlign w:val="bottom"/>
            <w:tcBorders>
              <w:bottom w:val="single" w:sz="8" w:color="205BA8"/>
            </w:tcBorders>
          </w:tcPr>
          <w:p>
            <w:pPr>
              <w:jc w:val="right"/>
              <w:ind w:right="223"/>
              <w:spacing w:after="0"/>
              <w:rPr>
                <w:sz w:val="20"/>
                <w:szCs w:val="20"/>
                <w:color w:val="auto"/>
              </w:rPr>
            </w:pPr>
            <w:r>
              <w:rPr>
                <w:rFonts w:ascii="Arial" w:cs="Arial" w:eastAsia="Arial" w:hAnsi="Arial"/>
                <w:sz w:val="11"/>
                <w:szCs w:val="11"/>
                <w:b w:val="1"/>
                <w:bCs w:val="1"/>
                <w:color w:val="205BA8"/>
              </w:rPr>
              <w:t>Severance</w:t>
            </w:r>
          </w:p>
        </w:tc>
        <w:tc>
          <w:tcPr>
            <w:tcW w:w="1100" w:type="dxa"/>
            <w:vAlign w:val="bottom"/>
            <w:tcBorders>
              <w:bottom w:val="single" w:sz="8" w:color="205BA8"/>
            </w:tcBorders>
          </w:tcPr>
          <w:p>
            <w:pPr>
              <w:jc w:val="right"/>
              <w:ind w:right="185"/>
              <w:spacing w:after="0"/>
              <w:rPr>
                <w:sz w:val="20"/>
                <w:szCs w:val="20"/>
                <w:color w:val="auto"/>
              </w:rPr>
            </w:pPr>
            <w:r>
              <w:rPr>
                <w:rFonts w:ascii="Arial" w:cs="Arial" w:eastAsia="Arial" w:hAnsi="Arial"/>
                <w:sz w:val="11"/>
                <w:szCs w:val="11"/>
                <w:b w:val="1"/>
                <w:bCs w:val="1"/>
                <w:color w:val="205BA8"/>
              </w:rPr>
              <w:t>Continuation</w:t>
            </w:r>
          </w:p>
        </w:tc>
        <w:tc>
          <w:tcPr>
            <w:tcW w:w="980" w:type="dxa"/>
            <w:vAlign w:val="bottom"/>
            <w:tcBorders>
              <w:bottom w:val="single" w:sz="8" w:color="205BA8"/>
            </w:tcBorders>
            <w:vMerge w:val="continue"/>
          </w:tcPr>
          <w:p>
            <w:pPr>
              <w:spacing w:after="0"/>
              <w:rPr>
                <w:sz w:val="12"/>
                <w:szCs w:val="12"/>
                <w:color w:val="auto"/>
              </w:rPr>
            </w:pPr>
          </w:p>
        </w:tc>
        <w:tc>
          <w:tcPr>
            <w:tcW w:w="1060" w:type="dxa"/>
            <w:vAlign w:val="bottom"/>
            <w:tcBorders>
              <w:bottom w:val="single" w:sz="8" w:color="205BA8"/>
            </w:tcBorders>
          </w:tcPr>
          <w:p>
            <w:pPr>
              <w:ind w:left="300"/>
              <w:spacing w:after="0"/>
              <w:rPr>
                <w:sz w:val="20"/>
                <w:szCs w:val="20"/>
                <w:color w:val="auto"/>
              </w:rPr>
            </w:pPr>
            <w:r>
              <w:rPr>
                <w:rFonts w:ascii="Arial" w:cs="Arial" w:eastAsia="Arial" w:hAnsi="Arial"/>
                <w:sz w:val="11"/>
                <w:szCs w:val="11"/>
                <w:b w:val="1"/>
                <w:bCs w:val="1"/>
                <w:color w:val="205BA8"/>
              </w:rPr>
              <w:t>Benefits</w:t>
            </w:r>
          </w:p>
        </w:tc>
        <w:tc>
          <w:tcPr>
            <w:tcW w:w="1080" w:type="dxa"/>
            <w:vAlign w:val="bottom"/>
            <w:tcBorders>
              <w:bottom w:val="single" w:sz="8" w:color="205BA8"/>
            </w:tcBorders>
          </w:tcPr>
          <w:p>
            <w:pPr>
              <w:jc w:val="center"/>
              <w:ind w:right="23"/>
              <w:spacing w:after="0"/>
              <w:rPr>
                <w:sz w:val="20"/>
                <w:szCs w:val="20"/>
                <w:color w:val="auto"/>
              </w:rPr>
            </w:pPr>
            <w:r>
              <w:rPr>
                <w:rFonts w:ascii="Arial" w:cs="Arial" w:eastAsia="Arial" w:hAnsi="Arial"/>
                <w:sz w:val="11"/>
                <w:szCs w:val="11"/>
                <w:b w:val="1"/>
                <w:bCs w:val="1"/>
                <w:color w:val="205BA8"/>
              </w:rPr>
              <w:t>Stock Options</w:t>
            </w:r>
          </w:p>
        </w:tc>
        <w:tc>
          <w:tcPr>
            <w:tcW w:w="920" w:type="dxa"/>
            <w:vAlign w:val="bottom"/>
            <w:tcBorders>
              <w:bottom w:val="single" w:sz="8" w:color="205BA8"/>
            </w:tcBorders>
            <w:vMerge w:val="continue"/>
          </w:tcPr>
          <w:p>
            <w:pPr>
              <w:spacing w:after="0"/>
              <w:rPr>
                <w:sz w:val="12"/>
                <w:szCs w:val="12"/>
                <w:color w:val="auto"/>
              </w:rPr>
            </w:pPr>
          </w:p>
        </w:tc>
        <w:tc>
          <w:tcPr>
            <w:tcW w:w="1020" w:type="dxa"/>
            <w:vAlign w:val="bottom"/>
            <w:tcBorders>
              <w:bottom w:val="single" w:sz="8" w:color="205BA8"/>
            </w:tcBorders>
          </w:tcPr>
          <w:p>
            <w:pPr>
              <w:jc w:val="right"/>
              <w:ind w:right="159"/>
              <w:spacing w:after="0"/>
              <w:rPr>
                <w:sz w:val="20"/>
                <w:szCs w:val="20"/>
                <w:color w:val="auto"/>
              </w:rPr>
            </w:pPr>
            <w:r>
              <w:rPr>
                <w:rFonts w:ascii="Arial" w:cs="Arial" w:eastAsia="Arial" w:hAnsi="Arial"/>
                <w:sz w:val="11"/>
                <w:szCs w:val="11"/>
                <w:b w:val="1"/>
                <w:bCs w:val="1"/>
                <w:color w:val="205BA8"/>
              </w:rPr>
              <w:t>Amount</w:t>
            </w:r>
          </w:p>
        </w:tc>
        <w:tc>
          <w:tcPr>
            <w:tcW w:w="0" w:type="dxa"/>
            <w:vAlign w:val="bottom"/>
          </w:tcPr>
          <w:p>
            <w:pPr>
              <w:spacing w:after="0"/>
              <w:rPr>
                <w:sz w:val="1"/>
                <w:szCs w:val="1"/>
                <w:color w:val="auto"/>
              </w:rPr>
            </w:pPr>
          </w:p>
        </w:tc>
      </w:tr>
      <w:tr>
        <w:trPr>
          <w:trHeight w:val="139"/>
        </w:trPr>
        <w:tc>
          <w:tcPr>
            <w:tcW w:w="2980" w:type="dxa"/>
            <w:vAlign w:val="bottom"/>
          </w:tcPr>
          <w:p>
            <w:pPr>
              <w:ind w:left="40"/>
              <w:spacing w:after="0" w:line="139" w:lineRule="exact"/>
              <w:rPr>
                <w:sz w:val="20"/>
                <w:szCs w:val="20"/>
                <w:color w:val="auto"/>
              </w:rPr>
            </w:pPr>
            <w:r>
              <w:rPr>
                <w:rFonts w:ascii="Arial" w:cs="Arial" w:eastAsia="Arial" w:hAnsi="Arial"/>
                <w:sz w:val="13"/>
                <w:szCs w:val="13"/>
                <w:color w:val="auto"/>
              </w:rPr>
              <w:t>Involuntary Termination Following a Change of</w:t>
            </w:r>
          </w:p>
        </w:tc>
        <w:tc>
          <w:tcPr>
            <w:tcW w:w="1260" w:type="dxa"/>
            <w:vAlign w:val="bottom"/>
          </w:tcPr>
          <w:p>
            <w:pPr>
              <w:jc w:val="right"/>
              <w:ind w:right="103"/>
              <w:spacing w:after="0" w:line="139" w:lineRule="exact"/>
              <w:rPr>
                <w:sz w:val="20"/>
                <w:szCs w:val="20"/>
                <w:color w:val="auto"/>
              </w:rPr>
            </w:pPr>
            <w:r>
              <w:rPr>
                <w:rFonts w:ascii="Arial" w:cs="Arial" w:eastAsia="Arial" w:hAnsi="Arial"/>
                <w:sz w:val="10"/>
                <w:szCs w:val="10"/>
                <w:color w:val="auto"/>
              </w:rPr>
              <w:t>$11,575,260</w:t>
            </w:r>
            <w:r>
              <w:rPr>
                <w:rFonts w:ascii="Arial" w:cs="Arial" w:eastAsia="Arial" w:hAnsi="Arial"/>
                <w:sz w:val="16"/>
                <w:szCs w:val="16"/>
                <w:color w:val="auto"/>
                <w:vertAlign w:val="superscript"/>
              </w:rPr>
              <w:t>2</w:t>
            </w:r>
          </w:p>
        </w:tc>
        <w:tc>
          <w:tcPr>
            <w:tcW w:w="1100" w:type="dxa"/>
            <w:vAlign w:val="bottom"/>
          </w:tcPr>
          <w:p>
            <w:pPr>
              <w:jc w:val="right"/>
              <w:ind w:right="165"/>
              <w:spacing w:after="0" w:line="139" w:lineRule="exact"/>
              <w:rPr>
                <w:sz w:val="20"/>
                <w:szCs w:val="20"/>
                <w:color w:val="auto"/>
              </w:rPr>
            </w:pPr>
            <w:r>
              <w:rPr>
                <w:rFonts w:ascii="Arial" w:cs="Arial" w:eastAsia="Arial" w:hAnsi="Arial"/>
                <w:sz w:val="10"/>
                <w:szCs w:val="10"/>
                <w:color w:val="auto"/>
              </w:rPr>
              <w:t>$259,510</w:t>
            </w:r>
            <w:r>
              <w:rPr>
                <w:rFonts w:ascii="Arial" w:cs="Arial" w:eastAsia="Arial" w:hAnsi="Arial"/>
                <w:sz w:val="16"/>
                <w:szCs w:val="16"/>
                <w:color w:val="auto"/>
                <w:vertAlign w:val="superscript"/>
              </w:rPr>
              <w:t>3</w:t>
            </w:r>
          </w:p>
        </w:tc>
        <w:tc>
          <w:tcPr>
            <w:tcW w:w="980" w:type="dxa"/>
            <w:vAlign w:val="bottom"/>
          </w:tcPr>
          <w:p>
            <w:pPr>
              <w:jc w:val="center"/>
              <w:ind w:right="19"/>
              <w:spacing w:after="0" w:line="139" w:lineRule="exact"/>
              <w:rPr>
                <w:sz w:val="20"/>
                <w:szCs w:val="20"/>
                <w:color w:val="auto"/>
              </w:rPr>
            </w:pPr>
            <w:r>
              <w:rPr>
                <w:rFonts w:ascii="Arial" w:cs="Arial" w:eastAsia="Arial" w:hAnsi="Arial"/>
                <w:sz w:val="13"/>
                <w:szCs w:val="13"/>
                <w:color w:val="auto"/>
              </w:rPr>
              <w:t>—</w:t>
            </w:r>
          </w:p>
        </w:tc>
        <w:tc>
          <w:tcPr>
            <w:tcW w:w="1060" w:type="dxa"/>
            <w:vAlign w:val="bottom"/>
          </w:tcPr>
          <w:p>
            <w:pPr>
              <w:ind w:left="700"/>
              <w:spacing w:after="0" w:line="139" w:lineRule="exact"/>
              <w:rPr>
                <w:sz w:val="20"/>
                <w:szCs w:val="20"/>
                <w:color w:val="auto"/>
              </w:rPr>
            </w:pPr>
            <w:r>
              <w:rPr>
                <w:rFonts w:ascii="Arial" w:cs="Arial" w:eastAsia="Arial" w:hAnsi="Arial"/>
                <w:sz w:val="13"/>
                <w:szCs w:val="13"/>
                <w:color w:val="auto"/>
              </w:rPr>
              <w:t>—</w:t>
            </w:r>
          </w:p>
        </w:tc>
        <w:tc>
          <w:tcPr>
            <w:tcW w:w="1080" w:type="dxa"/>
            <w:vAlign w:val="bottom"/>
          </w:tcPr>
          <w:p>
            <w:pPr>
              <w:ind w:left="480"/>
              <w:spacing w:after="0" w:line="139"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perscript"/>
              </w:rPr>
              <w:t>5</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auto"/>
                <w:w w:val="91"/>
              </w:rPr>
              <w:t>—</w:t>
            </w:r>
          </w:p>
        </w:tc>
        <w:tc>
          <w:tcPr>
            <w:tcW w:w="1020" w:type="dxa"/>
            <w:vAlign w:val="bottom"/>
          </w:tcPr>
          <w:p>
            <w:pPr>
              <w:jc w:val="right"/>
              <w:ind w:right="59"/>
              <w:spacing w:after="0" w:line="139" w:lineRule="exact"/>
              <w:rPr>
                <w:sz w:val="20"/>
                <w:szCs w:val="20"/>
                <w:color w:val="auto"/>
              </w:rPr>
            </w:pPr>
            <w:r>
              <w:rPr>
                <w:rFonts w:ascii="Arial" w:cs="Arial" w:eastAsia="Arial" w:hAnsi="Arial"/>
                <w:sz w:val="13"/>
                <w:szCs w:val="13"/>
                <w:color w:val="auto"/>
              </w:rPr>
              <w:t>$11,834,770</w:t>
            </w:r>
          </w:p>
        </w:tc>
        <w:tc>
          <w:tcPr>
            <w:tcW w:w="0" w:type="dxa"/>
            <w:vAlign w:val="bottom"/>
          </w:tcPr>
          <w:p>
            <w:pPr>
              <w:spacing w:after="0"/>
              <w:rPr>
                <w:sz w:val="1"/>
                <w:szCs w:val="1"/>
                <w:color w:val="auto"/>
              </w:rPr>
            </w:pPr>
          </w:p>
        </w:tc>
      </w:tr>
      <w:tr>
        <w:trPr>
          <w:trHeight w:val="173"/>
        </w:trPr>
        <w:tc>
          <w:tcPr>
            <w:tcW w:w="2980" w:type="dxa"/>
            <w:vAlign w:val="bottom"/>
            <w:tcBorders>
              <w:bottom w:val="single" w:sz="8" w:color="58585A"/>
            </w:tcBorders>
          </w:tcPr>
          <w:p>
            <w:pPr>
              <w:ind w:left="40"/>
              <w:spacing w:after="0" w:line="173" w:lineRule="exact"/>
              <w:rPr>
                <w:sz w:val="20"/>
                <w:szCs w:val="20"/>
                <w:color w:val="auto"/>
              </w:rPr>
            </w:pPr>
            <w:r>
              <w:rPr>
                <w:rFonts w:ascii="Arial" w:cs="Arial" w:eastAsia="Arial" w:hAnsi="Arial"/>
                <w:sz w:val="13"/>
                <w:szCs w:val="13"/>
                <w:color w:val="auto"/>
              </w:rPr>
              <w:t>Control</w:t>
            </w:r>
            <w:r>
              <w:rPr>
                <w:rFonts w:ascii="Arial" w:cs="Arial" w:eastAsia="Arial" w:hAnsi="Arial"/>
                <w:sz w:val="20"/>
                <w:szCs w:val="20"/>
                <w:color w:val="auto"/>
                <w:vertAlign w:val="superscript"/>
              </w:rPr>
              <w:t>1</w:t>
            </w:r>
          </w:p>
        </w:tc>
        <w:tc>
          <w:tcPr>
            <w:tcW w:w="1260" w:type="dxa"/>
            <w:vAlign w:val="bottom"/>
            <w:tcBorders>
              <w:bottom w:val="single" w:sz="8" w:color="58585A"/>
            </w:tcBorders>
          </w:tcPr>
          <w:p>
            <w:pPr>
              <w:spacing w:after="0"/>
              <w:rPr>
                <w:sz w:val="15"/>
                <w:szCs w:val="15"/>
                <w:color w:val="auto"/>
              </w:rPr>
            </w:pPr>
          </w:p>
        </w:tc>
        <w:tc>
          <w:tcPr>
            <w:tcW w:w="1100" w:type="dxa"/>
            <w:vAlign w:val="bottom"/>
            <w:tcBorders>
              <w:bottom w:val="single" w:sz="8" w:color="58585A"/>
            </w:tcBorders>
          </w:tcPr>
          <w:p>
            <w:pPr>
              <w:spacing w:after="0"/>
              <w:rPr>
                <w:sz w:val="15"/>
                <w:szCs w:val="15"/>
                <w:color w:val="auto"/>
              </w:rPr>
            </w:pPr>
          </w:p>
        </w:tc>
        <w:tc>
          <w:tcPr>
            <w:tcW w:w="980" w:type="dxa"/>
            <w:vAlign w:val="bottom"/>
            <w:tcBorders>
              <w:bottom w:val="single" w:sz="8" w:color="58585A"/>
            </w:tcBorders>
          </w:tcPr>
          <w:p>
            <w:pPr>
              <w:spacing w:after="0"/>
              <w:rPr>
                <w:sz w:val="15"/>
                <w:szCs w:val="15"/>
                <w:color w:val="auto"/>
              </w:rPr>
            </w:pPr>
          </w:p>
        </w:tc>
        <w:tc>
          <w:tcPr>
            <w:tcW w:w="1060" w:type="dxa"/>
            <w:vAlign w:val="bottom"/>
            <w:tcBorders>
              <w:bottom w:val="single" w:sz="8" w:color="58585A"/>
            </w:tcBorders>
          </w:tcPr>
          <w:p>
            <w:pPr>
              <w:spacing w:after="0"/>
              <w:rPr>
                <w:sz w:val="15"/>
                <w:szCs w:val="15"/>
                <w:color w:val="auto"/>
              </w:rPr>
            </w:pPr>
          </w:p>
        </w:tc>
        <w:tc>
          <w:tcPr>
            <w:tcW w:w="1080" w:type="dxa"/>
            <w:vAlign w:val="bottom"/>
            <w:tcBorders>
              <w:bottom w:val="single" w:sz="8" w:color="58585A"/>
            </w:tcBorders>
          </w:tcPr>
          <w:p>
            <w:pPr>
              <w:spacing w:after="0"/>
              <w:rPr>
                <w:sz w:val="15"/>
                <w:szCs w:val="15"/>
                <w:color w:val="auto"/>
              </w:rPr>
            </w:pPr>
          </w:p>
        </w:tc>
        <w:tc>
          <w:tcPr>
            <w:tcW w:w="920" w:type="dxa"/>
            <w:vAlign w:val="bottom"/>
            <w:tcBorders>
              <w:bottom w:val="single" w:sz="8" w:color="58585A"/>
            </w:tcBorders>
          </w:tcPr>
          <w:p>
            <w:pPr>
              <w:spacing w:after="0"/>
              <w:rPr>
                <w:sz w:val="15"/>
                <w:szCs w:val="15"/>
                <w:color w:val="auto"/>
              </w:rPr>
            </w:pPr>
          </w:p>
        </w:tc>
        <w:tc>
          <w:tcPr>
            <w:tcW w:w="1020" w:type="dxa"/>
            <w:vAlign w:val="bottom"/>
            <w:tcBorders>
              <w:bottom w:val="single" w:sz="8" w:color="58585A"/>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58585A"/>
            </w:tcBorders>
            <w:shd w:val="clear" w:color="auto" w:fill="E7E7E8"/>
          </w:tcPr>
          <w:p>
            <w:pPr>
              <w:ind w:left="40"/>
              <w:spacing w:after="0"/>
              <w:rPr>
                <w:sz w:val="20"/>
                <w:szCs w:val="20"/>
                <w:color w:val="auto"/>
              </w:rPr>
            </w:pPr>
            <w:r>
              <w:rPr>
                <w:rFonts w:ascii="Arial" w:cs="Arial" w:eastAsia="Arial" w:hAnsi="Arial"/>
                <w:sz w:val="13"/>
                <w:szCs w:val="13"/>
                <w:color w:val="auto"/>
              </w:rPr>
              <w:t>Involuntary Termination</w:t>
            </w:r>
          </w:p>
        </w:tc>
        <w:tc>
          <w:tcPr>
            <w:tcW w:w="1260" w:type="dxa"/>
            <w:vAlign w:val="bottom"/>
            <w:tcBorders>
              <w:bottom w:val="single" w:sz="8" w:color="58585A"/>
            </w:tcBorders>
            <w:shd w:val="clear" w:color="auto" w:fill="E7E7E8"/>
          </w:tcPr>
          <w:p>
            <w:pPr>
              <w:jc w:val="right"/>
              <w:ind w:right="103"/>
              <w:spacing w:after="0" w:line="149" w:lineRule="exact"/>
              <w:rPr>
                <w:sz w:val="20"/>
                <w:szCs w:val="20"/>
                <w:color w:val="auto"/>
              </w:rPr>
            </w:pPr>
            <w:r>
              <w:rPr>
                <w:rFonts w:ascii="Arial" w:cs="Arial" w:eastAsia="Arial" w:hAnsi="Arial"/>
                <w:sz w:val="11"/>
                <w:szCs w:val="11"/>
                <w:color w:val="auto"/>
              </w:rPr>
              <w:t>$4,823,025</w:t>
            </w:r>
            <w:r>
              <w:rPr>
                <w:rFonts w:ascii="Arial" w:cs="Arial" w:eastAsia="Arial" w:hAnsi="Arial"/>
                <w:sz w:val="17"/>
                <w:szCs w:val="17"/>
                <w:color w:val="auto"/>
                <w:vertAlign w:val="superscript"/>
              </w:rPr>
              <w:t>7</w:t>
            </w:r>
          </w:p>
        </w:tc>
        <w:tc>
          <w:tcPr>
            <w:tcW w:w="1100" w:type="dxa"/>
            <w:vAlign w:val="bottom"/>
            <w:tcBorders>
              <w:bottom w:val="single" w:sz="8" w:color="58585A"/>
            </w:tcBorders>
            <w:shd w:val="clear" w:color="auto" w:fill="E7E7E8"/>
          </w:tcPr>
          <w:p>
            <w:pPr>
              <w:jc w:val="right"/>
              <w:ind w:right="165"/>
              <w:spacing w:after="0" w:line="149" w:lineRule="exact"/>
              <w:rPr>
                <w:sz w:val="20"/>
                <w:szCs w:val="20"/>
                <w:color w:val="auto"/>
              </w:rPr>
            </w:pPr>
            <w:r>
              <w:rPr>
                <w:rFonts w:ascii="Arial" w:cs="Arial" w:eastAsia="Arial" w:hAnsi="Arial"/>
                <w:sz w:val="11"/>
                <w:szCs w:val="11"/>
                <w:color w:val="auto"/>
              </w:rPr>
              <w:t>$125,763</w:t>
            </w:r>
            <w:r>
              <w:rPr>
                <w:rFonts w:ascii="Arial" w:cs="Arial" w:eastAsia="Arial" w:hAnsi="Arial"/>
                <w:sz w:val="17"/>
                <w:szCs w:val="17"/>
                <w:color w:val="auto"/>
                <w:vertAlign w:val="superscript"/>
              </w:rPr>
              <w:t>8</w:t>
            </w:r>
          </w:p>
        </w:tc>
        <w:tc>
          <w:tcPr>
            <w:tcW w:w="980" w:type="dxa"/>
            <w:vAlign w:val="bottom"/>
            <w:tcBorders>
              <w:bottom w:val="single" w:sz="8" w:color="58585A"/>
            </w:tcBorders>
            <w:shd w:val="clear" w:color="auto" w:fill="E7E7E8"/>
          </w:tcPr>
          <w:p>
            <w:pPr>
              <w:jc w:val="center"/>
              <w:ind w:right="1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7E7E8"/>
          </w:tcPr>
          <w:p>
            <w:pPr>
              <w:ind w:left="70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7E7E8"/>
          </w:tcPr>
          <w:p>
            <w:pPr>
              <w:ind w:left="4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7E7E8"/>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58585A"/>
            </w:tcBorders>
            <w:shd w:val="clear" w:color="auto" w:fill="E7E7E8"/>
          </w:tcPr>
          <w:p>
            <w:pPr>
              <w:jc w:val="right"/>
              <w:ind w:right="59"/>
              <w:spacing w:after="0"/>
              <w:rPr>
                <w:sz w:val="20"/>
                <w:szCs w:val="20"/>
                <w:color w:val="auto"/>
              </w:rPr>
            </w:pPr>
            <w:r>
              <w:rPr>
                <w:rFonts w:ascii="Arial" w:cs="Arial" w:eastAsia="Arial" w:hAnsi="Arial"/>
                <w:sz w:val="13"/>
                <w:szCs w:val="13"/>
                <w:color w:val="auto"/>
              </w:rPr>
              <w:t>$4,948,788</w:t>
            </w:r>
          </w:p>
        </w:tc>
        <w:tc>
          <w:tcPr>
            <w:tcW w:w="0" w:type="dxa"/>
            <w:vAlign w:val="bottom"/>
          </w:tcPr>
          <w:p>
            <w:pPr>
              <w:spacing w:after="0"/>
              <w:rPr>
                <w:sz w:val="1"/>
                <w:szCs w:val="1"/>
                <w:color w:val="auto"/>
              </w:rPr>
            </w:pPr>
          </w:p>
        </w:tc>
      </w:tr>
      <w:tr>
        <w:trPr>
          <w:trHeight w:val="149"/>
        </w:trPr>
        <w:tc>
          <w:tcPr>
            <w:tcW w:w="2980" w:type="dxa"/>
            <w:vAlign w:val="bottom"/>
            <w:tcBorders>
              <w:bottom w:val="single" w:sz="8" w:color="205BA8"/>
            </w:tcBorders>
          </w:tcPr>
          <w:p>
            <w:pPr>
              <w:ind w:left="40"/>
              <w:spacing w:after="0"/>
              <w:rPr>
                <w:sz w:val="20"/>
                <w:szCs w:val="20"/>
                <w:color w:val="auto"/>
              </w:rPr>
            </w:pPr>
            <w:r>
              <w:rPr>
                <w:rFonts w:ascii="Arial" w:cs="Arial" w:eastAsia="Arial" w:hAnsi="Arial"/>
                <w:sz w:val="13"/>
                <w:szCs w:val="13"/>
                <w:color w:val="auto"/>
              </w:rPr>
              <w:t>Death</w:t>
            </w:r>
          </w:p>
        </w:tc>
        <w:tc>
          <w:tcPr>
            <w:tcW w:w="1260" w:type="dxa"/>
            <w:vAlign w:val="bottom"/>
            <w:tcBorders>
              <w:bottom w:val="single" w:sz="8" w:color="205BA8"/>
            </w:tcBorders>
          </w:tcPr>
          <w:p>
            <w:pPr>
              <w:jc w:val="right"/>
              <w:ind w:right="16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205BA8"/>
            </w:tcBorders>
          </w:tcPr>
          <w:p>
            <w:pPr>
              <w:jc w:val="right"/>
              <w:ind w:right="165"/>
              <w:spacing w:after="0" w:line="149" w:lineRule="exact"/>
              <w:rPr>
                <w:sz w:val="20"/>
                <w:szCs w:val="20"/>
                <w:color w:val="auto"/>
              </w:rPr>
            </w:pPr>
            <w:r>
              <w:rPr>
                <w:rFonts w:ascii="Arial" w:cs="Arial" w:eastAsia="Arial" w:hAnsi="Arial"/>
                <w:sz w:val="11"/>
                <w:szCs w:val="11"/>
                <w:color w:val="auto"/>
              </w:rPr>
              <w:t>$94,677</w:t>
            </w:r>
            <w:r>
              <w:rPr>
                <w:rFonts w:ascii="Arial" w:cs="Arial" w:eastAsia="Arial" w:hAnsi="Arial"/>
                <w:sz w:val="17"/>
                <w:szCs w:val="17"/>
                <w:color w:val="auto"/>
                <w:vertAlign w:val="superscript"/>
              </w:rPr>
              <w:t>8</w:t>
            </w:r>
          </w:p>
        </w:tc>
        <w:tc>
          <w:tcPr>
            <w:tcW w:w="980" w:type="dxa"/>
            <w:vAlign w:val="bottom"/>
            <w:tcBorders>
              <w:bottom w:val="single" w:sz="8" w:color="205BA8"/>
            </w:tcBorders>
          </w:tcPr>
          <w:p>
            <w:pPr>
              <w:jc w:val="center"/>
              <w:ind w:right="1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205BA8"/>
            </w:tcBorders>
          </w:tcPr>
          <w:p>
            <w:pPr>
              <w:ind w:left="70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05BA8"/>
            </w:tcBorders>
          </w:tcPr>
          <w:p>
            <w:pPr>
              <w:ind w:left="480"/>
              <w:spacing w:after="0" w:line="149"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perscript"/>
              </w:rPr>
              <w:t>9</w:t>
            </w:r>
          </w:p>
        </w:tc>
        <w:tc>
          <w:tcPr>
            <w:tcW w:w="92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205BA8"/>
            </w:tcBorders>
          </w:tcPr>
          <w:p>
            <w:pPr>
              <w:jc w:val="right"/>
              <w:ind w:right="59"/>
              <w:spacing w:after="0"/>
              <w:rPr>
                <w:sz w:val="20"/>
                <w:szCs w:val="20"/>
                <w:color w:val="auto"/>
              </w:rPr>
            </w:pPr>
            <w:r>
              <w:rPr>
                <w:rFonts w:ascii="Arial" w:cs="Arial" w:eastAsia="Arial" w:hAnsi="Arial"/>
                <w:sz w:val="13"/>
                <w:szCs w:val="13"/>
                <w:color w:val="auto"/>
              </w:rPr>
              <w:t>$94,677</w:t>
            </w:r>
          </w:p>
        </w:tc>
        <w:tc>
          <w:tcPr>
            <w:tcW w:w="0" w:type="dxa"/>
            <w:vAlign w:val="bottom"/>
          </w:tcPr>
          <w:p>
            <w:pPr>
              <w:spacing w:after="0"/>
              <w:rPr>
                <w:sz w:val="1"/>
                <w:szCs w:val="1"/>
                <w:color w:val="auto"/>
              </w:rPr>
            </w:pPr>
          </w:p>
        </w:tc>
      </w:tr>
      <w:tr>
        <w:trPr>
          <w:trHeight w:val="149"/>
        </w:trPr>
        <w:tc>
          <w:tcPr>
            <w:tcW w:w="2980" w:type="dxa"/>
            <w:vAlign w:val="bottom"/>
            <w:tcBorders>
              <w:bottom w:val="single" w:sz="8" w:color="205BA8"/>
            </w:tcBorders>
            <w:shd w:val="clear" w:color="auto" w:fill="E7E7E8"/>
          </w:tcPr>
          <w:p>
            <w:pPr>
              <w:ind w:left="40"/>
              <w:spacing w:after="0"/>
              <w:rPr>
                <w:sz w:val="20"/>
                <w:szCs w:val="20"/>
                <w:color w:val="auto"/>
              </w:rPr>
            </w:pPr>
            <w:r>
              <w:rPr>
                <w:rFonts w:ascii="Arial" w:cs="Arial" w:eastAsia="Arial" w:hAnsi="Arial"/>
                <w:sz w:val="13"/>
                <w:szCs w:val="13"/>
                <w:color w:val="auto"/>
              </w:rPr>
              <w:t>Disability</w:t>
            </w:r>
          </w:p>
        </w:tc>
        <w:tc>
          <w:tcPr>
            <w:tcW w:w="1260" w:type="dxa"/>
            <w:vAlign w:val="bottom"/>
            <w:tcBorders>
              <w:bottom w:val="single" w:sz="8" w:color="205BA8"/>
            </w:tcBorders>
            <w:shd w:val="clear" w:color="auto" w:fill="E7E7E8"/>
          </w:tcPr>
          <w:p>
            <w:pPr>
              <w:jc w:val="right"/>
              <w:ind w:right="16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205BA8"/>
            </w:tcBorders>
            <w:shd w:val="clear" w:color="auto" w:fill="E7E7E8"/>
          </w:tcPr>
          <w:p>
            <w:pPr>
              <w:jc w:val="right"/>
              <w:ind w:right="165"/>
              <w:spacing w:after="0" w:line="149" w:lineRule="exact"/>
              <w:rPr>
                <w:sz w:val="20"/>
                <w:szCs w:val="20"/>
                <w:color w:val="auto"/>
              </w:rPr>
            </w:pPr>
            <w:r>
              <w:rPr>
                <w:rFonts w:ascii="Arial" w:cs="Arial" w:eastAsia="Arial" w:hAnsi="Arial"/>
                <w:sz w:val="11"/>
                <w:szCs w:val="11"/>
                <w:color w:val="auto"/>
              </w:rPr>
              <w:t>$125,763</w:t>
            </w:r>
            <w:r>
              <w:rPr>
                <w:rFonts w:ascii="Arial" w:cs="Arial" w:eastAsia="Arial" w:hAnsi="Arial"/>
                <w:sz w:val="17"/>
                <w:szCs w:val="17"/>
                <w:color w:val="auto"/>
                <w:vertAlign w:val="superscript"/>
              </w:rPr>
              <w:t>8</w:t>
            </w:r>
          </w:p>
        </w:tc>
        <w:tc>
          <w:tcPr>
            <w:tcW w:w="980" w:type="dxa"/>
            <w:vAlign w:val="bottom"/>
            <w:tcBorders>
              <w:bottom w:val="single" w:sz="8" w:color="205BA8"/>
            </w:tcBorders>
            <w:shd w:val="clear" w:color="auto" w:fill="E7E7E8"/>
          </w:tcPr>
          <w:p>
            <w:pPr>
              <w:jc w:val="center"/>
              <w:ind w:right="1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205BA8"/>
            </w:tcBorders>
            <w:shd w:val="clear" w:color="auto" w:fill="E7E7E8"/>
          </w:tcPr>
          <w:p>
            <w:pPr>
              <w:ind w:left="300"/>
              <w:spacing w:after="0" w:line="149" w:lineRule="exact"/>
              <w:rPr>
                <w:sz w:val="20"/>
                <w:szCs w:val="20"/>
                <w:color w:val="auto"/>
              </w:rPr>
            </w:pPr>
            <w:r>
              <w:rPr>
                <w:rFonts w:ascii="Arial" w:cs="Arial" w:eastAsia="Arial" w:hAnsi="Arial"/>
                <w:sz w:val="11"/>
                <w:szCs w:val="11"/>
                <w:color w:val="auto"/>
              </w:rPr>
              <w:t>$698,513</w:t>
            </w:r>
            <w:r>
              <w:rPr>
                <w:rFonts w:ascii="Arial" w:cs="Arial" w:eastAsia="Arial" w:hAnsi="Arial"/>
                <w:sz w:val="17"/>
                <w:szCs w:val="17"/>
                <w:color w:val="auto"/>
                <w:vertAlign w:val="superscript"/>
              </w:rPr>
              <w:t>10</w:t>
            </w:r>
          </w:p>
        </w:tc>
        <w:tc>
          <w:tcPr>
            <w:tcW w:w="1080" w:type="dxa"/>
            <w:vAlign w:val="bottom"/>
            <w:tcBorders>
              <w:bottom w:val="single" w:sz="8" w:color="205BA8"/>
            </w:tcBorders>
            <w:shd w:val="clear" w:color="auto" w:fill="E7E7E8"/>
          </w:tcPr>
          <w:p>
            <w:pPr>
              <w:ind w:left="4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205BA8"/>
            </w:tcBorders>
            <w:shd w:val="clear" w:color="auto" w:fill="E7E7E8"/>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205BA8"/>
            </w:tcBorders>
            <w:shd w:val="clear" w:color="auto" w:fill="E7E7E8"/>
          </w:tcPr>
          <w:p>
            <w:pPr>
              <w:jc w:val="right"/>
              <w:ind w:right="59"/>
              <w:spacing w:after="0"/>
              <w:rPr>
                <w:sz w:val="20"/>
                <w:szCs w:val="20"/>
                <w:color w:val="auto"/>
              </w:rPr>
            </w:pPr>
            <w:r>
              <w:rPr>
                <w:rFonts w:ascii="Arial" w:cs="Arial" w:eastAsia="Arial" w:hAnsi="Arial"/>
                <w:sz w:val="13"/>
                <w:szCs w:val="13"/>
                <w:color w:val="auto"/>
              </w:rPr>
              <w:t>$824,276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580" w:hanging="203"/>
        <w:spacing w:after="0" w:line="233" w:lineRule="auto"/>
        <w:tabs>
          <w:tab w:leader="none" w:pos="720" w:val="left"/>
        </w:tabs>
        <w:numPr>
          <w:ilvl w:val="0"/>
          <w:numId w:val="116"/>
        </w:numPr>
        <w:rPr>
          <w:rFonts w:ascii="Arial" w:cs="Arial" w:eastAsia="Arial" w:hAnsi="Arial"/>
          <w:sz w:val="14"/>
          <w:szCs w:val="14"/>
          <w:b w:val="1"/>
          <w:bCs w:val="1"/>
          <w:color w:val="205BA8"/>
        </w:rPr>
      </w:pPr>
      <w:r>
        <w:rPr>
          <w:rFonts w:ascii="Arial" w:cs="Arial" w:eastAsia="Arial" w:hAnsi="Arial"/>
          <w:sz w:val="14"/>
          <w:szCs w:val="14"/>
          <w:color w:val="auto"/>
        </w:rPr>
        <w:t>For purposes of these calculations, (i) we used Dr. Schleifer’s 2018 base salary and the annual cash incentives paid to Dr. Schleifer for performance in 2015, 2016, and 2017, respectively; (ii) we assumed that Dr. Schleifer received his annual cash incentive that was earned in 2018 and paid in 2019 (described in the Summary Compensation Table above);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 6.5% annual increase in medical premiums, 3% annual increase in dental premiums, and no increase in annual disability or life insurance premiums; (v) we assumed that the medical and dental insurance benefits received in 2019, 2020, and 2021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48" w:lineRule="exact"/>
        <w:rPr>
          <w:sz w:val="20"/>
          <w:szCs w:val="20"/>
          <w:color w:val="auto"/>
        </w:rPr>
      </w:pPr>
    </w:p>
    <w:p>
      <w:pPr>
        <w:ind w:left="720" w:right="820" w:hanging="203"/>
        <w:spacing w:after="0" w:line="237" w:lineRule="auto"/>
        <w:tabs>
          <w:tab w:leader="none" w:pos="720" w:val="left"/>
        </w:tabs>
        <w:numPr>
          <w:ilvl w:val="0"/>
          <w:numId w:val="117"/>
        </w:numPr>
        <w:rPr>
          <w:rFonts w:ascii="Arial" w:cs="Arial" w:eastAsia="Arial" w:hAnsi="Arial"/>
          <w:sz w:val="14"/>
          <w:szCs w:val="14"/>
          <w:b w:val="1"/>
          <w:bCs w:val="1"/>
          <w:color w:val="205BA8"/>
        </w:rPr>
      </w:pPr>
      <w:r>
        <w:rPr>
          <w:rFonts w:ascii="Arial" w:cs="Arial" w:eastAsia="Arial" w:hAnsi="Arial"/>
          <w:sz w:val="14"/>
          <w:szCs w:val="14"/>
          <w:color w:val="auto"/>
        </w:rPr>
        <w:t>Equal to three times the sum of (a) Dr. Schleifer’s 2018 base salary and (b) the average annual cash incentive paid to Dr. Schleifer for performance in the three completed years prior to the termination date. For purposes of this calculation, we used Dr. Schleifer’s annual cash incentives for performance in 2015, 2016, and 2017.</w:t>
      </w:r>
    </w:p>
    <w:p>
      <w:pPr>
        <w:spacing w:after="0" w:line="43" w:lineRule="exact"/>
        <w:rPr>
          <w:sz w:val="20"/>
          <w:szCs w:val="20"/>
          <w:color w:val="auto"/>
        </w:rPr>
      </w:pPr>
    </w:p>
    <w:p>
      <w:pPr>
        <w:ind w:left="720" w:hanging="203"/>
        <w:spacing w:after="0"/>
        <w:tabs>
          <w:tab w:leader="none" w:pos="720" w:val="left"/>
        </w:tabs>
        <w:numPr>
          <w:ilvl w:val="0"/>
          <w:numId w:val="118"/>
        </w:numPr>
        <w:rPr>
          <w:rFonts w:ascii="Arial" w:cs="Arial" w:eastAsia="Arial" w:hAnsi="Arial"/>
          <w:sz w:val="14"/>
          <w:szCs w:val="14"/>
          <w:b w:val="1"/>
          <w:bCs w:val="1"/>
          <w:color w:val="205BA8"/>
        </w:rPr>
      </w:pPr>
      <w:r>
        <w:rPr>
          <w:rFonts w:ascii="Arial" w:cs="Arial" w:eastAsia="Arial" w:hAnsi="Arial"/>
          <w:sz w:val="14"/>
          <w:szCs w:val="14"/>
          <w:color w:val="auto"/>
        </w:rPr>
        <w:t>Equal to the estimated cost of providing Dr. Schleifer and his dependents medical, dental, and life insurance benefits for 36 months.</w:t>
      </w:r>
    </w:p>
    <w:p>
      <w:pPr>
        <w:spacing w:after="0" w:line="30" w:lineRule="exact"/>
        <w:rPr>
          <w:rFonts w:ascii="Arial" w:cs="Arial" w:eastAsia="Arial" w:hAnsi="Arial"/>
          <w:sz w:val="14"/>
          <w:szCs w:val="14"/>
          <w:b w:val="1"/>
          <w:bCs w:val="1"/>
          <w:color w:val="205BA8"/>
        </w:rPr>
      </w:pPr>
    </w:p>
    <w:p>
      <w:pPr>
        <w:ind w:left="520"/>
        <w:spacing w:after="0"/>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4  </w:t>
      </w:r>
      <w:r>
        <w:rPr>
          <w:rFonts w:ascii="Arial" w:cs="Arial" w:eastAsia="Arial" w:hAnsi="Arial"/>
          <w:sz w:val="14"/>
          <w:szCs w:val="14"/>
          <w:color w:val="000000"/>
        </w:rPr>
        <w:t>We maintain $1 million of term life insurance covering Dr. Schleifer payable to his designated beneficiary.</w:t>
      </w:r>
    </w:p>
    <w:p>
      <w:pPr>
        <w:spacing w:after="0" w:line="63" w:lineRule="exact"/>
        <w:rPr>
          <w:sz w:val="20"/>
          <w:szCs w:val="20"/>
          <w:color w:val="auto"/>
        </w:rPr>
      </w:pPr>
    </w:p>
    <w:p>
      <w:pPr>
        <w:ind w:left="720" w:right="680" w:hanging="203"/>
        <w:spacing w:after="0" w:line="237" w:lineRule="auto"/>
        <w:tabs>
          <w:tab w:leader="none" w:pos="720" w:val="left"/>
        </w:tabs>
        <w:numPr>
          <w:ilvl w:val="0"/>
          <w:numId w:val="119"/>
        </w:numPr>
        <w:rPr>
          <w:rFonts w:ascii="Arial" w:cs="Arial" w:eastAsia="Arial" w:hAnsi="Arial"/>
          <w:sz w:val="14"/>
          <w:szCs w:val="14"/>
          <w:b w:val="1"/>
          <w:bCs w:val="1"/>
          <w:color w:val="205BA8"/>
        </w:rPr>
      </w:pPr>
      <w:r>
        <w:rPr>
          <w:rFonts w:ascii="Arial" w:cs="Arial" w:eastAsia="Arial" w:hAnsi="Arial"/>
          <w:sz w:val="14"/>
          <w:szCs w:val="14"/>
          <w:color w:val="auto"/>
        </w:rPr>
        <w:t>No amount is included for the value of accelerated stock options as all unvested options held by Dr. Schleifer as of December 31, 2018 had an exercise price that exceeded the closing sales price per share of the Company’s common stock on the NASDAQ Global Select Market on December 31, 2018, the last business day of 2018, of $373.50.</w:t>
      </w:r>
    </w:p>
    <w:p>
      <w:pPr>
        <w:spacing w:after="0" w:line="43" w:lineRule="exact"/>
        <w:rPr>
          <w:sz w:val="20"/>
          <w:szCs w:val="20"/>
          <w:color w:val="auto"/>
        </w:rPr>
      </w:pPr>
    </w:p>
    <w:p>
      <w:pPr>
        <w:ind w:left="720" w:right="540" w:hanging="203"/>
        <w:spacing w:after="0" w:line="235" w:lineRule="auto"/>
        <w:tabs>
          <w:tab w:leader="none" w:pos="720" w:val="left"/>
        </w:tabs>
        <w:numPr>
          <w:ilvl w:val="0"/>
          <w:numId w:val="120"/>
        </w:numPr>
        <w:rPr>
          <w:rFonts w:ascii="Arial" w:cs="Arial" w:eastAsia="Arial" w:hAnsi="Arial"/>
          <w:sz w:val="14"/>
          <w:szCs w:val="14"/>
          <w:b w:val="1"/>
          <w:bCs w:val="1"/>
          <w:color w:val="205BA8"/>
        </w:rPr>
      </w:pPr>
      <w:r>
        <w:rPr>
          <w:rFonts w:ascii="Arial" w:cs="Arial" w:eastAsia="Arial" w:hAnsi="Arial"/>
          <w:sz w:val="14"/>
          <w:szCs w:val="14"/>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be subject to excise taxes if he had been terminated on December 31, 2018 as a result of a change of control.</w:t>
      </w:r>
    </w:p>
    <w:p>
      <w:pPr>
        <w:spacing w:after="0" w:line="45" w:lineRule="exact"/>
        <w:rPr>
          <w:sz w:val="20"/>
          <w:szCs w:val="20"/>
          <w:color w:val="auto"/>
        </w:rPr>
      </w:pPr>
    </w:p>
    <w:p>
      <w:pPr>
        <w:ind w:left="720" w:right="540" w:hanging="203"/>
        <w:spacing w:after="0" w:line="237" w:lineRule="auto"/>
        <w:tabs>
          <w:tab w:leader="none" w:pos="720" w:val="left"/>
        </w:tabs>
        <w:numPr>
          <w:ilvl w:val="0"/>
          <w:numId w:val="121"/>
        </w:numPr>
        <w:rPr>
          <w:rFonts w:ascii="Arial" w:cs="Arial" w:eastAsia="Arial" w:hAnsi="Arial"/>
          <w:sz w:val="14"/>
          <w:szCs w:val="14"/>
          <w:b w:val="1"/>
          <w:bCs w:val="1"/>
          <w:color w:val="205BA8"/>
        </w:rPr>
      </w:pPr>
      <w:r>
        <w:rPr>
          <w:rFonts w:ascii="Arial" w:cs="Arial" w:eastAsia="Arial" w:hAnsi="Arial"/>
          <w:sz w:val="14"/>
          <w:szCs w:val="14"/>
          <w:color w:val="auto"/>
        </w:rPr>
        <w:t>Equal to 1.25 times the sum of (a) Dr. Schleifer’s 2018 base salary and (b) the average annual cash incentive paid to Dr. Schleifer for performance in the three completed years prior to the termination date. For purposes of this calculation, we used Dr. Schleifer’s year-end cash incentive awards for performance in 2015, 2016, and 2017.</w:t>
      </w:r>
    </w:p>
    <w:p>
      <w:pPr>
        <w:spacing w:after="0" w:line="43" w:lineRule="exact"/>
        <w:rPr>
          <w:sz w:val="20"/>
          <w:szCs w:val="20"/>
          <w:color w:val="auto"/>
        </w:rPr>
      </w:pPr>
    </w:p>
    <w:p>
      <w:pPr>
        <w:ind w:left="720" w:hanging="203"/>
        <w:spacing w:after="0"/>
        <w:tabs>
          <w:tab w:leader="none" w:pos="720" w:val="left"/>
        </w:tabs>
        <w:numPr>
          <w:ilvl w:val="0"/>
          <w:numId w:val="122"/>
        </w:numPr>
        <w:rPr>
          <w:rFonts w:ascii="Arial" w:cs="Arial" w:eastAsia="Arial" w:hAnsi="Arial"/>
          <w:sz w:val="14"/>
          <w:szCs w:val="14"/>
          <w:b w:val="1"/>
          <w:bCs w:val="1"/>
          <w:color w:val="205BA8"/>
        </w:rPr>
      </w:pPr>
      <w:r>
        <w:rPr>
          <w:rFonts w:ascii="Arial" w:cs="Arial" w:eastAsia="Arial" w:hAnsi="Arial"/>
          <w:sz w:val="14"/>
          <w:szCs w:val="14"/>
          <w:color w:val="auto"/>
        </w:rPr>
        <w:t>Equal to the estimated cost of providing Dr. Schleifer and his dependents medical, dental, and life insurance benefits for 18 months.</w:t>
      </w:r>
    </w:p>
    <w:p>
      <w:pPr>
        <w:spacing w:after="0" w:line="47" w:lineRule="exact"/>
        <w:rPr>
          <w:sz w:val="20"/>
          <w:szCs w:val="20"/>
          <w:color w:val="auto"/>
        </w:rPr>
      </w:pPr>
    </w:p>
    <w:p>
      <w:pPr>
        <w:ind w:left="720" w:right="520" w:hanging="203"/>
        <w:spacing w:after="0" w:line="239" w:lineRule="auto"/>
        <w:tabs>
          <w:tab w:leader="none" w:pos="720" w:val="left"/>
        </w:tabs>
        <w:numPr>
          <w:ilvl w:val="0"/>
          <w:numId w:val="123"/>
        </w:numPr>
        <w:rPr>
          <w:rFonts w:ascii="Arial" w:cs="Arial" w:eastAsia="Arial" w:hAnsi="Arial"/>
          <w:sz w:val="14"/>
          <w:szCs w:val="14"/>
          <w:b w:val="1"/>
          <w:bCs w:val="1"/>
          <w:color w:val="205BA8"/>
        </w:rPr>
      </w:pPr>
      <w:r>
        <w:rPr>
          <w:rFonts w:ascii="Arial" w:cs="Arial" w:eastAsia="Arial" w:hAnsi="Arial"/>
          <w:sz w:val="14"/>
          <w:szCs w:val="14"/>
          <w:color w:val="auto"/>
        </w:rPr>
        <w:t>As discussed in “Compensation Dashboard — Additional Compensation Information — Potential Severance Payments,” unvested stock options held by any employee (including Dr. Schleifer) become immediately exercisable upon his or her death.</w:t>
      </w:r>
    </w:p>
    <w:p>
      <w:pPr>
        <w:spacing w:after="0" w:line="43" w:lineRule="exact"/>
        <w:rPr>
          <w:sz w:val="20"/>
          <w:szCs w:val="20"/>
          <w:color w:val="auto"/>
        </w:rPr>
      </w:pPr>
    </w:p>
    <w:p>
      <w:pPr>
        <w:ind w:left="720" w:right="1140" w:hanging="203"/>
        <w:spacing w:after="0" w:line="239" w:lineRule="auto"/>
        <w:tabs>
          <w:tab w:leader="none" w:pos="720" w:val="left"/>
        </w:tabs>
        <w:numPr>
          <w:ilvl w:val="0"/>
          <w:numId w:val="124"/>
        </w:numPr>
        <w:rPr>
          <w:rFonts w:ascii="Arial" w:cs="Arial" w:eastAsia="Arial" w:hAnsi="Arial"/>
          <w:sz w:val="14"/>
          <w:szCs w:val="14"/>
          <w:b w:val="1"/>
          <w:bCs w:val="1"/>
          <w:color w:val="205BA8"/>
        </w:rPr>
      </w:pPr>
      <w:r>
        <w:rPr>
          <w:rFonts w:ascii="Arial" w:cs="Arial" w:eastAsia="Arial" w:hAnsi="Arial"/>
          <w:sz w:val="14"/>
          <w:szCs w:val="14"/>
          <w:color w:val="auto"/>
        </w:rPr>
        <w:t>Represents 35% of Dr. Schleifer’s 2018 salary over a period of 18 months. We have assumed long-term disability coverage exists pursuant to Dr. Schleifer’s employment agreement for the remaining 65% of Dr. Schleifer’s salary.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83</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149225</wp:posOffset>
            </wp:positionV>
            <wp:extent cx="46863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87"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205BA8"/>
        </w:rPr>
        <w:t>Change in Control Severance Plan</w:t>
      </w:r>
    </w:p>
    <w:p>
      <w:pPr>
        <w:spacing w:after="0" w:line="176" w:lineRule="exact"/>
        <w:rPr>
          <w:sz w:val="20"/>
          <w:szCs w:val="20"/>
          <w:color w:val="auto"/>
        </w:rPr>
      </w:pPr>
    </w:p>
    <w:p>
      <w:pPr>
        <w:ind w:left="3020" w:right="60"/>
        <w:spacing w:after="0" w:line="220" w:lineRule="auto"/>
        <w:rPr>
          <w:sz w:val="20"/>
          <w:szCs w:val="20"/>
          <w:color w:val="auto"/>
        </w:rPr>
      </w:pPr>
      <w:r>
        <w:rPr>
          <w:rFonts w:ascii="Arial" w:cs="Arial" w:eastAsia="Arial" w:hAnsi="Arial"/>
          <w:sz w:val="15"/>
          <w:szCs w:val="15"/>
          <w:color w:val="auto"/>
        </w:rPr>
        <w:t>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40" w:lineRule="exact"/>
        <w:rPr>
          <w:sz w:val="20"/>
          <w:szCs w:val="20"/>
          <w:color w:val="auto"/>
        </w:rPr>
      </w:pPr>
    </w:p>
    <w:p>
      <w:pPr>
        <w:ind w:left="3020" w:right="80"/>
        <w:spacing w:after="0" w:line="234" w:lineRule="auto"/>
        <w:rPr>
          <w:sz w:val="20"/>
          <w:szCs w:val="20"/>
          <w:color w:val="auto"/>
        </w:rPr>
      </w:pPr>
      <w:r>
        <w:rPr>
          <w:rFonts w:ascii="Arial" w:cs="Arial" w:eastAsia="Arial" w:hAnsi="Arial"/>
          <w:sz w:val="14"/>
          <w:szCs w:val="14"/>
          <w:color w:val="auto"/>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44" w:lineRule="exact"/>
        <w:rPr>
          <w:sz w:val="20"/>
          <w:szCs w:val="20"/>
          <w:color w:val="auto"/>
        </w:rPr>
      </w:pPr>
    </w:p>
    <w:p>
      <w:pPr>
        <w:ind w:left="3020" w:right="20"/>
        <w:spacing w:after="0" w:line="219" w:lineRule="auto"/>
        <w:rPr>
          <w:sz w:val="20"/>
          <w:szCs w:val="20"/>
          <w:color w:val="auto"/>
        </w:rPr>
      </w:pPr>
      <w:r>
        <w:rPr>
          <w:rFonts w:ascii="Arial" w:cs="Arial" w:eastAsia="Arial" w:hAnsi="Arial"/>
          <w:sz w:val="15"/>
          <w:szCs w:val="15"/>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40" w:lineRule="exact"/>
        <w:rPr>
          <w:sz w:val="20"/>
          <w:szCs w:val="20"/>
          <w:color w:val="auto"/>
        </w:rPr>
      </w:pPr>
    </w:p>
    <w:p>
      <w:pPr>
        <w:ind w:left="3020" w:right="80"/>
        <w:spacing w:after="0" w:line="221" w:lineRule="auto"/>
        <w:rPr>
          <w:sz w:val="20"/>
          <w:szCs w:val="20"/>
          <w:color w:val="auto"/>
        </w:rPr>
      </w:pPr>
      <w:r>
        <w:rPr>
          <w:rFonts w:ascii="Arial" w:cs="Arial" w:eastAsia="Arial" w:hAnsi="Arial"/>
          <w:sz w:val="15"/>
          <w:szCs w:val="15"/>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41" w:lineRule="exact"/>
        <w:rPr>
          <w:sz w:val="20"/>
          <w:szCs w:val="20"/>
          <w:color w:val="auto"/>
        </w:rPr>
      </w:pPr>
    </w:p>
    <w:p>
      <w:pPr>
        <w:ind w:left="3020" w:right="180"/>
        <w:spacing w:after="0" w:line="221" w:lineRule="auto"/>
        <w:rPr>
          <w:sz w:val="20"/>
          <w:szCs w:val="20"/>
          <w:color w:val="auto"/>
        </w:rPr>
      </w:pPr>
      <w:r>
        <w:rPr>
          <w:rFonts w:ascii="Arial" w:cs="Arial" w:eastAsia="Arial" w:hAnsi="Arial"/>
          <w:sz w:val="15"/>
          <w:szCs w:val="15"/>
          <w:color w:val="auto"/>
        </w:rPr>
        <w:t>The following table shows the potential payments to our NEOs (other than our CEO), upon their hypothetical termination (other than for Cause) or resignation for Good Reason, in the two years following, or the six months prior to, a change in control. The information in the table below assumes an effective termination or resignation date of December 31, 2018 and is further based on the assumptions set forth in the footnotes to the table; actual values and amounts may differ from those presented below.</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84 /  </w:t>
      </w:r>
      <w:r>
        <w:rPr>
          <w:sz w:val="1"/>
          <w:szCs w:val="1"/>
          <w:color w:val="auto"/>
        </w:rPr>
        <w:drawing>
          <wp:inline distT="0" distB="0" distL="0" distR="0">
            <wp:extent cx="717550" cy="8255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97" w:name="page98"/>
    <w:bookmarkEnd w:id="97"/>
    <w:p>
      <w:pPr>
        <w:jc w:val="right"/>
        <w:ind w:right="50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80"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D61C5A"/>
        </w:rPr>
        <w:t>Potential Payments under Change in Control Severance Plan</w:t>
      </w:r>
    </w:p>
    <w:p>
      <w:pPr>
        <w:spacing w:after="0" w:line="246" w:lineRule="exact"/>
        <w:rPr>
          <w:sz w:val="20"/>
          <w:szCs w:val="20"/>
          <w:color w:val="auto"/>
        </w:rPr>
      </w:pPr>
    </w:p>
    <w:tbl>
      <w:tblPr>
        <w:tblLayout w:type="fixed"/>
        <w:tblInd w:w="3540" w:type="dxa"/>
        <w:tblCellMar>
          <w:top w:w="0" w:type="dxa"/>
          <w:left w:w="0" w:type="dxa"/>
          <w:bottom w:w="0" w:type="dxa"/>
          <w:right w:w="0" w:type="dxa"/>
        </w:tblCellMar>
      </w:tblPr>
      <w:tr>
        <w:trPr>
          <w:trHeight w:val="130"/>
        </w:trPr>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205BA8"/>
                <w:w w:val="98"/>
              </w:rPr>
              <w:t>Value of</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0"/>
        </w:trPr>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205BA8"/>
              </w:rPr>
              <w:t>Accelerated Stock</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6"/>
        </w:trPr>
        <w:tc>
          <w:tcPr>
            <w:tcW w:w="2080" w:type="dxa"/>
            <w:vAlign w:val="bottom"/>
          </w:tcPr>
          <w:p>
            <w:pPr>
              <w:spacing w:after="0"/>
              <w:rPr>
                <w:sz w:val="11"/>
                <w:szCs w:val="11"/>
                <w:color w:val="auto"/>
              </w:rPr>
            </w:pPr>
          </w:p>
        </w:tc>
        <w:tc>
          <w:tcPr>
            <w:tcW w:w="1100" w:type="dxa"/>
            <w:vAlign w:val="bottom"/>
          </w:tcPr>
          <w:p>
            <w:pPr>
              <w:jc w:val="right"/>
              <w:ind w:right="299"/>
              <w:spacing w:after="0"/>
              <w:rPr>
                <w:sz w:val="20"/>
                <w:szCs w:val="20"/>
                <w:color w:val="auto"/>
              </w:rPr>
            </w:pPr>
            <w:r>
              <w:rPr>
                <w:rFonts w:ascii="Arial" w:cs="Arial" w:eastAsia="Arial" w:hAnsi="Arial"/>
                <w:sz w:val="11"/>
                <w:szCs w:val="11"/>
                <w:b w:val="1"/>
                <w:bCs w:val="1"/>
                <w:color w:val="205BA8"/>
              </w:rPr>
              <w:t>Cash</w:t>
            </w:r>
          </w:p>
        </w:tc>
        <w:tc>
          <w:tcPr>
            <w:tcW w:w="980" w:type="dxa"/>
            <w:vAlign w:val="bottom"/>
          </w:tcPr>
          <w:p>
            <w:pPr>
              <w:jc w:val="right"/>
              <w:ind w:right="199"/>
              <w:spacing w:after="0"/>
              <w:rPr>
                <w:sz w:val="20"/>
                <w:szCs w:val="20"/>
                <w:color w:val="auto"/>
              </w:rPr>
            </w:pPr>
            <w:r>
              <w:rPr>
                <w:rFonts w:ascii="Arial" w:cs="Arial" w:eastAsia="Arial" w:hAnsi="Arial"/>
                <w:sz w:val="11"/>
                <w:szCs w:val="11"/>
                <w:b w:val="1"/>
                <w:bCs w:val="1"/>
                <w:color w:val="205BA8"/>
              </w:rPr>
              <w:t>Benefits</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205BA8"/>
              </w:rPr>
              <w:t>Options/Restricted</w:t>
            </w:r>
          </w:p>
        </w:tc>
        <w:tc>
          <w:tcPr>
            <w:tcW w:w="9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205BA8"/>
                <w:w w:val="98"/>
              </w:rPr>
              <w:t>Total</w:t>
            </w:r>
          </w:p>
        </w:tc>
      </w:tr>
      <w:tr>
        <w:trPr>
          <w:trHeight w:val="175"/>
        </w:trPr>
        <w:tc>
          <w:tcPr>
            <w:tcW w:w="2080" w:type="dxa"/>
            <w:vAlign w:val="bottom"/>
            <w:tcBorders>
              <w:bottom w:val="single" w:sz="8" w:color="58585A"/>
            </w:tcBorders>
          </w:tcPr>
          <w:p>
            <w:pPr>
              <w:spacing w:after="0"/>
              <w:rPr>
                <w:sz w:val="15"/>
                <w:szCs w:val="15"/>
                <w:color w:val="auto"/>
              </w:rPr>
            </w:pPr>
          </w:p>
        </w:tc>
        <w:tc>
          <w:tcPr>
            <w:tcW w:w="1100" w:type="dxa"/>
            <w:vAlign w:val="bottom"/>
            <w:tcBorders>
              <w:bottom w:val="single" w:sz="8" w:color="58585A"/>
            </w:tcBorders>
          </w:tcPr>
          <w:p>
            <w:pPr>
              <w:jc w:val="right"/>
              <w:ind w:right="139"/>
              <w:spacing w:after="0" w:line="175" w:lineRule="exact"/>
              <w:rPr>
                <w:sz w:val="20"/>
                <w:szCs w:val="20"/>
                <w:color w:val="auto"/>
              </w:rPr>
            </w:pPr>
            <w:r>
              <w:rPr>
                <w:rFonts w:ascii="Arial" w:cs="Arial" w:eastAsia="Arial" w:hAnsi="Arial"/>
                <w:sz w:val="11"/>
                <w:szCs w:val="11"/>
                <w:b w:val="1"/>
                <w:bCs w:val="1"/>
                <w:color w:val="205BA8"/>
              </w:rPr>
              <w:t>Severance</w:t>
            </w:r>
            <w:r>
              <w:rPr>
                <w:rFonts w:ascii="Arial" w:cs="Arial" w:eastAsia="Arial" w:hAnsi="Arial"/>
                <w:sz w:val="18"/>
                <w:szCs w:val="18"/>
                <w:b w:val="1"/>
                <w:bCs w:val="1"/>
                <w:color w:val="205BA8"/>
                <w:vertAlign w:val="superscript"/>
              </w:rPr>
              <w:t>1</w:t>
            </w:r>
          </w:p>
        </w:tc>
        <w:tc>
          <w:tcPr>
            <w:tcW w:w="980" w:type="dxa"/>
            <w:vAlign w:val="bottom"/>
            <w:tcBorders>
              <w:bottom w:val="single" w:sz="8" w:color="58585A"/>
            </w:tcBorders>
          </w:tcPr>
          <w:p>
            <w:pPr>
              <w:jc w:val="right"/>
              <w:ind w:right="39"/>
              <w:spacing w:after="0" w:line="175" w:lineRule="exact"/>
              <w:rPr>
                <w:sz w:val="20"/>
                <w:szCs w:val="20"/>
                <w:color w:val="auto"/>
              </w:rPr>
            </w:pPr>
            <w:r>
              <w:rPr>
                <w:rFonts w:ascii="Arial" w:cs="Arial" w:eastAsia="Arial" w:hAnsi="Arial"/>
                <w:sz w:val="11"/>
                <w:szCs w:val="11"/>
                <w:b w:val="1"/>
                <w:bCs w:val="1"/>
                <w:color w:val="205BA8"/>
              </w:rPr>
              <w:t>Continuation</w:t>
            </w:r>
            <w:r>
              <w:rPr>
                <w:rFonts w:ascii="Arial" w:cs="Arial" w:eastAsia="Arial" w:hAnsi="Arial"/>
                <w:sz w:val="18"/>
                <w:szCs w:val="18"/>
                <w:b w:val="1"/>
                <w:bCs w:val="1"/>
                <w:color w:val="205BA8"/>
                <w:vertAlign w:val="superscript"/>
              </w:rPr>
              <w:t>2</w:t>
            </w:r>
          </w:p>
        </w:tc>
        <w:tc>
          <w:tcPr>
            <w:tcW w:w="1280" w:type="dxa"/>
            <w:vAlign w:val="bottom"/>
            <w:tcBorders>
              <w:bottom w:val="single" w:sz="8" w:color="58585A"/>
            </w:tcBorders>
          </w:tcPr>
          <w:p>
            <w:pPr>
              <w:jc w:val="center"/>
              <w:spacing w:after="0" w:line="175" w:lineRule="exact"/>
              <w:rPr>
                <w:sz w:val="20"/>
                <w:szCs w:val="20"/>
                <w:color w:val="auto"/>
              </w:rPr>
            </w:pPr>
            <w:r>
              <w:rPr>
                <w:rFonts w:ascii="Arial" w:cs="Arial" w:eastAsia="Arial" w:hAnsi="Arial"/>
                <w:sz w:val="11"/>
                <w:szCs w:val="11"/>
                <w:b w:val="1"/>
                <w:bCs w:val="1"/>
                <w:color w:val="205BA8"/>
                <w:w w:val="98"/>
              </w:rPr>
              <w:t>Stock</w:t>
            </w:r>
            <w:r>
              <w:rPr>
                <w:rFonts w:ascii="Arial" w:cs="Arial" w:eastAsia="Arial" w:hAnsi="Arial"/>
                <w:sz w:val="18"/>
                <w:szCs w:val="18"/>
                <w:b w:val="1"/>
                <w:bCs w:val="1"/>
                <w:color w:val="205BA8"/>
                <w:w w:val="98"/>
                <w:vertAlign w:val="superscript"/>
              </w:rPr>
              <w:t>3</w:t>
            </w:r>
          </w:p>
        </w:tc>
        <w:tc>
          <w:tcPr>
            <w:tcW w:w="980" w:type="dxa"/>
            <w:vAlign w:val="bottom"/>
            <w:tcBorders>
              <w:bottom w:val="single" w:sz="8" w:color="58585A"/>
            </w:tcBorders>
          </w:tcPr>
          <w:p>
            <w:pPr>
              <w:jc w:val="right"/>
              <w:ind w:right="239"/>
              <w:spacing w:after="0" w:line="175" w:lineRule="exact"/>
              <w:rPr>
                <w:sz w:val="20"/>
                <w:szCs w:val="20"/>
                <w:color w:val="auto"/>
              </w:rPr>
            </w:pPr>
            <w:r>
              <w:rPr>
                <w:rFonts w:ascii="Arial" w:cs="Arial" w:eastAsia="Arial" w:hAnsi="Arial"/>
                <w:sz w:val="11"/>
                <w:szCs w:val="11"/>
                <w:b w:val="1"/>
                <w:bCs w:val="1"/>
                <w:color w:val="205BA8"/>
              </w:rPr>
              <w:t>Cutback</w:t>
            </w:r>
            <w:r>
              <w:rPr>
                <w:rFonts w:ascii="Arial" w:cs="Arial" w:eastAsia="Arial" w:hAnsi="Arial"/>
                <w:sz w:val="18"/>
                <w:szCs w:val="18"/>
                <w:b w:val="1"/>
                <w:bCs w:val="1"/>
                <w:color w:val="205BA8"/>
                <w:vertAlign w:val="superscript"/>
              </w:rPr>
              <w:t>4</w:t>
            </w:r>
          </w:p>
        </w:tc>
        <w:tc>
          <w:tcPr>
            <w:tcW w:w="960" w:type="dxa"/>
            <w:vAlign w:val="bottom"/>
            <w:tcBorders>
              <w:bottom w:val="single" w:sz="8" w:color="58585A"/>
            </w:tcBorders>
          </w:tcPr>
          <w:p>
            <w:pPr>
              <w:jc w:val="center"/>
              <w:spacing w:after="0" w:line="175" w:lineRule="exact"/>
              <w:rPr>
                <w:sz w:val="20"/>
                <w:szCs w:val="20"/>
                <w:color w:val="auto"/>
              </w:rPr>
            </w:pPr>
            <w:r>
              <w:rPr>
                <w:rFonts w:ascii="Arial" w:cs="Arial" w:eastAsia="Arial" w:hAnsi="Arial"/>
                <w:sz w:val="11"/>
                <w:szCs w:val="11"/>
                <w:b w:val="1"/>
                <w:bCs w:val="1"/>
                <w:color w:val="205BA8"/>
                <w:w w:val="99"/>
              </w:rPr>
              <w:t>Amount</w:t>
            </w:r>
            <w:r>
              <w:rPr>
                <w:rFonts w:ascii="Arial" w:cs="Arial" w:eastAsia="Arial" w:hAnsi="Arial"/>
                <w:sz w:val="18"/>
                <w:szCs w:val="18"/>
                <w:b w:val="1"/>
                <w:bCs w:val="1"/>
                <w:color w:val="205BA8"/>
                <w:w w:val="99"/>
                <w:vertAlign w:val="superscript"/>
              </w:rPr>
              <w:t>5</w:t>
            </w:r>
          </w:p>
        </w:tc>
      </w:tr>
      <w:tr>
        <w:trPr>
          <w:trHeight w:val="116"/>
        </w:trPr>
        <w:tc>
          <w:tcPr>
            <w:tcW w:w="2080" w:type="dxa"/>
            <w:vAlign w:val="bottom"/>
            <w:shd w:val="clear" w:color="auto" w:fill="E7E7E8"/>
          </w:tcPr>
          <w:p>
            <w:pPr>
              <w:ind w:left="40"/>
              <w:spacing w:after="0" w:line="117" w:lineRule="exact"/>
              <w:rPr>
                <w:sz w:val="20"/>
                <w:szCs w:val="20"/>
                <w:color w:val="auto"/>
              </w:rPr>
            </w:pPr>
            <w:r>
              <w:rPr>
                <w:rFonts w:ascii="Arial" w:cs="Arial" w:eastAsia="Arial" w:hAnsi="Arial"/>
                <w:sz w:val="12"/>
                <w:szCs w:val="12"/>
                <w:b w:val="1"/>
                <w:bCs w:val="1"/>
                <w:color w:val="D61C5A"/>
              </w:rPr>
              <w:t>George D. Yancopoulos, M.D.,</w:t>
            </w:r>
          </w:p>
        </w:tc>
        <w:tc>
          <w:tcPr>
            <w:tcW w:w="1100" w:type="dxa"/>
            <w:vAlign w:val="bottom"/>
            <w:shd w:val="clear" w:color="auto" w:fill="E7E7E8"/>
          </w:tcPr>
          <w:p>
            <w:pPr>
              <w:spacing w:after="0"/>
              <w:rPr>
                <w:sz w:val="10"/>
                <w:szCs w:val="10"/>
                <w:color w:val="auto"/>
              </w:rPr>
            </w:pPr>
          </w:p>
        </w:tc>
        <w:tc>
          <w:tcPr>
            <w:tcW w:w="980" w:type="dxa"/>
            <w:vAlign w:val="bottom"/>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9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r>
      <w:tr>
        <w:trPr>
          <w:trHeight w:val="161"/>
        </w:trPr>
        <w:tc>
          <w:tcPr>
            <w:tcW w:w="2080" w:type="dxa"/>
            <w:vAlign w:val="bottom"/>
            <w:tcBorders>
              <w:bottom w:val="single" w:sz="8" w:color="58585A"/>
            </w:tcBorders>
            <w:shd w:val="clear" w:color="auto" w:fill="E7E7E8"/>
          </w:tcPr>
          <w:p>
            <w:pPr>
              <w:ind w:left="40"/>
              <w:spacing w:after="0"/>
              <w:rPr>
                <w:sz w:val="20"/>
                <w:szCs w:val="20"/>
                <w:color w:val="auto"/>
              </w:rPr>
            </w:pPr>
            <w:r>
              <w:rPr>
                <w:rFonts w:ascii="Arial" w:cs="Arial" w:eastAsia="Arial" w:hAnsi="Arial"/>
                <w:sz w:val="12"/>
                <w:szCs w:val="12"/>
                <w:b w:val="1"/>
                <w:bCs w:val="1"/>
                <w:color w:val="D61C5A"/>
              </w:rPr>
              <w:t>Ph.D.</w:t>
            </w:r>
          </w:p>
        </w:tc>
        <w:tc>
          <w:tcPr>
            <w:tcW w:w="1100" w:type="dxa"/>
            <w:vAlign w:val="bottom"/>
            <w:tcBorders>
              <w:bottom w:val="single" w:sz="8" w:color="58585A"/>
            </w:tcBorders>
            <w:shd w:val="clear" w:color="auto" w:fill="E7E7E8"/>
          </w:tcPr>
          <w:p>
            <w:pPr>
              <w:jc w:val="right"/>
              <w:ind w:right="79"/>
              <w:spacing w:after="0"/>
              <w:rPr>
                <w:sz w:val="20"/>
                <w:szCs w:val="20"/>
                <w:color w:val="auto"/>
              </w:rPr>
            </w:pPr>
            <w:r>
              <w:rPr>
                <w:rFonts w:ascii="Arial" w:cs="Arial" w:eastAsia="Arial" w:hAnsi="Arial"/>
                <w:sz w:val="13"/>
                <w:szCs w:val="13"/>
                <w:color w:val="auto"/>
              </w:rPr>
              <w:t>$6,559,296</w:t>
            </w:r>
          </w:p>
        </w:tc>
        <w:tc>
          <w:tcPr>
            <w:tcW w:w="980" w:type="dxa"/>
            <w:vAlign w:val="bottom"/>
            <w:tcBorders>
              <w:bottom w:val="single" w:sz="8" w:color="58585A"/>
            </w:tcBorders>
            <w:shd w:val="clear" w:color="auto" w:fill="E7E7E8"/>
          </w:tcPr>
          <w:p>
            <w:pPr>
              <w:jc w:val="right"/>
              <w:ind w:right="59"/>
              <w:spacing w:after="0"/>
              <w:rPr>
                <w:sz w:val="20"/>
                <w:szCs w:val="20"/>
                <w:color w:val="auto"/>
              </w:rPr>
            </w:pPr>
            <w:r>
              <w:rPr>
                <w:rFonts w:ascii="Arial" w:cs="Arial" w:eastAsia="Arial" w:hAnsi="Arial"/>
                <w:sz w:val="13"/>
                <w:szCs w:val="13"/>
                <w:color w:val="auto"/>
              </w:rPr>
              <w:t>$118,374</w:t>
            </w:r>
          </w:p>
        </w:tc>
        <w:tc>
          <w:tcPr>
            <w:tcW w:w="1280" w:type="dxa"/>
            <w:vAlign w:val="bottom"/>
            <w:tcBorders>
              <w:bottom w:val="single" w:sz="8" w:color="58585A"/>
            </w:tcBorders>
            <w:shd w:val="clear" w:color="auto" w:fill="E7E7E8"/>
          </w:tcPr>
          <w:p>
            <w:pPr>
              <w:jc w:val="right"/>
              <w:ind w:right="34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7E7E8"/>
          </w:tcPr>
          <w:p>
            <w:pPr>
              <w:jc w:val="right"/>
              <w:ind w:right="13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7E7E8"/>
          </w:tcPr>
          <w:p>
            <w:pPr>
              <w:jc w:val="center"/>
              <w:spacing w:after="0"/>
              <w:rPr>
                <w:sz w:val="20"/>
                <w:szCs w:val="20"/>
                <w:color w:val="auto"/>
              </w:rPr>
            </w:pPr>
            <w:r>
              <w:rPr>
                <w:rFonts w:ascii="Arial" w:cs="Arial" w:eastAsia="Arial" w:hAnsi="Arial"/>
                <w:sz w:val="13"/>
                <w:szCs w:val="13"/>
                <w:color w:val="auto"/>
                <w:w w:val="95"/>
              </w:rPr>
              <w:t>$6,677,670</w:t>
            </w:r>
          </w:p>
        </w:tc>
      </w:tr>
      <w:tr>
        <w:trPr>
          <w:trHeight w:val="162"/>
        </w:trPr>
        <w:tc>
          <w:tcPr>
            <w:tcW w:w="2080" w:type="dxa"/>
            <w:vAlign w:val="bottom"/>
            <w:tcBorders>
              <w:bottom w:val="single" w:sz="8" w:color="58585A"/>
            </w:tcBorders>
          </w:tcPr>
          <w:p>
            <w:pPr>
              <w:ind w:left="40"/>
              <w:spacing w:after="0"/>
              <w:rPr>
                <w:sz w:val="20"/>
                <w:szCs w:val="20"/>
                <w:color w:val="auto"/>
              </w:rPr>
            </w:pPr>
            <w:r>
              <w:rPr>
                <w:rFonts w:ascii="Arial" w:cs="Arial" w:eastAsia="Arial" w:hAnsi="Arial"/>
                <w:sz w:val="12"/>
                <w:szCs w:val="12"/>
                <w:b w:val="1"/>
                <w:bCs w:val="1"/>
                <w:color w:val="D61C5A"/>
              </w:rPr>
              <w:t>Robert E. Landry</w:t>
            </w:r>
          </w:p>
        </w:tc>
        <w:tc>
          <w:tcPr>
            <w:tcW w:w="1100" w:type="dxa"/>
            <w:vAlign w:val="bottom"/>
            <w:tcBorders>
              <w:bottom w:val="single" w:sz="8" w:color="58585A"/>
            </w:tcBorders>
          </w:tcPr>
          <w:p>
            <w:pPr>
              <w:jc w:val="right"/>
              <w:ind w:right="79"/>
              <w:spacing w:after="0"/>
              <w:rPr>
                <w:sz w:val="20"/>
                <w:szCs w:val="20"/>
                <w:color w:val="auto"/>
              </w:rPr>
            </w:pPr>
            <w:r>
              <w:rPr>
                <w:rFonts w:ascii="Arial" w:cs="Arial" w:eastAsia="Arial" w:hAnsi="Arial"/>
                <w:sz w:val="13"/>
                <w:szCs w:val="13"/>
                <w:color w:val="auto"/>
              </w:rPr>
              <w:t>$2,284,660</w:t>
            </w:r>
          </w:p>
        </w:tc>
        <w:tc>
          <w:tcPr>
            <w:tcW w:w="980" w:type="dxa"/>
            <w:vAlign w:val="bottom"/>
            <w:tcBorders>
              <w:bottom w:val="single" w:sz="8" w:color="58585A"/>
            </w:tcBorders>
          </w:tcPr>
          <w:p>
            <w:pPr>
              <w:jc w:val="right"/>
              <w:ind w:right="59"/>
              <w:spacing w:after="0"/>
              <w:rPr>
                <w:sz w:val="20"/>
                <w:szCs w:val="20"/>
                <w:color w:val="auto"/>
              </w:rPr>
            </w:pPr>
            <w:r>
              <w:rPr>
                <w:rFonts w:ascii="Arial" w:cs="Arial" w:eastAsia="Arial" w:hAnsi="Arial"/>
                <w:sz w:val="13"/>
                <w:szCs w:val="13"/>
                <w:color w:val="auto"/>
              </w:rPr>
              <w:t>$116,722</w:t>
            </w:r>
          </w:p>
        </w:tc>
        <w:tc>
          <w:tcPr>
            <w:tcW w:w="1280" w:type="dxa"/>
            <w:vAlign w:val="bottom"/>
            <w:tcBorders>
              <w:bottom w:val="single" w:sz="8" w:color="58585A"/>
            </w:tcBorders>
          </w:tcPr>
          <w:p>
            <w:pPr>
              <w:jc w:val="right"/>
              <w:ind w:right="340"/>
              <w:spacing w:after="0"/>
              <w:rPr>
                <w:sz w:val="20"/>
                <w:szCs w:val="20"/>
                <w:color w:val="auto"/>
              </w:rPr>
            </w:pPr>
            <w:r>
              <w:rPr>
                <w:rFonts w:ascii="Arial" w:cs="Arial" w:eastAsia="Arial" w:hAnsi="Arial"/>
                <w:sz w:val="13"/>
                <w:szCs w:val="13"/>
                <w:color w:val="auto"/>
              </w:rPr>
              <w:t>$4,668,750</w:t>
            </w:r>
          </w:p>
        </w:tc>
        <w:tc>
          <w:tcPr>
            <w:tcW w:w="980" w:type="dxa"/>
            <w:vAlign w:val="bottom"/>
            <w:tcBorders>
              <w:bottom w:val="single" w:sz="8" w:color="58585A"/>
            </w:tcBorders>
          </w:tcPr>
          <w:p>
            <w:pPr>
              <w:jc w:val="right"/>
              <w:ind w:right="139"/>
              <w:spacing w:after="0"/>
              <w:rPr>
                <w:sz w:val="20"/>
                <w:szCs w:val="20"/>
                <w:color w:val="auto"/>
              </w:rPr>
            </w:pPr>
            <w:r>
              <w:rPr>
                <w:rFonts w:ascii="Arial" w:cs="Arial" w:eastAsia="Arial" w:hAnsi="Arial"/>
                <w:sz w:val="13"/>
                <w:szCs w:val="13"/>
                <w:color w:val="auto"/>
              </w:rPr>
              <w:t>$(526,138)</w:t>
            </w:r>
          </w:p>
        </w:tc>
        <w:tc>
          <w:tcPr>
            <w:tcW w:w="9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5"/>
              </w:rPr>
              <w:t>$6,543,994</w:t>
            </w:r>
          </w:p>
        </w:tc>
      </w:tr>
      <w:tr>
        <w:trPr>
          <w:trHeight w:val="162"/>
        </w:trPr>
        <w:tc>
          <w:tcPr>
            <w:tcW w:w="2080" w:type="dxa"/>
            <w:vAlign w:val="bottom"/>
            <w:tcBorders>
              <w:bottom w:val="single" w:sz="8" w:color="205BA8"/>
            </w:tcBorders>
            <w:shd w:val="clear" w:color="auto" w:fill="E7E7E8"/>
          </w:tcPr>
          <w:p>
            <w:pPr>
              <w:ind w:left="40"/>
              <w:spacing w:after="0"/>
              <w:rPr>
                <w:sz w:val="20"/>
                <w:szCs w:val="20"/>
                <w:color w:val="auto"/>
              </w:rPr>
            </w:pPr>
            <w:r>
              <w:rPr>
                <w:rFonts w:ascii="Arial" w:cs="Arial" w:eastAsia="Arial" w:hAnsi="Arial"/>
                <w:sz w:val="12"/>
                <w:szCs w:val="12"/>
                <w:b w:val="1"/>
                <w:bCs w:val="1"/>
                <w:color w:val="D61C5A"/>
              </w:rPr>
              <w:t>Daniel P. Van Plew</w:t>
            </w:r>
          </w:p>
        </w:tc>
        <w:tc>
          <w:tcPr>
            <w:tcW w:w="1100" w:type="dxa"/>
            <w:vAlign w:val="bottom"/>
            <w:tcBorders>
              <w:bottom w:val="single" w:sz="8" w:color="205BA8"/>
            </w:tcBorders>
            <w:shd w:val="clear" w:color="auto" w:fill="E7E7E8"/>
          </w:tcPr>
          <w:p>
            <w:pPr>
              <w:jc w:val="right"/>
              <w:ind w:right="79"/>
              <w:spacing w:after="0"/>
              <w:rPr>
                <w:sz w:val="20"/>
                <w:szCs w:val="20"/>
                <w:color w:val="auto"/>
              </w:rPr>
            </w:pPr>
            <w:r>
              <w:rPr>
                <w:rFonts w:ascii="Arial" w:cs="Arial" w:eastAsia="Arial" w:hAnsi="Arial"/>
                <w:sz w:val="13"/>
                <w:szCs w:val="13"/>
                <w:color w:val="auto"/>
              </w:rPr>
              <w:t>$2,277,600</w:t>
            </w:r>
          </w:p>
        </w:tc>
        <w:tc>
          <w:tcPr>
            <w:tcW w:w="980" w:type="dxa"/>
            <w:vAlign w:val="bottom"/>
            <w:tcBorders>
              <w:bottom w:val="single" w:sz="8" w:color="205BA8"/>
            </w:tcBorders>
            <w:shd w:val="clear" w:color="auto" w:fill="E7E7E8"/>
          </w:tcPr>
          <w:p>
            <w:pPr>
              <w:jc w:val="right"/>
              <w:ind w:right="59"/>
              <w:spacing w:after="0"/>
              <w:rPr>
                <w:sz w:val="20"/>
                <w:szCs w:val="20"/>
                <w:color w:val="auto"/>
              </w:rPr>
            </w:pPr>
            <w:r>
              <w:rPr>
                <w:rFonts w:ascii="Arial" w:cs="Arial" w:eastAsia="Arial" w:hAnsi="Arial"/>
                <w:sz w:val="13"/>
                <w:szCs w:val="13"/>
                <w:color w:val="auto"/>
              </w:rPr>
              <w:t>$95,402</w:t>
            </w:r>
          </w:p>
        </w:tc>
        <w:tc>
          <w:tcPr>
            <w:tcW w:w="1280" w:type="dxa"/>
            <w:vAlign w:val="bottom"/>
            <w:tcBorders>
              <w:bottom w:val="single" w:sz="8" w:color="205BA8"/>
            </w:tcBorders>
            <w:shd w:val="clear" w:color="auto" w:fill="E7E7E8"/>
          </w:tcPr>
          <w:p>
            <w:pPr>
              <w:jc w:val="right"/>
              <w:ind w:right="34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205BA8"/>
            </w:tcBorders>
            <w:shd w:val="clear" w:color="auto" w:fill="E7E7E8"/>
          </w:tcPr>
          <w:p>
            <w:pPr>
              <w:jc w:val="right"/>
              <w:ind w:right="13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205BA8"/>
            </w:tcBorders>
            <w:shd w:val="clear" w:color="auto" w:fill="E7E7E8"/>
          </w:tcPr>
          <w:p>
            <w:pPr>
              <w:jc w:val="center"/>
              <w:spacing w:after="0"/>
              <w:rPr>
                <w:sz w:val="20"/>
                <w:szCs w:val="20"/>
                <w:color w:val="auto"/>
              </w:rPr>
            </w:pPr>
            <w:r>
              <w:rPr>
                <w:rFonts w:ascii="Arial" w:cs="Arial" w:eastAsia="Arial" w:hAnsi="Arial"/>
                <w:sz w:val="13"/>
                <w:szCs w:val="13"/>
                <w:color w:val="auto"/>
                <w:w w:val="95"/>
              </w:rPr>
              <w:t>$2,373,002</w:t>
            </w:r>
          </w:p>
        </w:tc>
      </w:tr>
      <w:tr>
        <w:trPr>
          <w:trHeight w:val="189"/>
        </w:trPr>
        <w:tc>
          <w:tcPr>
            <w:tcW w:w="2080" w:type="dxa"/>
            <w:vAlign w:val="bottom"/>
            <w:tcBorders>
              <w:bottom w:val="single" w:sz="8" w:color="205BA8"/>
            </w:tcBorders>
          </w:tcPr>
          <w:p>
            <w:pPr>
              <w:ind w:left="40"/>
              <w:spacing w:after="0" w:line="189" w:lineRule="exact"/>
              <w:rPr>
                <w:sz w:val="20"/>
                <w:szCs w:val="20"/>
                <w:color w:val="auto"/>
              </w:rPr>
            </w:pPr>
            <w:r>
              <w:rPr>
                <w:rFonts w:ascii="Arial" w:cs="Arial" w:eastAsia="Arial" w:hAnsi="Arial"/>
                <w:sz w:val="12"/>
                <w:szCs w:val="12"/>
                <w:b w:val="1"/>
                <w:bCs w:val="1"/>
                <w:color w:val="D61C5A"/>
              </w:rPr>
              <w:t>Marion McCourt</w:t>
            </w:r>
            <w:r>
              <w:rPr>
                <w:rFonts w:ascii="Arial" w:cs="Arial" w:eastAsia="Arial" w:hAnsi="Arial"/>
                <w:sz w:val="20"/>
                <w:szCs w:val="20"/>
                <w:b w:val="1"/>
                <w:bCs w:val="1"/>
                <w:color w:val="D61C5A"/>
                <w:vertAlign w:val="superscript"/>
              </w:rPr>
              <w:t>4</w:t>
            </w:r>
          </w:p>
        </w:tc>
        <w:tc>
          <w:tcPr>
            <w:tcW w:w="1100" w:type="dxa"/>
            <w:vAlign w:val="bottom"/>
            <w:tcBorders>
              <w:bottom w:val="single" w:sz="8" w:color="205BA8"/>
            </w:tcBorders>
          </w:tcPr>
          <w:p>
            <w:pPr>
              <w:jc w:val="right"/>
              <w:ind w:right="79"/>
              <w:spacing w:after="0"/>
              <w:rPr>
                <w:sz w:val="20"/>
                <w:szCs w:val="20"/>
                <w:color w:val="auto"/>
              </w:rPr>
            </w:pPr>
            <w:r>
              <w:rPr>
                <w:rFonts w:ascii="Arial" w:cs="Arial" w:eastAsia="Arial" w:hAnsi="Arial"/>
                <w:sz w:val="13"/>
                <w:szCs w:val="13"/>
                <w:color w:val="auto"/>
              </w:rPr>
              <w:t>$1,842,811</w:t>
            </w:r>
          </w:p>
        </w:tc>
        <w:tc>
          <w:tcPr>
            <w:tcW w:w="980" w:type="dxa"/>
            <w:vAlign w:val="bottom"/>
            <w:tcBorders>
              <w:bottom w:val="single" w:sz="8" w:color="205BA8"/>
            </w:tcBorders>
          </w:tcPr>
          <w:p>
            <w:pPr>
              <w:jc w:val="right"/>
              <w:ind w:right="59"/>
              <w:spacing w:after="0"/>
              <w:rPr>
                <w:sz w:val="20"/>
                <w:szCs w:val="20"/>
                <w:color w:val="auto"/>
              </w:rPr>
            </w:pPr>
            <w:r>
              <w:rPr>
                <w:rFonts w:ascii="Arial" w:cs="Arial" w:eastAsia="Arial" w:hAnsi="Arial"/>
                <w:sz w:val="13"/>
                <w:szCs w:val="13"/>
                <w:color w:val="auto"/>
              </w:rPr>
              <w:t>$70,618</w:t>
            </w:r>
          </w:p>
        </w:tc>
        <w:tc>
          <w:tcPr>
            <w:tcW w:w="1280" w:type="dxa"/>
            <w:vAlign w:val="bottom"/>
            <w:tcBorders>
              <w:bottom w:val="single" w:sz="8" w:color="205BA8"/>
            </w:tcBorders>
          </w:tcPr>
          <w:p>
            <w:pPr>
              <w:jc w:val="right"/>
              <w:ind w:right="340"/>
              <w:spacing w:after="0"/>
              <w:rPr>
                <w:sz w:val="20"/>
                <w:szCs w:val="20"/>
                <w:color w:val="auto"/>
              </w:rPr>
            </w:pPr>
            <w:r>
              <w:rPr>
                <w:rFonts w:ascii="Arial" w:cs="Arial" w:eastAsia="Arial" w:hAnsi="Arial"/>
                <w:sz w:val="13"/>
                <w:szCs w:val="13"/>
                <w:color w:val="auto"/>
              </w:rPr>
              <w:t>$5,280,150</w:t>
            </w:r>
          </w:p>
        </w:tc>
        <w:tc>
          <w:tcPr>
            <w:tcW w:w="980" w:type="dxa"/>
            <w:vAlign w:val="bottom"/>
            <w:tcBorders>
              <w:bottom w:val="single" w:sz="8" w:color="205BA8"/>
            </w:tcBorders>
          </w:tcPr>
          <w:p>
            <w:pPr>
              <w:jc w:val="right"/>
              <w:ind w:right="13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205BA8"/>
            </w:tcBorders>
          </w:tcPr>
          <w:p>
            <w:pPr>
              <w:jc w:val="center"/>
              <w:spacing w:after="0"/>
              <w:rPr>
                <w:sz w:val="20"/>
                <w:szCs w:val="20"/>
                <w:color w:val="auto"/>
              </w:rPr>
            </w:pPr>
            <w:r>
              <w:rPr>
                <w:rFonts w:ascii="Arial" w:cs="Arial" w:eastAsia="Arial" w:hAnsi="Arial"/>
                <w:sz w:val="13"/>
                <w:szCs w:val="13"/>
                <w:color w:val="auto"/>
                <w:w w:val="95"/>
              </w:rPr>
              <w:t>$7,193,579</w:t>
            </w:r>
          </w:p>
        </w:tc>
      </w:tr>
      <w:tr>
        <w:trPr>
          <w:trHeight w:val="188"/>
        </w:trPr>
        <w:tc>
          <w:tcPr>
            <w:tcW w:w="2080" w:type="dxa"/>
            <w:vAlign w:val="bottom"/>
            <w:tcBorders>
              <w:bottom w:val="single" w:sz="8" w:color="205BA8"/>
            </w:tcBorders>
          </w:tcPr>
          <w:p>
            <w:pPr>
              <w:spacing w:after="0"/>
              <w:rPr>
                <w:sz w:val="16"/>
                <w:szCs w:val="16"/>
                <w:color w:val="auto"/>
              </w:rPr>
            </w:pPr>
          </w:p>
        </w:tc>
        <w:tc>
          <w:tcPr>
            <w:tcW w:w="1100" w:type="dxa"/>
            <w:vAlign w:val="bottom"/>
            <w:tcBorders>
              <w:bottom w:val="single" w:sz="8" w:color="205BA8"/>
            </w:tcBorders>
          </w:tcPr>
          <w:p>
            <w:pPr>
              <w:spacing w:after="0"/>
              <w:rPr>
                <w:sz w:val="16"/>
                <w:szCs w:val="16"/>
                <w:color w:val="auto"/>
              </w:rPr>
            </w:pPr>
          </w:p>
        </w:tc>
        <w:tc>
          <w:tcPr>
            <w:tcW w:w="980" w:type="dxa"/>
            <w:vAlign w:val="bottom"/>
            <w:tcBorders>
              <w:bottom w:val="single" w:sz="8" w:color="205BA8"/>
            </w:tcBorders>
          </w:tcPr>
          <w:p>
            <w:pPr>
              <w:spacing w:after="0"/>
              <w:rPr>
                <w:sz w:val="16"/>
                <w:szCs w:val="16"/>
                <w:color w:val="auto"/>
              </w:rPr>
            </w:pPr>
          </w:p>
        </w:tc>
        <w:tc>
          <w:tcPr>
            <w:tcW w:w="1280" w:type="dxa"/>
            <w:vAlign w:val="bottom"/>
            <w:tcBorders>
              <w:bottom w:val="single" w:sz="8" w:color="205BA8"/>
            </w:tcBorders>
          </w:tcPr>
          <w:p>
            <w:pPr>
              <w:spacing w:after="0"/>
              <w:rPr>
                <w:sz w:val="16"/>
                <w:szCs w:val="16"/>
                <w:color w:val="auto"/>
              </w:rPr>
            </w:pPr>
          </w:p>
        </w:tc>
        <w:tc>
          <w:tcPr>
            <w:tcW w:w="980" w:type="dxa"/>
            <w:vAlign w:val="bottom"/>
            <w:tcBorders>
              <w:bottom w:val="single" w:sz="8" w:color="205BA8"/>
            </w:tcBorders>
          </w:tcPr>
          <w:p>
            <w:pPr>
              <w:spacing w:after="0"/>
              <w:rPr>
                <w:sz w:val="16"/>
                <w:szCs w:val="16"/>
                <w:color w:val="auto"/>
              </w:rPr>
            </w:pPr>
          </w:p>
        </w:tc>
        <w:tc>
          <w:tcPr>
            <w:tcW w:w="960" w:type="dxa"/>
            <w:vAlign w:val="bottom"/>
            <w:tcBorders>
              <w:bottom w:val="single" w:sz="8" w:color="205BA8"/>
            </w:tcBorders>
          </w:tcPr>
          <w:p>
            <w:pPr>
              <w:spacing w:after="0"/>
              <w:rPr>
                <w:sz w:val="16"/>
                <w:szCs w:val="16"/>
                <w:color w:val="auto"/>
              </w:rPr>
            </w:pPr>
          </w:p>
        </w:tc>
      </w:tr>
    </w:tbl>
    <w:p>
      <w:pPr>
        <w:spacing w:after="0" w:line="160" w:lineRule="exact"/>
        <w:rPr>
          <w:sz w:val="20"/>
          <w:szCs w:val="20"/>
          <w:color w:val="auto"/>
        </w:rPr>
      </w:pPr>
    </w:p>
    <w:p>
      <w:pPr>
        <w:ind w:left="3680" w:right="520" w:hanging="149"/>
        <w:spacing w:after="0" w:line="235" w:lineRule="auto"/>
        <w:tabs>
          <w:tab w:leader="none" w:pos="3680" w:val="left"/>
        </w:tabs>
        <w:numPr>
          <w:ilvl w:val="0"/>
          <w:numId w:val="125"/>
        </w:numPr>
        <w:rPr>
          <w:rFonts w:ascii="Arial" w:cs="Arial" w:eastAsia="Arial" w:hAnsi="Arial"/>
          <w:sz w:val="14"/>
          <w:szCs w:val="14"/>
          <w:b w:val="1"/>
          <w:bCs w:val="1"/>
          <w:color w:val="205BA8"/>
        </w:rPr>
      </w:pPr>
      <w:r>
        <w:rPr>
          <w:rFonts w:ascii="Arial" w:cs="Arial" w:eastAsia="Arial" w:hAnsi="Arial"/>
          <w:sz w:val="14"/>
          <w:szCs w:val="14"/>
          <w:color w:val="auto"/>
        </w:rPr>
        <w:t>Equal to two times the sum of (a) the NEO’s 2018 base salary and (b) the average annual cash incentives paid to the NEO (other than Ms. McCourt) over the prior three years and, in the case of Ms. McCourt (who joined the Company in February 2018), the average annual cash incentive paid over the prior three years to eligible executives in the group of which Ms. McCourt is a member under the change in control severance plan.</w:t>
      </w:r>
    </w:p>
    <w:p>
      <w:pPr>
        <w:spacing w:after="0" w:line="149" w:lineRule="exact"/>
        <w:rPr>
          <w:sz w:val="20"/>
          <w:szCs w:val="20"/>
          <w:color w:val="auto"/>
        </w:rPr>
      </w:pPr>
    </w:p>
    <w:p>
      <w:pPr>
        <w:ind w:left="3680" w:right="560" w:hanging="149"/>
        <w:spacing w:after="0" w:line="237" w:lineRule="auto"/>
        <w:tabs>
          <w:tab w:leader="none" w:pos="3680" w:val="left"/>
        </w:tabs>
        <w:numPr>
          <w:ilvl w:val="0"/>
          <w:numId w:val="126"/>
        </w:numPr>
        <w:rPr>
          <w:rFonts w:ascii="Arial" w:cs="Arial" w:eastAsia="Arial" w:hAnsi="Arial"/>
          <w:sz w:val="14"/>
          <w:szCs w:val="14"/>
          <w:b w:val="1"/>
          <w:bCs w:val="1"/>
          <w:color w:val="205BA8"/>
        </w:rPr>
      </w:pPr>
      <w:r>
        <w:rPr>
          <w:rFonts w:ascii="Arial" w:cs="Arial" w:eastAsia="Arial" w:hAnsi="Arial"/>
          <w:sz w:val="14"/>
          <w:szCs w:val="14"/>
          <w:color w:val="auto"/>
        </w:rPr>
        <w:t>Equal to the estimated cost of providing each NEO and his dependents medical, dental, vision, disability, and life insurance coverage for 24 months, plus the estimated cost of providing each NEO tax and financial planning advisory services for 24 months.</w:t>
      </w:r>
    </w:p>
    <w:p>
      <w:pPr>
        <w:spacing w:after="0" w:line="147" w:lineRule="exact"/>
        <w:rPr>
          <w:sz w:val="20"/>
          <w:szCs w:val="20"/>
          <w:color w:val="auto"/>
        </w:rPr>
      </w:pPr>
    </w:p>
    <w:p>
      <w:pPr>
        <w:ind w:left="3680" w:right="700" w:hanging="149"/>
        <w:spacing w:after="0" w:line="235" w:lineRule="auto"/>
        <w:tabs>
          <w:tab w:leader="none" w:pos="3680" w:val="left"/>
        </w:tabs>
        <w:numPr>
          <w:ilvl w:val="0"/>
          <w:numId w:val="127"/>
        </w:numPr>
        <w:rPr>
          <w:rFonts w:ascii="Arial" w:cs="Arial" w:eastAsia="Arial" w:hAnsi="Arial"/>
          <w:sz w:val="14"/>
          <w:szCs w:val="14"/>
          <w:b w:val="1"/>
          <w:bCs w:val="1"/>
          <w:color w:val="205BA8"/>
        </w:rPr>
      </w:pPr>
      <w:r>
        <w:rPr>
          <w:rFonts w:ascii="Arial" w:cs="Arial" w:eastAsia="Arial" w:hAnsi="Arial"/>
          <w:sz w:val="14"/>
          <w:szCs w:val="14"/>
          <w:color w:val="auto"/>
        </w:rPr>
        <w:t>For stock options, equal to the aggregate amount of the differences between the exercise prices of each NEO’s accelerated “in-the-money” stock options and the closing sales price per share of the Company’s common stock on the NASDAQ Global Select Market on December 31, 2018 of $373.50. The amounts also include the value as of December 31, 2018 of unvested restricted stock.</w:t>
      </w:r>
    </w:p>
    <w:p>
      <w:pPr>
        <w:spacing w:after="0" w:line="149" w:lineRule="exact"/>
        <w:rPr>
          <w:sz w:val="20"/>
          <w:szCs w:val="20"/>
          <w:color w:val="auto"/>
        </w:rPr>
      </w:pPr>
    </w:p>
    <w:p>
      <w:pPr>
        <w:ind w:left="3680" w:right="560" w:hanging="149"/>
        <w:spacing w:after="0" w:line="234" w:lineRule="auto"/>
        <w:tabs>
          <w:tab w:leader="none" w:pos="3680" w:val="left"/>
        </w:tabs>
        <w:numPr>
          <w:ilvl w:val="0"/>
          <w:numId w:val="128"/>
        </w:numPr>
        <w:rPr>
          <w:rFonts w:ascii="Arial" w:cs="Arial" w:eastAsia="Arial" w:hAnsi="Arial"/>
          <w:sz w:val="14"/>
          <w:szCs w:val="14"/>
          <w:b w:val="1"/>
          <w:bCs w:val="1"/>
          <w:color w:val="205BA8"/>
        </w:rPr>
      </w:pPr>
      <w:r>
        <w:rPr>
          <w:rFonts w:ascii="Arial" w:cs="Arial" w:eastAsia="Arial" w:hAnsi="Arial"/>
          <w:sz w:val="14"/>
          <w:szCs w:val="14"/>
          <w:color w:val="auto"/>
        </w:rPr>
        <w:t>We have determined (using the assumptions outlined in footnote 5) that Dr. Yancopoulos and Mr. Van Plew would have been under their applicable “golden parachute” safe harbor limits and not subject to any cutbacks or excise taxes if terminated on December 31, 2018. In accordance with the terms of the change in control severance plan, the total amount for Mr. Landry has been reduced to an amount one dollar less than the amount that would subject him to an excise tax under Section 4999 of the Internal Revenue Code. The total amount for Ms. McCourt has not been “cut back” as she would be in a more favorable net after-tax position without any such reduction.</w:t>
      </w:r>
    </w:p>
    <w:p>
      <w:pPr>
        <w:spacing w:after="0" w:line="150" w:lineRule="exact"/>
        <w:rPr>
          <w:sz w:val="20"/>
          <w:szCs w:val="20"/>
          <w:color w:val="auto"/>
        </w:rPr>
      </w:pPr>
    </w:p>
    <w:p>
      <w:pPr>
        <w:ind w:left="3680" w:right="520" w:hanging="149"/>
        <w:spacing w:after="0" w:line="251" w:lineRule="auto"/>
        <w:tabs>
          <w:tab w:leader="none" w:pos="3680" w:val="left"/>
        </w:tabs>
        <w:numPr>
          <w:ilvl w:val="0"/>
          <w:numId w:val="129"/>
        </w:numPr>
        <w:rPr>
          <w:rFonts w:ascii="Arial" w:cs="Arial" w:eastAsia="Arial" w:hAnsi="Arial"/>
          <w:sz w:val="13"/>
          <w:szCs w:val="13"/>
          <w:b w:val="1"/>
          <w:bCs w:val="1"/>
          <w:color w:val="205BA8"/>
        </w:rPr>
      </w:pPr>
      <w:r>
        <w:rPr>
          <w:rFonts w:ascii="Arial" w:cs="Arial" w:eastAsia="Arial" w:hAnsi="Arial"/>
          <w:sz w:val="13"/>
          <w:szCs w:val="13"/>
          <w:color w:val="auto"/>
        </w:rPr>
        <w:t>For purposes of these calculations, (i) we used base salaries as of December 31, 2018 and annual cash incentives paid to the NEOs (other than Ms. McCourt) for performance in 2015, 2016, and 2017, respectively, and, in the case of Ms. McCourt (who joined the Company in February 2018), the average annual cash incentive paid over the prior three years to eligible executives in the group of which Ms. McCourt is a member under the change in control severance plan; (ii) we assumed that each NEO received his or her annual cash incentive that was earned in 2018 and paid in 2017 (described in the Summary Compensation Table above); (iii) we took into consideration, for purposes of determining whether each NEO was subject to a reduction under the terms of the change in control severance plan, the fact that each NEO’s stock options vest in full following an involuntary termination without Cause or termination for Good Reason following a change in control (parachute payments for time vesting stock options and restricted stock were valued using Internal Revenue Code Treas. Reg. Section 1.28G-1 Q&amp;A 24(c)); (iv) we assumed a 6.5% annual increase in medical premiums, 3% annual increase in dental and vision premiums, and no increase in disability or life insurance premiums or employer cost of tax and financial planning advisory services for 2018 and 2019; (v) we assumed that the medical insurance benefits received in 2019 and 2020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NEOs would be subject to potential delays upon separation of service under Section 409A of the Internal Revenue Code, we did not attempt to determine which, if any, payments would be delayed.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85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600190" cy="165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46"/>
          <w:szCs w:val="46"/>
          <w:b w:val="1"/>
          <w:bCs w:val="1"/>
          <w:color w:val="auto"/>
        </w:rPr>
        <w:t>ADDITIONAL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6600190" cy="165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175895</wp:posOffset>
            </wp:positionV>
            <wp:extent cx="66001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Arial" w:cs="Arial" w:eastAsia="Arial" w:hAnsi="Arial"/>
          <w:sz w:val="34"/>
          <w:szCs w:val="34"/>
          <w:b w:val="1"/>
          <w:bCs w:val="1"/>
          <w:color w:val="D61C5A"/>
        </w:rPr>
        <w:t>ANNUAL CASH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right="40"/>
        <w:spacing w:after="0" w:line="218" w:lineRule="auto"/>
        <w:rPr>
          <w:sz w:val="20"/>
          <w:szCs w:val="20"/>
          <w:color w:val="auto"/>
        </w:rPr>
      </w:pPr>
      <w:r>
        <w:rPr>
          <w:rFonts w:ascii="Arial" w:cs="Arial" w:eastAsia="Arial" w:hAnsi="Arial"/>
          <w:sz w:val="15"/>
          <w:szCs w:val="15"/>
          <w:color w:val="auto"/>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Although the Tax Cuts and Jobs Act eliminated the performance-based compensation exception for compensation paid in 2018 and beyond (as discussed under “Our Compensation Processes — Tax Implications” above), we have continued to use the Cash Incentive Bonus Plan for annual cash incentives for the reasons discussed under “Compensation Discussion and Analysis — Our Compensation Philosophy and Objectives” above. For 2018 annual cash incentives for the NEOs, we set up a cash incentive pool and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The Compensation Committee determined that Regeneron’s performance in 2018 exceeded the established goal, thus enabling the funding of the cash incentive pool. The Compensation Committee then exercised “negative discretion” (as permitted under the Plan) to reduce the annual cash incentive amounts otherwise payable to the NEOs according to the cash incentive pool formula. This negative discretion was exercised based on the Compensation Committee’s analysis of all of the relevant facts and circumstances, including the NEOs respective target cash incentive amounts and individual performance in 2018.</w:t>
      </w:r>
    </w:p>
    <w:p>
      <w:pPr>
        <w:spacing w:after="0" w:line="142" w:lineRule="exact"/>
        <w:rPr>
          <w:sz w:val="20"/>
          <w:szCs w:val="20"/>
          <w:color w:val="auto"/>
        </w:rPr>
      </w:pPr>
    </w:p>
    <w:p>
      <w:pPr>
        <w:ind w:right="100"/>
        <w:spacing w:after="0" w:line="221" w:lineRule="auto"/>
        <w:rPr>
          <w:sz w:val="20"/>
          <w:szCs w:val="20"/>
          <w:color w:val="auto"/>
        </w:rPr>
      </w:pPr>
      <w:r>
        <w:rPr>
          <w:rFonts w:ascii="Arial" w:cs="Arial" w:eastAsia="Arial" w:hAnsi="Arial"/>
          <w:sz w:val="15"/>
          <w:szCs w:val="15"/>
          <w:color w:val="auto"/>
        </w:rPr>
        <w:t>The targets for the 2018 annual cash incentives for the NEOs were set as percentages of their respective base salaries as follows: Dr. Schleifer — 120%; Dr. Yancopoulos — 120%; Mr. Landry — 50%; Mr. Van Plew — 60%; and Ms. McCourt — 50%. In December 2018, the Compensation Committee increased the annual cash incentive targets for Mr. Landry and Mr. Van Plew to 65%, commencing in 2019. In its decision to approve this increase, the Compensation Committee took into consideration the compensation of similarly situated executive officers and, in the case of Mr. Landry, also his promotion to Executive Vice President.</w:t>
      </w:r>
    </w:p>
    <w:p>
      <w:pPr>
        <w:spacing w:after="0" w:line="138" w:lineRule="exact"/>
        <w:rPr>
          <w:sz w:val="20"/>
          <w:szCs w:val="20"/>
          <w:color w:val="auto"/>
        </w:rPr>
      </w:pPr>
    </w:p>
    <w:p>
      <w:pPr>
        <w:ind w:right="20"/>
        <w:spacing w:after="0" w:line="219" w:lineRule="auto"/>
        <w:rPr>
          <w:sz w:val="20"/>
          <w:szCs w:val="20"/>
          <w:color w:val="auto"/>
        </w:rPr>
      </w:pPr>
      <w:r>
        <w:rPr>
          <w:rFonts w:ascii="Arial" w:cs="Arial" w:eastAsia="Arial" w:hAnsi="Arial"/>
          <w:sz w:val="15"/>
          <w:szCs w:val="15"/>
          <w:color w:val="auto"/>
        </w:rPr>
        <w:t>For 2018, Dr. Schleifer’s target cash compensation was set to remain below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base salary and cash incentive for 2018 would be set at 85% of Dr. Schleifer’s. In determining the cash incentive targets for 2018 for Mr. Landry, Mr. Van Plew, and Ms. McCourt, the Compensation Committee took into consideration the compensation of similarly situated executive officers at companies in the Peer Group.</w:t>
      </w:r>
    </w:p>
    <w:p>
      <w:pPr>
        <w:spacing w:after="0" w:line="141" w:lineRule="exact"/>
        <w:rPr>
          <w:sz w:val="20"/>
          <w:szCs w:val="20"/>
          <w:color w:val="auto"/>
        </w:rPr>
      </w:pPr>
    </w:p>
    <w:p>
      <w:pPr>
        <w:ind w:right="160"/>
        <w:spacing w:after="0" w:line="220" w:lineRule="auto"/>
        <w:rPr>
          <w:sz w:val="20"/>
          <w:szCs w:val="20"/>
          <w:color w:val="auto"/>
        </w:rPr>
      </w:pPr>
      <w:r>
        <w:rPr>
          <w:rFonts w:ascii="Arial" w:cs="Arial" w:eastAsia="Arial" w:hAnsi="Arial"/>
          <w:sz w:val="15"/>
          <w:szCs w:val="15"/>
          <w:color w:val="auto"/>
        </w:rPr>
        <w:t>The cash incentives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NEO based on the Committee’s assessment of the Company’s performance relative to the general corporate goals described below and, in the case of each of Mr. Landry, Mr. Van Plew, and Ms. McCourt, the NEO’s personal performance during the year.</w:t>
      </w:r>
    </w:p>
    <w:p>
      <w:pPr>
        <w:spacing w:after="0" w:line="140" w:lineRule="exact"/>
        <w:rPr>
          <w:sz w:val="20"/>
          <w:szCs w:val="20"/>
          <w:color w:val="auto"/>
        </w:rPr>
      </w:pPr>
    </w:p>
    <w:p>
      <w:pPr>
        <w:ind w:right="20"/>
        <w:spacing w:after="0" w:line="223" w:lineRule="auto"/>
        <w:rPr>
          <w:sz w:val="20"/>
          <w:szCs w:val="20"/>
          <w:color w:val="auto"/>
        </w:rPr>
      </w:pPr>
      <w:r>
        <w:rPr>
          <w:rFonts w:ascii="Arial" w:cs="Arial" w:eastAsia="Arial" w:hAnsi="Arial"/>
          <w:sz w:val="15"/>
          <w:szCs w:val="15"/>
          <w:color w:val="auto"/>
        </w:rPr>
        <w:t>The pipeline-related factors that contributed most to the Compensation Committee’s determination of the Company performance multiplier (which was set at 1.85 for 2018) are summarized in the subsection “Compensation Discussion and Analysis — Components of Executive Pay: What We Pay and Why We Pay It — Annual Cash Incentive.”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540" w:space="480"/>
            <w:col w:w="7380"/>
          </w:cols>
          <w:pgMar w:left="760" w:top="396" w:right="739" w:bottom="1440" w:gutter="0" w:footer="0" w:header="0"/>
          <w:type w:val="continuous"/>
        </w:sectPr>
      </w:pPr>
    </w:p>
    <w:bookmarkStart w:id="99" w:name="page100"/>
    <w:bookmarkEnd w:id="99"/>
    <w:p>
      <w:pPr>
        <w:ind w:left="546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
        <w:spacing w:after="0"/>
        <w:rPr>
          <w:sz w:val="20"/>
          <w:szCs w:val="20"/>
          <w:color w:val="auto"/>
        </w:rPr>
      </w:pPr>
      <w:r>
        <w:rPr>
          <w:rFonts w:ascii="Arial" w:cs="Arial" w:eastAsia="Arial" w:hAnsi="Arial"/>
          <w:sz w:val="34"/>
          <w:szCs w:val="34"/>
          <w:b w:val="1"/>
          <w:bCs w:val="1"/>
          <w:color w:val="D61C5A"/>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-334010</wp:posOffset>
            </wp:positionV>
            <wp:extent cx="164973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36" w:lineRule="exact"/>
        <w:rPr>
          <w:sz w:val="20"/>
          <w:szCs w:val="20"/>
          <w:color w:val="auto"/>
        </w:rPr>
      </w:pPr>
    </w:p>
    <w:p>
      <w:pPr>
        <w:ind w:left="520"/>
        <w:spacing w:after="0"/>
        <w:rPr>
          <w:sz w:val="20"/>
          <w:szCs w:val="20"/>
          <w:color w:val="auto"/>
        </w:rPr>
      </w:pPr>
      <w:r>
        <w:rPr>
          <w:rFonts w:ascii="Arial" w:cs="Arial" w:eastAsia="Arial" w:hAnsi="Arial"/>
          <w:sz w:val="35"/>
          <w:szCs w:val="35"/>
          <w:b w:val="1"/>
          <w:bCs w:val="1"/>
          <w:color w:val="D61C5A"/>
        </w:rPr>
        <w:t>AND</w:t>
      </w:r>
    </w:p>
    <w:p>
      <w:pPr>
        <w:ind w:left="520"/>
        <w:spacing w:after="0"/>
        <w:rPr>
          <w:sz w:val="20"/>
          <w:szCs w:val="20"/>
          <w:color w:val="auto"/>
        </w:rPr>
      </w:pPr>
      <w:r>
        <w:rPr>
          <w:rFonts w:ascii="Arial" w:cs="Arial" w:eastAsia="Arial" w:hAnsi="Arial"/>
          <w:sz w:val="35"/>
          <w:szCs w:val="35"/>
          <w:b w:val="1"/>
          <w:bCs w:val="1"/>
          <w:color w:val="D61C5A"/>
        </w:rPr>
        <w:t>PERSONAL</w:t>
      </w:r>
    </w:p>
    <w:p>
      <w:pPr>
        <w:ind w:left="520"/>
        <w:spacing w:after="0"/>
        <w:rPr>
          <w:sz w:val="20"/>
          <w:szCs w:val="20"/>
          <w:color w:val="auto"/>
        </w:rPr>
      </w:pPr>
      <w:r>
        <w:rPr>
          <w:rFonts w:ascii="Arial" w:cs="Arial" w:eastAsia="Arial" w:hAnsi="Arial"/>
          <w:sz w:val="35"/>
          <w:szCs w:val="35"/>
          <w:b w:val="1"/>
          <w:bCs w:val="1"/>
          <w:color w:val="D61C5A"/>
        </w:rPr>
        <w:t>BENEFITS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540"/>
        <w:spacing w:after="0" w:line="235" w:lineRule="auto"/>
        <w:rPr>
          <w:sz w:val="20"/>
          <w:szCs w:val="20"/>
          <w:color w:val="auto"/>
        </w:rPr>
      </w:pPr>
      <w:r>
        <w:rPr>
          <w:rFonts w:ascii="Arial" w:cs="Arial" w:eastAsia="Arial" w:hAnsi="Arial"/>
          <w:sz w:val="14"/>
          <w:szCs w:val="14"/>
          <w:color w:val="auto"/>
        </w:rPr>
        <w:t>With respect to 2018, the Compensation Committee approved a personal performance multiplier of 1.5 for each of Mr. Landry, Mr. Van Plew, and Ms. McCourt. The personal performance component accounted for 40% of these NEOs’ cash incentives. The Company component was based on a Company performance multiplier that was determined based on the Company’s overall corporate performance (as described above) against 2018 goals that were approved by the board of directors in January 2018. This Company performance component accounted for 60% of the cash incentives awarded to Mr. Landry, Mr. Van Plew, and Ms. McCourt. In the case of Drs. Schleifer and Yancopoulos, the Compensation Committee focused exclusively on overall Company performance in 2018 (as described above) when determining their cash incentives and did not utilize a personal performance multiplier.</w:t>
      </w:r>
    </w:p>
    <w:p>
      <w:pPr>
        <w:spacing w:after="0" w:line="142" w:lineRule="exact"/>
        <w:rPr>
          <w:sz w:val="20"/>
          <w:szCs w:val="20"/>
          <w:color w:val="auto"/>
        </w:rPr>
      </w:pPr>
    </w:p>
    <w:p>
      <w:pPr>
        <w:ind w:right="620"/>
        <w:spacing w:after="0" w:line="218" w:lineRule="auto"/>
        <w:rPr>
          <w:sz w:val="20"/>
          <w:szCs w:val="20"/>
          <w:color w:val="auto"/>
        </w:rPr>
      </w:pPr>
      <w:r>
        <w:rPr>
          <w:rFonts w:ascii="Arial" w:cs="Arial" w:eastAsia="Arial" w:hAnsi="Arial"/>
          <w:sz w:val="15"/>
          <w:szCs w:val="15"/>
          <w:color w:val="auto"/>
        </w:rPr>
        <w:t>In determining the personal performance multiplier for Mr. Landry, the Compensation Committee gave special consideration to Mr. Landry’s leadership of and accomplishments in the Company’s accounting, finance, and tax functions and across his other responsibilities, including his leadership of the information technology and real estate &amp; facilities management organizations. In the case of Mr. Van Plew, the Compensation Committee focused primarily on Mr. Van Plew’s leadership of and accomplishments in the Company’s Industrial Operations and Product Supply organization, including with respect to expanded manufacturing capacities, preparations for new product launches, successful technology transfer of commercial manufacturing of certain Company products between Regeneron’s Rensselaer, New York and Raheen, Ireland facilities, and successful completion of all regulatory audits in 2018 (including a pre-approval FDA inspection for Libtayo). In the case of Ms. McCourt, the Compensation Committee considered her leadership and performance across the portfolio of the Company’s commercialized products, including the continued growth of the EYLEA franchise, further commercialization of Dupixent, and the launch of Libtayo.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46863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96" w:lineRule="exact"/>
        <w:rPr>
          <w:sz w:val="20"/>
          <w:szCs w:val="20"/>
          <w:color w:val="auto"/>
        </w:rPr>
      </w:pPr>
    </w:p>
    <w:p>
      <w:pPr>
        <w:ind w:right="540"/>
        <w:spacing w:after="0" w:line="234" w:lineRule="auto"/>
        <w:rPr>
          <w:sz w:val="20"/>
          <w:szCs w:val="20"/>
          <w:color w:val="auto"/>
        </w:rPr>
      </w:pPr>
      <w:r>
        <w:rPr>
          <w:rFonts w:ascii="Arial" w:cs="Arial" w:eastAsia="Arial" w:hAnsi="Arial"/>
          <w:sz w:val="14"/>
          <w:szCs w:val="14"/>
          <w:color w:val="auto"/>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8% with respect to 2016, 2017, and 2018 and was increased to 10% with respect to 2019), up to a maximum level established under the Internal Revenue Code. Each of our NEOs participated in our 401(k) Savings Plan during 2018 and received a matching contribution in the aggregate amount of $11,000 ($9,250 in the case of Mr. Van Plew and Ms. McCourt) in the form of shares of our common stock. The contribution was paid in February 2019 and is included in the compensation amounts reported for each of our NEOs in the Summary Compensation Table included in this proxy statement. As with all employees, the number of shares of common stock that each NEO received was determined using the average market price per share of our common stock during the 401(k) Savings Plan year, which for 2018 was $351.70.</w:t>
      </w:r>
    </w:p>
    <w:p>
      <w:pPr>
        <w:spacing w:after="0" w:line="144" w:lineRule="exact"/>
        <w:rPr>
          <w:sz w:val="20"/>
          <w:szCs w:val="20"/>
          <w:color w:val="auto"/>
        </w:rPr>
      </w:pPr>
    </w:p>
    <w:p>
      <w:pPr>
        <w:ind w:right="660"/>
        <w:spacing w:after="0" w:line="234" w:lineRule="auto"/>
        <w:rPr>
          <w:sz w:val="20"/>
          <w:szCs w:val="20"/>
          <w:color w:val="auto"/>
        </w:rPr>
      </w:pPr>
      <w:r>
        <w:rPr>
          <w:rFonts w:ascii="Arial" w:cs="Arial" w:eastAsia="Arial" w:hAnsi="Arial"/>
          <w:sz w:val="14"/>
          <w:szCs w:val="14"/>
          <w:color w:val="auto"/>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$250,000 in incremental cost (as described below) annually for each of Drs. Schleifer and Yancopoulos. Family members or other guests may accompany our NEOs and directors during Company-provided air business travel, space permitting, so long as they cover any incremental cost related to such guests (other than with respect to the family members of Drs. Schleifer and Yancopoulos as described above). In addition, in limited circumstances personal use of Company-provided air travel by our other NEOs or directors may be permitted if authorized by the Chairman and any incremental cost is paid by the lead passenger. Any required reimbursement or other payment of the incremental cost is made to the extent permitted by applicable Federal Aviation Administration rules.</w:t>
      </w:r>
    </w:p>
    <w:p>
      <w:pPr>
        <w:spacing w:after="0" w:line="142" w:lineRule="exact"/>
        <w:rPr>
          <w:sz w:val="20"/>
          <w:szCs w:val="20"/>
          <w:color w:val="auto"/>
        </w:rPr>
      </w:pPr>
    </w:p>
    <w:p>
      <w:pPr>
        <w:ind w:right="820"/>
        <w:spacing w:after="0" w:line="225" w:lineRule="auto"/>
        <w:rPr>
          <w:sz w:val="20"/>
          <w:szCs w:val="20"/>
          <w:color w:val="auto"/>
        </w:rPr>
      </w:pPr>
      <w:r>
        <w:rPr>
          <w:rFonts w:ascii="Arial" w:cs="Arial" w:eastAsia="Arial" w:hAnsi="Arial"/>
          <w:sz w:val="15"/>
          <w:szCs w:val="15"/>
          <w:color w:val="auto"/>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w:t>
      </w:r>
    </w:p>
    <w:p>
      <w:pPr>
        <w:spacing w:after="0" w:line="168" w:lineRule="exact"/>
        <w:rPr>
          <w:sz w:val="20"/>
          <w:szCs w:val="20"/>
          <w:color w:val="auto"/>
        </w:rPr>
      </w:pPr>
    </w:p>
    <w:p>
      <w:pPr>
        <w:sectPr>
          <w:pgSz w:w="11900" w:h="16838" w:orient="portrait"/>
          <w:cols w:equalWidth="0" w:num="2">
            <w:col w:w="2840" w:space="70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87</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600190" cy="165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40"/>
        <w:spacing w:after="0" w:line="268" w:lineRule="auto"/>
        <w:rPr>
          <w:sz w:val="20"/>
          <w:szCs w:val="20"/>
          <w:color w:val="auto"/>
        </w:rPr>
      </w:pPr>
      <w:r>
        <w:rPr>
          <w:rFonts w:ascii="Arial" w:cs="Arial" w:eastAsia="Arial" w:hAnsi="Arial"/>
          <w:sz w:val="34"/>
          <w:szCs w:val="34"/>
          <w:b w:val="1"/>
          <w:bCs w:val="1"/>
          <w:color w:val="D61C5A"/>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-917575</wp:posOffset>
            </wp:positionV>
            <wp:extent cx="164973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spacing w:after="0" w:line="139" w:lineRule="exact"/>
        <w:rPr>
          <w:sz w:val="20"/>
          <w:szCs w:val="20"/>
          <w:color w:val="auto"/>
        </w:rPr>
      </w:pPr>
    </w:p>
    <w:p>
      <w:pPr>
        <w:ind w:right="200"/>
        <w:spacing w:after="0" w:line="223" w:lineRule="auto"/>
        <w:rPr>
          <w:sz w:val="20"/>
          <w:szCs w:val="20"/>
          <w:color w:val="auto"/>
        </w:rPr>
      </w:pPr>
      <w:r>
        <w:rPr>
          <w:rFonts w:ascii="Arial" w:cs="Arial" w:eastAsia="Arial" w:hAnsi="Arial"/>
          <w:sz w:val="15"/>
          <w:szCs w:val="15"/>
          <w:color w:val="auto"/>
        </w:rPr>
        <w:t>We calculate the incremental costs of the secure car transportation provided by Regeneron as the average fuel cost per mile times total personal use miles plus the contractor rate (if any), salary, taxes, and benefits of drivers attributed to personal use based on the number of personal hours driven. Fixed lease costs and routine maintenance that would have been incurred in any event are not included.</w:t>
      </w:r>
    </w:p>
    <w:p>
      <w:pPr>
        <w:spacing w:after="0" w:line="138" w:lineRule="exact"/>
        <w:rPr>
          <w:sz w:val="20"/>
          <w:szCs w:val="20"/>
          <w:color w:val="auto"/>
        </w:rPr>
      </w:pPr>
    </w:p>
    <w:p>
      <w:pPr>
        <w:ind w:right="120"/>
        <w:spacing w:after="0" w:line="225" w:lineRule="auto"/>
        <w:rPr>
          <w:sz w:val="20"/>
          <w:szCs w:val="20"/>
          <w:color w:val="auto"/>
        </w:rPr>
      </w:pPr>
      <w:r>
        <w:rPr>
          <w:rFonts w:ascii="Arial" w:cs="Arial" w:eastAsia="Arial" w:hAnsi="Arial"/>
          <w:sz w:val="15"/>
          <w:szCs w:val="15"/>
          <w:color w:val="auto"/>
        </w:rPr>
        <w:t>Amounts associated with personal or guest Company-provided air and secure car transportation are imputed as income to the NEOs to the extent required by applicable tax regulations. The NEOs do not receive a tax gross-up from us to cover their personal income tax obligations in respect of any such imputed income.</w:t>
      </w:r>
    </w:p>
    <w:p>
      <w:pPr>
        <w:spacing w:after="0" w:line="139" w:lineRule="exact"/>
        <w:rPr>
          <w:sz w:val="20"/>
          <w:szCs w:val="20"/>
          <w:color w:val="auto"/>
        </w:rPr>
      </w:pPr>
    </w:p>
    <w:p>
      <w:pPr>
        <w:ind w:right="260"/>
        <w:spacing w:after="0" w:line="223" w:lineRule="auto"/>
        <w:rPr>
          <w:sz w:val="20"/>
          <w:szCs w:val="20"/>
          <w:color w:val="auto"/>
        </w:rPr>
      </w:pPr>
      <w:r>
        <w:rPr>
          <w:rFonts w:ascii="Arial" w:cs="Arial" w:eastAsia="Arial" w:hAnsi="Arial"/>
          <w:sz w:val="15"/>
          <w:szCs w:val="15"/>
          <w:color w:val="auto"/>
        </w:rPr>
        <w:t>The amounts disclosed in the “All other compensation” column of the Summary Compensation Table relating to personal and guest use of Company-provided air and secure car transportation in accordance with our security policy attributable to Drs. Schleifer and Yancopoulos are based on the incremental cost resulting from such transportation as described above.</w:t>
      </w:r>
    </w:p>
    <w:p>
      <w:pPr>
        <w:spacing w:after="0" w:line="138" w:lineRule="exact"/>
        <w:rPr>
          <w:sz w:val="20"/>
          <w:szCs w:val="20"/>
          <w:color w:val="auto"/>
        </w:rPr>
      </w:pPr>
    </w:p>
    <w:p>
      <w:pPr>
        <w:ind w:right="140"/>
        <w:spacing w:after="0" w:line="229" w:lineRule="auto"/>
        <w:rPr>
          <w:sz w:val="20"/>
          <w:szCs w:val="20"/>
          <w:color w:val="auto"/>
        </w:rPr>
      </w:pPr>
      <w:r>
        <w:rPr>
          <w:rFonts w:ascii="Arial" w:cs="Arial" w:eastAsia="Arial" w:hAnsi="Arial"/>
          <w:sz w:val="15"/>
          <w:szCs w:val="15"/>
          <w:color w:val="auto"/>
        </w:rPr>
        <w:t>The Corporate Governance and Compliance Committee monitors business and any personal or guest Company-provided air travel on a periodic basis.</w:t>
      </w:r>
    </w:p>
    <w:p>
      <w:pPr>
        <w:spacing w:after="0" w:line="139" w:lineRule="exact"/>
        <w:rPr>
          <w:sz w:val="20"/>
          <w:szCs w:val="20"/>
          <w:color w:val="auto"/>
        </w:rPr>
      </w:pPr>
    </w:p>
    <w:p>
      <w:pPr>
        <w:ind w:right="60"/>
        <w:spacing w:after="0" w:line="218" w:lineRule="auto"/>
        <w:rPr>
          <w:sz w:val="20"/>
          <w:szCs w:val="20"/>
          <w:color w:val="auto"/>
        </w:rPr>
      </w:pPr>
      <w:r>
        <w:rPr>
          <w:rFonts w:ascii="Arial" w:cs="Arial" w:eastAsia="Arial" w:hAnsi="Arial"/>
          <w:sz w:val="15"/>
          <w:szCs w:val="15"/>
          <w:color w:val="auto"/>
        </w:rPr>
        <w:t>In 2018, we paid filing fees of $280,000 and $125,000 relating to the Hart-Scott-Rodino (“HSR”) filings for Drs. Schleifer and Yancopoulos, respectively, as well as tax reimbursements of $268,697 and $119,954 to Drs. Schleifer and Yancopoulos, respectively, to cover their imputed income associated with the filing fee payments. Each filing and the associated filing fee were triggered under the HSR regulations as a result of their respective then-current and anticipated future total holdings of Regeneron stock exceeding specified thresholds. The Compensation Committee determined it appropriate to pay these amounts because the HSR filing obligations resulted from equity awards granted to Drs. Schleifer and Yancopoulos under the Company’s compensation program and the price appreciation in Regeneron stock acquired by Drs. Schleifer and Yancopoulos over a period of time during which they made substantial contributions toward such appreciation. The Compensation Committee also recognized that Regeneron had required Drs. Schleifer and Yancopoulos (as well as other senior executives) to hold Regeneron stock under the Company’s stock ownership guidelines and encouraged alignment of their interests with those of Regeneron’s shareholders through share ownership.</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Additional information regarding perquisites and other personal benefits provided to our NEOs in, or with respect to, 2018 is given in the applicable footnotes to the Summary Compensation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46863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32" w:lineRule="exact"/>
        <w:rPr>
          <w:sz w:val="20"/>
          <w:szCs w:val="20"/>
          <w:color w:val="auto"/>
        </w:rPr>
      </w:pPr>
    </w:p>
    <w:p>
      <w:pPr>
        <w:ind w:right="60"/>
        <w:spacing w:after="0" w:line="221" w:lineRule="auto"/>
        <w:rPr>
          <w:sz w:val="20"/>
          <w:szCs w:val="20"/>
          <w:color w:val="auto"/>
        </w:rPr>
      </w:pPr>
      <w:r>
        <w:rPr>
          <w:rFonts w:ascii="Arial" w:cs="Arial" w:eastAsia="Arial" w:hAnsi="Arial"/>
          <w:sz w:val="15"/>
          <w:szCs w:val="15"/>
          <w:color w:val="auto"/>
        </w:rPr>
        <w:t>Except for Dr. Vagelos, outstanding stock option award agreements for all employees, as well as outstanding restricted stock award agreements, include a “double trigger” provision for the acceleration of vesting of unvested stock options or restricted stock upon a termination by the Company without cause or by the employee for good reason within two years following a change in control. Dr. Vagelos’s stock option awards contain change-of-control provisions consistent with those of non-employee director stock option awards, as described under “Corporate Governance — Compensation of Directors” above.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300" w:space="720"/>
            <w:col w:w="7380"/>
          </w:cols>
          <w:pgMar w:left="760" w:top="396" w:right="739" w:bottom="1440" w:gutter="0" w:footer="0" w:header="0"/>
          <w:type w:val="continuous"/>
        </w:sectPr>
      </w:pPr>
    </w:p>
    <w:bookmarkStart w:id="101" w:name="page102"/>
    <w:bookmarkEnd w:id="101"/>
    <w:p>
      <w:pPr>
        <w:ind w:left="546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33"/>
          <w:szCs w:val="33"/>
          <w:b w:val="1"/>
          <w:bCs w:val="1"/>
          <w:color w:val="D61C5A"/>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-327025</wp:posOffset>
            </wp:positionV>
            <wp:extent cx="16497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520"/>
        <w:spacing w:after="0" w:line="235" w:lineRule="auto"/>
        <w:rPr>
          <w:sz w:val="20"/>
          <w:szCs w:val="20"/>
          <w:color w:val="auto"/>
        </w:rPr>
      </w:pPr>
      <w:r>
        <w:rPr>
          <w:rFonts w:ascii="Arial" w:cs="Arial" w:eastAsia="Arial" w:hAnsi="Arial"/>
          <w:sz w:val="14"/>
          <w:szCs w:val="14"/>
          <w:color w:val="auto"/>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and restricted stock award agreements applicable to his awards granted since December 2015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“2018 Compensation Tables — Post-Employment Compensation.”</w:t>
      </w:r>
    </w:p>
    <w:p>
      <w:pPr>
        <w:spacing w:after="0" w:line="139" w:lineRule="exact"/>
        <w:rPr>
          <w:sz w:val="20"/>
          <w:szCs w:val="20"/>
          <w:color w:val="auto"/>
        </w:rPr>
      </w:pPr>
    </w:p>
    <w:p>
      <w:pPr>
        <w:ind w:right="640"/>
        <w:spacing w:after="0" w:line="219" w:lineRule="auto"/>
        <w:rPr>
          <w:sz w:val="20"/>
          <w:szCs w:val="20"/>
          <w:color w:val="auto"/>
        </w:rPr>
      </w:pPr>
      <w:r>
        <w:rPr>
          <w:rFonts w:ascii="Arial" w:cs="Arial" w:eastAsia="Arial" w:hAnsi="Arial"/>
          <w:sz w:val="15"/>
          <w:szCs w:val="15"/>
          <w:color w:val="auto"/>
        </w:rPr>
        <w:t>Our NEOs will forfeit any unvested time-based stock options or restricted stock upon the termination of their employment for any reason (including disability or retirement) other than death, except as provided in our employment agreement with our CEO, in our change in control severance plan, and in certain stock option agreements with our CSO. In the event of the death of an employee, any unvested stock options held by such employee become immediately exercisable, and any shares of restricted stock will become fully vested. For information regarding the value of accelerated stock options and shares of restricted stock held by our CEO and other NEOs as of December 31, 2018, see the subsection “2018 Compensation Tables — Post-Employment Compensation” under “Value of Accelerated Stock Options” in the table entitled “Potential Severance Payments under Dr. Schleifer’s Employment Agreement” (for our CEO) and under “Value of Accelerated Stock Options/Restricted Stock” in the table entitled “Potential Payments under Change in Control Severance Plan” (for other NEOs).</w:t>
      </w:r>
    </w:p>
    <w:p>
      <w:pPr>
        <w:spacing w:after="0" w:line="140" w:lineRule="exact"/>
        <w:rPr>
          <w:sz w:val="20"/>
          <w:szCs w:val="20"/>
          <w:color w:val="auto"/>
        </w:rPr>
      </w:pPr>
    </w:p>
    <w:p>
      <w:pPr>
        <w:ind w:right="560"/>
        <w:spacing w:after="0" w:line="220" w:lineRule="auto"/>
        <w:rPr>
          <w:sz w:val="20"/>
          <w:szCs w:val="20"/>
          <w:color w:val="auto"/>
        </w:rPr>
      </w:pPr>
      <w:r>
        <w:rPr>
          <w:rFonts w:ascii="Arial" w:cs="Arial" w:eastAsia="Arial" w:hAnsi="Arial"/>
          <w:sz w:val="15"/>
          <w:szCs w:val="15"/>
          <w:color w:val="auto"/>
        </w:rPr>
        <w:t>When employees (other than our CEO and, with respect to 2018 stock option awards, our CSO and Dr. Vagelos) retire, they forfeit all unvested time-based stock options and restricted stock. An employee considered “retirement eligible” upon separation under our employee policies as in effect from time to time has the remaining life of the 10-year stock option term to exercise stock options that are vested as of the date of his or her retirement. In addition, the stock option agreements with our CSO and Dr. Vagelos relating to their 2018 stock option awards provide that their respective stock option awards will continue to vest so long as they are “retirement eligible” upon separation.</w:t>
      </w:r>
    </w:p>
    <w:p>
      <w:pPr>
        <w:spacing w:after="0" w:line="140" w:lineRule="exact"/>
        <w:rPr>
          <w:sz w:val="20"/>
          <w:szCs w:val="20"/>
          <w:color w:val="auto"/>
        </w:rPr>
      </w:pPr>
    </w:p>
    <w:p>
      <w:pPr>
        <w:ind w:right="600"/>
        <w:spacing w:after="0" w:line="221" w:lineRule="auto"/>
        <w:rPr>
          <w:sz w:val="20"/>
          <w:szCs w:val="20"/>
          <w:color w:val="auto"/>
        </w:rPr>
      </w:pPr>
      <w:r>
        <w:rPr>
          <w:rFonts w:ascii="Arial" w:cs="Arial" w:eastAsia="Arial" w:hAnsi="Arial"/>
          <w:sz w:val="15"/>
          <w:szCs w:val="15"/>
          <w:color w:val="auto"/>
        </w:rPr>
        <w:t>The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 severance benefits were established following a review of comparable practices at the Company’s peer companies and with the advice of the Compensation Committee’s consultant.</w:t>
      </w:r>
    </w:p>
    <w:p>
      <w:pPr>
        <w:spacing w:after="0" w:line="141" w:lineRule="exact"/>
        <w:rPr>
          <w:sz w:val="20"/>
          <w:szCs w:val="20"/>
          <w:color w:val="auto"/>
        </w:rPr>
      </w:pPr>
    </w:p>
    <w:p>
      <w:pPr>
        <w:ind w:right="540"/>
        <w:spacing w:after="0" w:line="229" w:lineRule="auto"/>
        <w:rPr>
          <w:sz w:val="20"/>
          <w:szCs w:val="20"/>
          <w:color w:val="auto"/>
        </w:rPr>
      </w:pPr>
      <w:r>
        <w:rPr>
          <w:rFonts w:ascii="Arial" w:cs="Arial" w:eastAsia="Arial" w:hAnsi="Arial"/>
          <w:sz w:val="15"/>
          <w:szCs w:val="15"/>
          <w:color w:val="auto"/>
        </w:rPr>
        <w:t>We have no pension, deferred compensation, or retirement plans for U.S.-based employees, other than our 401(k) Savings Plan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46863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39" w:lineRule="exact"/>
        <w:rPr>
          <w:sz w:val="20"/>
          <w:szCs w:val="20"/>
          <w:color w:val="auto"/>
        </w:rPr>
      </w:pPr>
    </w:p>
    <w:p>
      <w:pPr>
        <w:ind w:right="840"/>
        <w:spacing w:after="0" w:line="223" w:lineRule="auto"/>
        <w:rPr>
          <w:sz w:val="20"/>
          <w:szCs w:val="20"/>
          <w:color w:val="auto"/>
        </w:rPr>
      </w:pPr>
      <w:r>
        <w:rPr>
          <w:rFonts w:ascii="Arial" w:cs="Arial" w:eastAsia="Arial" w:hAnsi="Arial"/>
          <w:sz w:val="15"/>
          <w:szCs w:val="15"/>
          <w:color w:val="auto"/>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spacing w:after="0" w:line="138" w:lineRule="exact"/>
        <w:rPr>
          <w:sz w:val="20"/>
          <w:szCs w:val="20"/>
          <w:color w:val="auto"/>
        </w:rPr>
      </w:pPr>
    </w:p>
    <w:p>
      <w:pPr>
        <w:ind w:right="640"/>
        <w:spacing w:after="0" w:line="221" w:lineRule="auto"/>
        <w:rPr>
          <w:sz w:val="20"/>
          <w:szCs w:val="20"/>
          <w:color w:val="auto"/>
        </w:rPr>
      </w:pPr>
      <w:r>
        <w:rPr>
          <w:rFonts w:ascii="Arial" w:cs="Arial" w:eastAsia="Arial" w:hAnsi="Arial"/>
          <w:sz w:val="15"/>
          <w:szCs w:val="15"/>
          <w:color w:val="auto"/>
        </w:rPr>
        <w:t>We have determined the total compensation of our median employee (based on the 2018 annual total compensation of our employees, excluding Dr. Schleifer) to be $134,115. The total 2018 compensation of Dr. Schleifer, as reported in the Summary Compensation Table above, was $26,520,555. Accordingly, the ratio of the 2018 annual total compensation of Dr. Schleifer to the median of the 2018 annual total compensation of our employees was approximately 198 to 1.</w:t>
      </w:r>
    </w:p>
    <w:p>
      <w:pPr>
        <w:spacing w:after="0" w:line="141" w:lineRule="exact"/>
        <w:rPr>
          <w:sz w:val="20"/>
          <w:szCs w:val="20"/>
          <w:color w:val="auto"/>
        </w:rPr>
      </w:pPr>
    </w:p>
    <w:p>
      <w:pPr>
        <w:ind w:right="680"/>
        <w:spacing w:after="0" w:line="223" w:lineRule="auto"/>
        <w:rPr>
          <w:sz w:val="20"/>
          <w:szCs w:val="20"/>
          <w:color w:val="auto"/>
        </w:rPr>
      </w:pPr>
      <w:r>
        <w:rPr>
          <w:rFonts w:ascii="Arial" w:cs="Arial" w:eastAsia="Arial" w:hAnsi="Arial"/>
          <w:sz w:val="15"/>
          <w:szCs w:val="15"/>
          <w:color w:val="auto"/>
        </w:rPr>
        <w:t>Consistent with our process for identifying the median employee for 2017, for 2018 we identified the median employee as of December 31, 2018 by (i) aggregating for each applicable employee (a) annual base salary for salaried employees (or wages plus overtime, based on annual work schedule, for permanent hourly employees), (b) the annual cash incentive, and (c) the grant date fair value of any equity awards granted</w:t>
      </w:r>
    </w:p>
    <w:p>
      <w:pPr>
        <w:spacing w:after="0" w:line="168" w:lineRule="exact"/>
        <w:rPr>
          <w:sz w:val="20"/>
          <w:szCs w:val="20"/>
          <w:color w:val="auto"/>
        </w:rPr>
      </w:pPr>
    </w:p>
    <w:p>
      <w:pPr>
        <w:sectPr>
          <w:pgSz w:w="11900" w:h="16838" w:orient="portrait"/>
          <w:cols w:equalWidth="0" w:num="2">
            <w:col w:w="2820" w:space="72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89</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2" w:name="page103"/>
    <w:bookmarkEnd w:id="102"/>
    <w:p>
      <w:pPr>
        <w:ind w:left="520"/>
        <w:spacing w:after="0"/>
        <w:rPr>
          <w:sz w:val="20"/>
          <w:szCs w:val="20"/>
          <w:color w:val="auto"/>
        </w:rPr>
      </w:pPr>
      <w:r>
        <w:rPr>
          <w:rFonts w:ascii="Arial" w:cs="Arial" w:eastAsia="Arial" w:hAnsi="Arial"/>
          <w:sz w:val="14"/>
          <w:szCs w:val="14"/>
          <w:b w:val="1"/>
          <w:bCs w:val="1"/>
          <w:color w:val="205BA8"/>
        </w:rPr>
        <w:t xml:space="preserve">COMPENSATION-RELATED MATTERS  </w:t>
      </w:r>
      <w:r>
        <w:rPr>
          <w:rFonts w:ascii="Arial" w:cs="Arial" w:eastAsia="Arial" w:hAnsi="Arial"/>
          <w:sz w:val="14"/>
          <w:szCs w:val="14"/>
          <w:color w:val="205BA8"/>
        </w:rPr>
        <w:t>/</w:t>
      </w:r>
      <w:r>
        <w:rPr>
          <w:rFonts w:ascii="Arial" w:cs="Arial" w:eastAsia="Arial" w:hAnsi="Arial"/>
          <w:sz w:val="14"/>
          <w:szCs w:val="14"/>
          <w:b w:val="1"/>
          <w:bCs w:val="1"/>
          <w:color w:val="205BA8"/>
        </w:rPr>
        <w:t xml:space="preserve">  </w:t>
      </w:r>
      <w:r>
        <w:rPr>
          <w:rFonts w:ascii="Arial" w:cs="Arial" w:eastAsia="Arial" w:hAnsi="Arial"/>
          <w:sz w:val="14"/>
          <w:szCs w:val="14"/>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35"/>
          <w:szCs w:val="35"/>
          <w:b w:val="1"/>
          <w:bCs w:val="1"/>
          <w:color w:val="D61C5A"/>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-341630</wp:posOffset>
            </wp:positionV>
            <wp:extent cx="164973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4" w:lineRule="exact"/>
        <w:rPr>
          <w:sz w:val="20"/>
          <w:szCs w:val="20"/>
          <w:color w:val="auto"/>
        </w:rPr>
      </w:pPr>
    </w:p>
    <w:p>
      <w:pPr>
        <w:ind w:left="520"/>
        <w:spacing w:after="0"/>
        <w:rPr>
          <w:sz w:val="20"/>
          <w:szCs w:val="20"/>
          <w:color w:val="auto"/>
        </w:rPr>
      </w:pPr>
      <w:r>
        <w:rPr>
          <w:rFonts w:ascii="Arial" w:cs="Arial" w:eastAsia="Arial" w:hAnsi="Arial"/>
          <w:sz w:val="34"/>
          <w:szCs w:val="34"/>
          <w:b w:val="1"/>
          <w:bCs w:val="1"/>
          <w:color w:val="D61C5A"/>
        </w:rPr>
        <w:t>COMPENSATION</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35"/>
          <w:szCs w:val="35"/>
          <w:b w:val="1"/>
          <w:bCs w:val="1"/>
          <w:color w:val="D61C5A"/>
        </w:rPr>
        <w:t>INFORMATION</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520"/>
        <w:spacing w:after="0" w:line="223" w:lineRule="auto"/>
        <w:rPr>
          <w:sz w:val="20"/>
          <w:szCs w:val="20"/>
          <w:color w:val="auto"/>
        </w:rPr>
      </w:pPr>
      <w:r>
        <w:rPr>
          <w:rFonts w:ascii="Arial" w:cs="Arial" w:eastAsia="Arial" w:hAnsi="Arial"/>
          <w:sz w:val="15"/>
          <w:szCs w:val="15"/>
          <w:color w:val="auto"/>
        </w:rPr>
        <w:t>during 2018,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2018 average exchange rate.</w:t>
      </w:r>
    </w:p>
    <w:p>
      <w:pPr>
        <w:spacing w:after="0" w:line="138" w:lineRule="exact"/>
        <w:rPr>
          <w:sz w:val="20"/>
          <w:szCs w:val="20"/>
          <w:color w:val="auto"/>
        </w:rPr>
      </w:pPr>
    </w:p>
    <w:p>
      <w:pPr>
        <w:ind w:right="520"/>
        <w:spacing w:after="0" w:line="220" w:lineRule="auto"/>
        <w:rPr>
          <w:sz w:val="20"/>
          <w:szCs w:val="20"/>
          <w:color w:val="auto"/>
        </w:rPr>
      </w:pPr>
      <w:r>
        <w:rPr>
          <w:rFonts w:ascii="Arial" w:cs="Arial" w:eastAsia="Arial" w:hAnsi="Arial"/>
          <w:sz w:val="15"/>
          <w:szCs w:val="15"/>
          <w:color w:val="auto"/>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46863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66" w:lineRule="exact"/>
        <w:rPr>
          <w:sz w:val="20"/>
          <w:szCs w:val="20"/>
          <w:color w:val="auto"/>
        </w:rPr>
      </w:pPr>
    </w:p>
    <w:p>
      <w:pPr>
        <w:ind w:right="560"/>
        <w:spacing w:after="0" w:line="282" w:lineRule="auto"/>
        <w:rPr>
          <w:sz w:val="20"/>
          <w:szCs w:val="20"/>
          <w:color w:val="auto"/>
        </w:rPr>
      </w:pPr>
      <w:r>
        <w:rPr>
          <w:rFonts w:ascii="Arial" w:cs="Arial" w:eastAsia="Arial" w:hAnsi="Arial"/>
          <w:sz w:val="17"/>
          <w:szCs w:val="17"/>
          <w:b w:val="1"/>
          <w:bCs w:val="1"/>
          <w:color w:val="205BA8"/>
        </w:rPr>
        <w:t>Corporate Governance Aspects of the Amended &amp; Restated Regeneron Pharmaceuticals, Inc. 2014 Long-Term Incentive Plan</w:t>
      </w:r>
    </w:p>
    <w:p>
      <w:pPr>
        <w:spacing w:after="0" w:line="146" w:lineRule="exact"/>
        <w:rPr>
          <w:sz w:val="20"/>
          <w:szCs w:val="20"/>
          <w:color w:val="auto"/>
        </w:rPr>
      </w:pPr>
    </w:p>
    <w:p>
      <w:pPr>
        <w:ind w:right="640"/>
        <w:spacing w:after="0" w:line="221" w:lineRule="auto"/>
        <w:rPr>
          <w:sz w:val="20"/>
          <w:szCs w:val="20"/>
          <w:color w:val="auto"/>
        </w:rPr>
      </w:pPr>
      <w:r>
        <w:rPr>
          <w:rFonts w:ascii="Arial" w:cs="Arial" w:eastAsia="Arial" w:hAnsi="Arial"/>
          <w:sz w:val="15"/>
          <w:szCs w:val="15"/>
          <w:color w:val="auto"/>
        </w:rPr>
        <w:t>The Amended and Restated Regeneron Pharmaceuticals, Inc. 2014 Long-Term Incentive Plan (referred to in this subsection as the “Plan”) is the only plan currently used by the Company to grant equity awards. The Plan was designed to promote best practices by reinforcing the alignment between equity compensation arrangements for employees and non-employee directors and the interests of shareholders. The provisions that promote such best practices include:</w:t>
      </w:r>
    </w:p>
    <w:p>
      <w:pPr>
        <w:spacing w:after="0" w:line="183" w:lineRule="exact"/>
        <w:rPr>
          <w:sz w:val="20"/>
          <w:szCs w:val="20"/>
          <w:color w:val="auto"/>
        </w:rPr>
      </w:pPr>
    </w:p>
    <w:p>
      <w:pPr>
        <w:sectPr>
          <w:pgSz w:w="11900" w:h="16838" w:orient="portrait"/>
          <w:cols w:equalWidth="0" w:num="2">
            <w:col w:w="3320" w:space="22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3540" w:type="dxa"/>
            <w:vAlign w:val="bottom"/>
          </w:tcPr>
          <w:p>
            <w:pPr>
              <w:spacing w:after="0"/>
              <w:rPr>
                <w:sz w:val="12"/>
                <w:szCs w:val="12"/>
                <w:color w:val="auto"/>
              </w:rPr>
            </w:pPr>
          </w:p>
        </w:tc>
        <w:tc>
          <w:tcPr>
            <w:tcW w:w="1980" w:type="dxa"/>
            <w:vAlign w:val="bottom"/>
          </w:tcPr>
          <w:p>
            <w:pPr>
              <w:ind w:left="40"/>
              <w:spacing w:after="0"/>
              <w:rPr>
                <w:sz w:val="20"/>
                <w:szCs w:val="20"/>
                <w:color w:val="auto"/>
              </w:rPr>
            </w:pPr>
            <w:r>
              <w:rPr>
                <w:rFonts w:ascii="Arial" w:cs="Arial" w:eastAsia="Arial" w:hAnsi="Arial"/>
                <w:sz w:val="11"/>
                <w:szCs w:val="11"/>
                <w:b w:val="1"/>
                <w:bCs w:val="1"/>
                <w:color w:val="205BA8"/>
              </w:rPr>
              <w:t>Provision</w:t>
            </w:r>
          </w:p>
        </w:tc>
        <w:tc>
          <w:tcPr>
            <w:tcW w:w="5900" w:type="dxa"/>
            <w:vAlign w:val="bottom"/>
            <w:gridSpan w:val="2"/>
          </w:tcPr>
          <w:p>
            <w:pPr>
              <w:ind w:left="140"/>
              <w:spacing w:after="0"/>
              <w:rPr>
                <w:sz w:val="20"/>
                <w:szCs w:val="20"/>
                <w:color w:val="auto"/>
              </w:rPr>
            </w:pPr>
            <w:r>
              <w:rPr>
                <w:rFonts w:ascii="Arial" w:cs="Arial" w:eastAsia="Arial" w:hAnsi="Arial"/>
                <w:sz w:val="11"/>
                <w:szCs w:val="11"/>
                <w:b w:val="1"/>
                <w:bCs w:val="1"/>
                <w:color w:val="205BA8"/>
              </w:rPr>
              <w:t>Description</w:t>
            </w:r>
          </w:p>
        </w:tc>
      </w:tr>
      <w:tr>
        <w:trPr>
          <w:trHeight w:val="52"/>
        </w:trPr>
        <w:tc>
          <w:tcPr>
            <w:tcW w:w="3540" w:type="dxa"/>
            <w:vAlign w:val="bottom"/>
          </w:tcPr>
          <w:p>
            <w:pPr>
              <w:spacing w:after="0"/>
              <w:rPr>
                <w:sz w:val="4"/>
                <w:szCs w:val="4"/>
                <w:color w:val="auto"/>
              </w:rPr>
            </w:pPr>
          </w:p>
        </w:tc>
        <w:tc>
          <w:tcPr>
            <w:tcW w:w="1980" w:type="dxa"/>
            <w:vAlign w:val="bottom"/>
            <w:tcBorders>
              <w:bottom w:val="single" w:sz="8" w:color="205BA8"/>
            </w:tcBorders>
          </w:tcPr>
          <w:p>
            <w:pPr>
              <w:spacing w:after="0"/>
              <w:rPr>
                <w:sz w:val="4"/>
                <w:szCs w:val="4"/>
                <w:color w:val="auto"/>
              </w:rPr>
            </w:pPr>
          </w:p>
        </w:tc>
        <w:tc>
          <w:tcPr>
            <w:tcW w:w="5400" w:type="dxa"/>
            <w:vAlign w:val="bottom"/>
            <w:tcBorders>
              <w:bottom w:val="single" w:sz="8" w:color="205BA8"/>
            </w:tcBorders>
          </w:tcPr>
          <w:p>
            <w:pPr>
              <w:spacing w:after="0"/>
              <w:rPr>
                <w:sz w:val="4"/>
                <w:szCs w:val="4"/>
                <w:color w:val="auto"/>
              </w:rPr>
            </w:pPr>
          </w:p>
        </w:tc>
        <w:tc>
          <w:tcPr>
            <w:tcW w:w="500" w:type="dxa"/>
            <w:vAlign w:val="bottom"/>
          </w:tcPr>
          <w:p>
            <w:pPr>
              <w:spacing w:after="0"/>
              <w:rPr>
                <w:sz w:val="4"/>
                <w:szCs w:val="4"/>
                <w:color w:val="auto"/>
              </w:rPr>
            </w:pPr>
          </w:p>
        </w:tc>
      </w:tr>
      <w:tr>
        <w:trPr>
          <w:trHeight w:val="198"/>
        </w:trPr>
        <w:tc>
          <w:tcPr>
            <w:tcW w:w="3540" w:type="dxa"/>
            <w:vAlign w:val="bottom"/>
          </w:tcPr>
          <w:p>
            <w:pPr>
              <w:spacing w:after="0"/>
              <w:rPr>
                <w:sz w:val="17"/>
                <w:szCs w:val="17"/>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No Discounted Stock Options or</w:t>
            </w:r>
          </w:p>
        </w:tc>
        <w:tc>
          <w:tcPr>
            <w:tcW w:w="5900" w:type="dxa"/>
            <w:vAlign w:val="bottom"/>
            <w:gridSpan w:val="2"/>
          </w:tcPr>
          <w:p>
            <w:pPr>
              <w:ind w:left="140"/>
              <w:spacing w:after="0"/>
              <w:rPr>
                <w:sz w:val="20"/>
                <w:szCs w:val="20"/>
                <w:color w:val="auto"/>
              </w:rPr>
            </w:pPr>
            <w:r>
              <w:rPr>
                <w:rFonts w:ascii="Arial" w:cs="Arial" w:eastAsia="Arial" w:hAnsi="Arial"/>
                <w:sz w:val="13"/>
                <w:szCs w:val="13"/>
                <w:color w:val="auto"/>
              </w:rPr>
              <w:t>Stock options and stock appreciation rights are not granted with an exercise or base price</w:t>
            </w:r>
          </w:p>
        </w:tc>
      </w:tr>
      <w:tr>
        <w:trPr>
          <w:trHeight w:val="150"/>
        </w:trPr>
        <w:tc>
          <w:tcPr>
            <w:tcW w:w="3540" w:type="dxa"/>
            <w:vAlign w:val="bottom"/>
          </w:tcPr>
          <w:p>
            <w:pPr>
              <w:spacing w:after="0"/>
              <w:rPr>
                <w:sz w:val="13"/>
                <w:szCs w:val="13"/>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Stock Appreciation Rights</w:t>
            </w:r>
          </w:p>
        </w:tc>
        <w:tc>
          <w:tcPr>
            <w:tcW w:w="5900" w:type="dxa"/>
            <w:vAlign w:val="bottom"/>
            <w:gridSpan w:val="2"/>
          </w:tcPr>
          <w:p>
            <w:pPr>
              <w:ind w:left="140"/>
              <w:spacing w:after="0"/>
              <w:rPr>
                <w:sz w:val="20"/>
                <w:szCs w:val="20"/>
                <w:color w:val="auto"/>
              </w:rPr>
            </w:pPr>
            <w:r>
              <w:rPr>
                <w:rFonts w:ascii="Arial" w:cs="Arial" w:eastAsia="Arial" w:hAnsi="Arial"/>
                <w:sz w:val="13"/>
                <w:szCs w:val="13"/>
                <w:color w:val="auto"/>
              </w:rPr>
              <w:t>less than the fair market value of common stock (as defined in the Plan) on the date of grant.</w:t>
            </w:r>
          </w:p>
        </w:tc>
      </w:tr>
      <w:tr>
        <w:trPr>
          <w:trHeight w:val="42"/>
        </w:trPr>
        <w:tc>
          <w:tcPr>
            <w:tcW w:w="3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900" w:type="dxa"/>
            <w:vAlign w:val="bottom"/>
            <w:gridSpan w:val="2"/>
          </w:tcPr>
          <w:p>
            <w:pPr>
              <w:spacing w:after="0"/>
              <w:rPr>
                <w:sz w:val="3"/>
                <w:szCs w:val="3"/>
                <w:color w:val="auto"/>
              </w:rPr>
            </w:pPr>
          </w:p>
        </w:tc>
      </w:tr>
      <w:tr>
        <w:trPr>
          <w:trHeight w:val="191"/>
        </w:trPr>
        <w:tc>
          <w:tcPr>
            <w:tcW w:w="3540" w:type="dxa"/>
            <w:vAlign w:val="bottom"/>
          </w:tcPr>
          <w:p>
            <w:pPr>
              <w:spacing w:after="0"/>
              <w:rPr>
                <w:sz w:val="16"/>
                <w:szCs w:val="16"/>
                <w:color w:val="auto"/>
              </w:rPr>
            </w:pPr>
          </w:p>
        </w:tc>
        <w:tc>
          <w:tcPr>
            <w:tcW w:w="1980" w:type="dxa"/>
            <w:vAlign w:val="bottom"/>
            <w:tcBorders>
              <w:top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No Stock Option or Stock</w:t>
            </w:r>
          </w:p>
        </w:tc>
        <w:tc>
          <w:tcPr>
            <w:tcW w:w="5400" w:type="dxa"/>
            <w:vAlign w:val="bottom"/>
            <w:tcBorders>
              <w:top w:val="single" w:sz="8" w:color="auto"/>
            </w:tcBorders>
            <w:shd w:val="clear" w:color="auto" w:fill="ECEDED"/>
          </w:tcPr>
          <w:p>
            <w:pPr>
              <w:ind w:left="140"/>
              <w:spacing w:after="0"/>
              <w:rPr>
                <w:sz w:val="20"/>
                <w:szCs w:val="20"/>
                <w:color w:val="auto"/>
              </w:rPr>
            </w:pPr>
            <w:r>
              <w:rPr>
                <w:rFonts w:ascii="Arial" w:cs="Arial" w:eastAsia="Arial" w:hAnsi="Arial"/>
                <w:sz w:val="13"/>
                <w:szCs w:val="13"/>
                <w:color w:val="auto"/>
                <w:w w:val="99"/>
              </w:rPr>
              <w:t>Except for equitable adjustments in connection with specific corporate transactions (such as</w:t>
            </w:r>
          </w:p>
        </w:tc>
        <w:tc>
          <w:tcPr>
            <w:tcW w:w="500" w:type="dxa"/>
            <w:vAlign w:val="bottom"/>
          </w:tcPr>
          <w:p>
            <w:pPr>
              <w:spacing w:after="0"/>
              <w:rPr>
                <w:sz w:val="16"/>
                <w:szCs w:val="16"/>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ind w:left="40"/>
              <w:spacing w:after="0" w:line="143" w:lineRule="exact"/>
              <w:rPr>
                <w:sz w:val="20"/>
                <w:szCs w:val="20"/>
                <w:color w:val="auto"/>
              </w:rPr>
            </w:pPr>
            <w:r>
              <w:rPr>
                <w:rFonts w:ascii="Arial" w:cs="Arial" w:eastAsia="Arial" w:hAnsi="Arial"/>
                <w:sz w:val="13"/>
                <w:szCs w:val="13"/>
                <w:color w:val="auto"/>
              </w:rPr>
              <w:t>Appreciation Right Re-pricing or</w:t>
            </w: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stock splits, recapitalizations, reorganizations, mergers, consolidations, and similar</w:t>
            </w:r>
          </w:p>
        </w:tc>
        <w:tc>
          <w:tcPr>
            <w:tcW w:w="500" w:type="dxa"/>
            <w:vAlign w:val="bottom"/>
          </w:tcPr>
          <w:p>
            <w:pPr>
              <w:spacing w:after="0"/>
              <w:rPr>
                <w:sz w:val="12"/>
                <w:szCs w:val="12"/>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ind w:left="40"/>
              <w:spacing w:after="0" w:line="143" w:lineRule="exact"/>
              <w:rPr>
                <w:sz w:val="20"/>
                <w:szCs w:val="20"/>
                <w:color w:val="auto"/>
              </w:rPr>
            </w:pPr>
            <w:r>
              <w:rPr>
                <w:rFonts w:ascii="Arial" w:cs="Arial" w:eastAsia="Arial" w:hAnsi="Arial"/>
                <w:sz w:val="13"/>
                <w:szCs w:val="13"/>
                <w:color w:val="auto"/>
              </w:rPr>
              <w:t>Exchange</w:t>
            </w: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transactions), the Plan does not permit a decrease in the exercise price or base price of a</w:t>
            </w:r>
          </w:p>
        </w:tc>
        <w:tc>
          <w:tcPr>
            <w:tcW w:w="500" w:type="dxa"/>
            <w:vAlign w:val="bottom"/>
          </w:tcPr>
          <w:p>
            <w:pPr>
              <w:spacing w:after="0"/>
              <w:rPr>
                <w:sz w:val="12"/>
                <w:szCs w:val="12"/>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spacing w:after="0"/>
              <w:rPr>
                <w:sz w:val="12"/>
                <w:szCs w:val="12"/>
                <w:color w:val="auto"/>
              </w:rPr>
            </w:pP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stock option or stock appreciation right granted under the Plan through settlement,</w:t>
            </w:r>
          </w:p>
        </w:tc>
        <w:tc>
          <w:tcPr>
            <w:tcW w:w="500" w:type="dxa"/>
            <w:vAlign w:val="bottom"/>
          </w:tcPr>
          <w:p>
            <w:pPr>
              <w:spacing w:after="0"/>
              <w:rPr>
                <w:sz w:val="12"/>
                <w:szCs w:val="12"/>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spacing w:after="0"/>
              <w:rPr>
                <w:sz w:val="12"/>
                <w:szCs w:val="12"/>
                <w:color w:val="auto"/>
              </w:rPr>
            </w:pP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cancellation, forfeiture, exchange, surrender, or otherwise below the fair market value of</w:t>
            </w:r>
          </w:p>
        </w:tc>
        <w:tc>
          <w:tcPr>
            <w:tcW w:w="500" w:type="dxa"/>
            <w:vAlign w:val="bottom"/>
          </w:tcPr>
          <w:p>
            <w:pPr>
              <w:spacing w:after="0"/>
              <w:rPr>
                <w:sz w:val="12"/>
                <w:szCs w:val="12"/>
                <w:color w:val="auto"/>
              </w:rPr>
            </w:pPr>
          </w:p>
        </w:tc>
      </w:tr>
      <w:tr>
        <w:trPr>
          <w:trHeight w:val="197"/>
        </w:trPr>
        <w:tc>
          <w:tcPr>
            <w:tcW w:w="3540" w:type="dxa"/>
            <w:vAlign w:val="bottom"/>
          </w:tcPr>
          <w:p>
            <w:pPr>
              <w:spacing w:after="0"/>
              <w:rPr>
                <w:sz w:val="16"/>
                <w:szCs w:val="16"/>
                <w:color w:val="auto"/>
              </w:rPr>
            </w:pPr>
          </w:p>
        </w:tc>
        <w:tc>
          <w:tcPr>
            <w:tcW w:w="1980" w:type="dxa"/>
            <w:vAlign w:val="bottom"/>
            <w:tcBorders>
              <w:bottom w:val="single" w:sz="8" w:color="ECEDED"/>
            </w:tcBorders>
            <w:shd w:val="clear" w:color="auto" w:fill="ECEDED"/>
          </w:tcPr>
          <w:p>
            <w:pPr>
              <w:spacing w:after="0"/>
              <w:rPr>
                <w:sz w:val="16"/>
                <w:szCs w:val="16"/>
                <w:color w:val="auto"/>
              </w:rPr>
            </w:pPr>
          </w:p>
        </w:tc>
        <w:tc>
          <w:tcPr>
            <w:tcW w:w="5400" w:type="dxa"/>
            <w:vAlign w:val="bottom"/>
            <w:tcBorders>
              <w:bottom w:val="single" w:sz="8" w:color="ECEDED"/>
            </w:tcBorders>
            <w:shd w:val="clear" w:color="auto" w:fill="ECEDED"/>
          </w:tcPr>
          <w:p>
            <w:pPr>
              <w:ind w:left="140"/>
              <w:spacing w:after="0"/>
              <w:rPr>
                <w:sz w:val="20"/>
                <w:szCs w:val="20"/>
                <w:color w:val="auto"/>
              </w:rPr>
            </w:pPr>
            <w:r>
              <w:rPr>
                <w:rFonts w:ascii="Arial" w:cs="Arial" w:eastAsia="Arial" w:hAnsi="Arial"/>
                <w:sz w:val="13"/>
                <w:szCs w:val="13"/>
                <w:color w:val="auto"/>
              </w:rPr>
              <w:t>common stock (as defined in the Plan) on the date of grant.</w:t>
            </w:r>
          </w:p>
        </w:tc>
        <w:tc>
          <w:tcPr>
            <w:tcW w:w="500" w:type="dxa"/>
            <w:vAlign w:val="bottom"/>
          </w:tcPr>
          <w:p>
            <w:pPr>
              <w:spacing w:after="0"/>
              <w:rPr>
                <w:sz w:val="16"/>
                <w:szCs w:val="16"/>
                <w:color w:val="auto"/>
              </w:rPr>
            </w:pPr>
          </w:p>
        </w:tc>
      </w:tr>
      <w:tr>
        <w:trPr>
          <w:trHeight w:val="191"/>
        </w:trPr>
        <w:tc>
          <w:tcPr>
            <w:tcW w:w="3540" w:type="dxa"/>
            <w:vAlign w:val="bottom"/>
          </w:tcPr>
          <w:p>
            <w:pPr>
              <w:spacing w:after="0"/>
              <w:rPr>
                <w:sz w:val="16"/>
                <w:szCs w:val="16"/>
                <w:color w:val="auto"/>
              </w:rPr>
            </w:pPr>
          </w:p>
        </w:tc>
        <w:tc>
          <w:tcPr>
            <w:tcW w:w="19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Recoupment (Clawback) Policy</w:t>
            </w:r>
          </w:p>
        </w:tc>
        <w:tc>
          <w:tcPr>
            <w:tcW w:w="54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Awards granted to our officers and other employees under the Plan are subject to</w:t>
            </w:r>
          </w:p>
        </w:tc>
        <w:tc>
          <w:tcPr>
            <w:tcW w:w="500" w:type="dxa"/>
            <w:vAlign w:val="bottom"/>
          </w:tcPr>
          <w:p>
            <w:pPr>
              <w:spacing w:after="0"/>
              <w:rPr>
                <w:sz w:val="16"/>
                <w:szCs w:val="16"/>
                <w:color w:val="auto"/>
              </w:rPr>
            </w:pPr>
          </w:p>
        </w:tc>
      </w:tr>
      <w:tr>
        <w:trPr>
          <w:trHeight w:val="143"/>
        </w:trPr>
        <w:tc>
          <w:tcPr>
            <w:tcW w:w="3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90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recoupment or reduction in accordance with the terms of our policy regarding recoupment or</w:t>
            </w:r>
          </w:p>
        </w:tc>
      </w:tr>
      <w:tr>
        <w:trPr>
          <w:trHeight w:val="150"/>
        </w:trPr>
        <w:tc>
          <w:tcPr>
            <w:tcW w:w="3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900" w:type="dxa"/>
            <w:vAlign w:val="bottom"/>
            <w:gridSpan w:val="2"/>
          </w:tcPr>
          <w:p>
            <w:pPr>
              <w:ind w:left="140"/>
              <w:spacing w:after="0"/>
              <w:rPr>
                <w:sz w:val="20"/>
                <w:szCs w:val="20"/>
                <w:color w:val="auto"/>
              </w:rPr>
            </w:pPr>
            <w:r>
              <w:rPr>
                <w:rFonts w:ascii="Arial" w:cs="Arial" w:eastAsia="Arial" w:hAnsi="Arial"/>
                <w:sz w:val="13"/>
                <w:szCs w:val="13"/>
                <w:color w:val="auto"/>
              </w:rPr>
              <w:t>reduction of incentive compensation (sometimes referred to as our “clawback policy”).</w:t>
            </w:r>
          </w:p>
        </w:tc>
      </w:tr>
      <w:tr>
        <w:trPr>
          <w:trHeight w:val="42"/>
        </w:trPr>
        <w:tc>
          <w:tcPr>
            <w:tcW w:w="3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900" w:type="dxa"/>
            <w:vAlign w:val="bottom"/>
            <w:gridSpan w:val="2"/>
          </w:tcPr>
          <w:p>
            <w:pPr>
              <w:spacing w:after="0"/>
              <w:rPr>
                <w:sz w:val="3"/>
                <w:szCs w:val="3"/>
                <w:color w:val="auto"/>
              </w:rPr>
            </w:pPr>
          </w:p>
        </w:tc>
      </w:tr>
      <w:tr>
        <w:trPr>
          <w:trHeight w:val="191"/>
        </w:trPr>
        <w:tc>
          <w:tcPr>
            <w:tcW w:w="3540" w:type="dxa"/>
            <w:vAlign w:val="bottom"/>
          </w:tcPr>
          <w:p>
            <w:pPr>
              <w:spacing w:after="0"/>
              <w:rPr>
                <w:sz w:val="16"/>
                <w:szCs w:val="16"/>
                <w:color w:val="auto"/>
              </w:rPr>
            </w:pPr>
          </w:p>
        </w:tc>
        <w:tc>
          <w:tcPr>
            <w:tcW w:w="1980" w:type="dxa"/>
            <w:vAlign w:val="bottom"/>
            <w:tcBorders>
              <w:top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Independent Administration</w:t>
            </w:r>
          </w:p>
        </w:tc>
        <w:tc>
          <w:tcPr>
            <w:tcW w:w="5400" w:type="dxa"/>
            <w:vAlign w:val="bottom"/>
            <w:tcBorders>
              <w:top w:val="single" w:sz="8" w:color="auto"/>
            </w:tcBorders>
            <w:shd w:val="clear" w:color="auto" w:fill="ECEDED"/>
          </w:tcPr>
          <w:p>
            <w:pPr>
              <w:ind w:left="140"/>
              <w:spacing w:after="0"/>
              <w:rPr>
                <w:sz w:val="20"/>
                <w:szCs w:val="20"/>
                <w:color w:val="auto"/>
              </w:rPr>
            </w:pPr>
            <w:r>
              <w:rPr>
                <w:rFonts w:ascii="Arial" w:cs="Arial" w:eastAsia="Arial" w:hAnsi="Arial"/>
                <w:sz w:val="13"/>
                <w:szCs w:val="13"/>
                <w:color w:val="auto"/>
              </w:rPr>
              <w:t>The Plan is administered by the Compensation Committee, which is intended to be</w:t>
            </w:r>
          </w:p>
        </w:tc>
        <w:tc>
          <w:tcPr>
            <w:tcW w:w="500" w:type="dxa"/>
            <w:vAlign w:val="bottom"/>
          </w:tcPr>
          <w:p>
            <w:pPr>
              <w:spacing w:after="0"/>
              <w:rPr>
                <w:sz w:val="16"/>
                <w:szCs w:val="16"/>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spacing w:after="0"/>
              <w:rPr>
                <w:sz w:val="12"/>
                <w:szCs w:val="12"/>
                <w:color w:val="auto"/>
              </w:rPr>
            </w:pP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comprised solely of non-employee directors each of whom meets the additional</w:t>
            </w:r>
          </w:p>
        </w:tc>
        <w:tc>
          <w:tcPr>
            <w:tcW w:w="500" w:type="dxa"/>
            <w:vAlign w:val="bottom"/>
          </w:tcPr>
          <w:p>
            <w:pPr>
              <w:spacing w:after="0"/>
              <w:rPr>
                <w:sz w:val="12"/>
                <w:szCs w:val="12"/>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spacing w:after="0"/>
              <w:rPr>
                <w:sz w:val="12"/>
                <w:szCs w:val="12"/>
                <w:color w:val="auto"/>
              </w:rPr>
            </w:pP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independence criteria applicable to compensation committee members under the listing</w:t>
            </w:r>
          </w:p>
        </w:tc>
        <w:tc>
          <w:tcPr>
            <w:tcW w:w="500" w:type="dxa"/>
            <w:vAlign w:val="bottom"/>
          </w:tcPr>
          <w:p>
            <w:pPr>
              <w:spacing w:after="0"/>
              <w:rPr>
                <w:sz w:val="12"/>
                <w:szCs w:val="12"/>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spacing w:after="0"/>
              <w:rPr>
                <w:sz w:val="12"/>
                <w:szCs w:val="12"/>
                <w:color w:val="auto"/>
              </w:rPr>
            </w:pP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rPr>
              <w:t>standards of The NASDAQ Stock Market LLC, qualifies as a “Non-Employee Director”</w:t>
            </w:r>
          </w:p>
        </w:tc>
        <w:tc>
          <w:tcPr>
            <w:tcW w:w="500" w:type="dxa"/>
            <w:vAlign w:val="bottom"/>
          </w:tcPr>
          <w:p>
            <w:pPr>
              <w:spacing w:after="0"/>
              <w:rPr>
                <w:sz w:val="12"/>
                <w:szCs w:val="12"/>
                <w:color w:val="auto"/>
              </w:rPr>
            </w:pPr>
          </w:p>
        </w:tc>
      </w:tr>
      <w:tr>
        <w:trPr>
          <w:trHeight w:val="143"/>
        </w:trPr>
        <w:tc>
          <w:tcPr>
            <w:tcW w:w="3540" w:type="dxa"/>
            <w:vAlign w:val="bottom"/>
          </w:tcPr>
          <w:p>
            <w:pPr>
              <w:spacing w:after="0"/>
              <w:rPr>
                <w:sz w:val="12"/>
                <w:szCs w:val="12"/>
                <w:color w:val="auto"/>
              </w:rPr>
            </w:pPr>
          </w:p>
        </w:tc>
        <w:tc>
          <w:tcPr>
            <w:tcW w:w="1980" w:type="dxa"/>
            <w:vAlign w:val="bottom"/>
            <w:shd w:val="clear" w:color="auto" w:fill="ECEDED"/>
          </w:tcPr>
          <w:p>
            <w:pPr>
              <w:spacing w:after="0"/>
              <w:rPr>
                <w:sz w:val="12"/>
                <w:szCs w:val="12"/>
                <w:color w:val="auto"/>
              </w:rPr>
            </w:pPr>
          </w:p>
        </w:tc>
        <w:tc>
          <w:tcPr>
            <w:tcW w:w="5400" w:type="dxa"/>
            <w:vAlign w:val="bottom"/>
            <w:shd w:val="clear" w:color="auto" w:fill="ECEDED"/>
          </w:tcPr>
          <w:p>
            <w:pPr>
              <w:ind w:left="140"/>
              <w:spacing w:after="0" w:line="143" w:lineRule="exact"/>
              <w:rPr>
                <w:sz w:val="20"/>
                <w:szCs w:val="20"/>
                <w:color w:val="auto"/>
              </w:rPr>
            </w:pPr>
            <w:r>
              <w:rPr>
                <w:rFonts w:ascii="Arial" w:cs="Arial" w:eastAsia="Arial" w:hAnsi="Arial"/>
                <w:sz w:val="13"/>
                <w:szCs w:val="13"/>
                <w:color w:val="auto"/>
                <w:w w:val="98"/>
              </w:rPr>
              <w:t>pursuant to Rule 16b-3 under the Exchange Act, and meets the requirements for an “outside</w:t>
            </w:r>
          </w:p>
        </w:tc>
        <w:tc>
          <w:tcPr>
            <w:tcW w:w="500" w:type="dxa"/>
            <w:vAlign w:val="bottom"/>
          </w:tcPr>
          <w:p>
            <w:pPr>
              <w:spacing w:after="0"/>
              <w:rPr>
                <w:sz w:val="12"/>
                <w:szCs w:val="12"/>
                <w:color w:val="auto"/>
              </w:rPr>
            </w:pPr>
          </w:p>
        </w:tc>
      </w:tr>
      <w:tr>
        <w:trPr>
          <w:trHeight w:val="197"/>
        </w:trPr>
        <w:tc>
          <w:tcPr>
            <w:tcW w:w="3540" w:type="dxa"/>
            <w:vAlign w:val="bottom"/>
          </w:tcPr>
          <w:p>
            <w:pPr>
              <w:spacing w:after="0"/>
              <w:rPr>
                <w:sz w:val="16"/>
                <w:szCs w:val="16"/>
                <w:color w:val="auto"/>
              </w:rPr>
            </w:pPr>
          </w:p>
        </w:tc>
        <w:tc>
          <w:tcPr>
            <w:tcW w:w="1980" w:type="dxa"/>
            <w:vAlign w:val="bottom"/>
            <w:tcBorders>
              <w:bottom w:val="single" w:sz="8" w:color="ECEDED"/>
            </w:tcBorders>
            <w:shd w:val="clear" w:color="auto" w:fill="ECEDED"/>
          </w:tcPr>
          <w:p>
            <w:pPr>
              <w:spacing w:after="0"/>
              <w:rPr>
                <w:sz w:val="16"/>
                <w:szCs w:val="16"/>
                <w:color w:val="auto"/>
              </w:rPr>
            </w:pPr>
          </w:p>
        </w:tc>
        <w:tc>
          <w:tcPr>
            <w:tcW w:w="5400" w:type="dxa"/>
            <w:vAlign w:val="bottom"/>
            <w:tcBorders>
              <w:bottom w:val="single" w:sz="8" w:color="ECEDED"/>
            </w:tcBorders>
            <w:shd w:val="clear" w:color="auto" w:fill="ECEDED"/>
          </w:tcPr>
          <w:p>
            <w:pPr>
              <w:ind w:left="140"/>
              <w:spacing w:after="0"/>
              <w:rPr>
                <w:sz w:val="20"/>
                <w:szCs w:val="20"/>
                <w:color w:val="auto"/>
              </w:rPr>
            </w:pPr>
            <w:r>
              <w:rPr>
                <w:rFonts w:ascii="Arial" w:cs="Arial" w:eastAsia="Arial" w:hAnsi="Arial"/>
                <w:sz w:val="13"/>
                <w:szCs w:val="13"/>
                <w:color w:val="auto"/>
              </w:rPr>
              <w:t>director” within the meaning of Section 162(m) of the Internal Revenue Code.</w:t>
            </w:r>
          </w:p>
        </w:tc>
        <w:tc>
          <w:tcPr>
            <w:tcW w:w="500" w:type="dxa"/>
            <w:vAlign w:val="bottom"/>
          </w:tcPr>
          <w:p>
            <w:pPr>
              <w:spacing w:after="0"/>
              <w:rPr>
                <w:sz w:val="16"/>
                <w:szCs w:val="16"/>
                <w:color w:val="auto"/>
              </w:rPr>
            </w:pPr>
          </w:p>
        </w:tc>
      </w:tr>
      <w:tr>
        <w:trPr>
          <w:trHeight w:val="191"/>
        </w:trPr>
        <w:tc>
          <w:tcPr>
            <w:tcW w:w="3540" w:type="dxa"/>
            <w:vAlign w:val="bottom"/>
          </w:tcPr>
          <w:p>
            <w:pPr>
              <w:spacing w:after="0"/>
              <w:rPr>
                <w:sz w:val="16"/>
                <w:szCs w:val="16"/>
                <w:color w:val="auto"/>
              </w:rPr>
            </w:pPr>
          </w:p>
        </w:tc>
        <w:tc>
          <w:tcPr>
            <w:tcW w:w="19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No “Evergreen” Provision</w:t>
            </w:r>
          </w:p>
        </w:tc>
        <w:tc>
          <w:tcPr>
            <w:tcW w:w="54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97"/>
              </w:rPr>
              <w:t>The Plan does not contain an “evergreen” feature pursuant to which the shares authorized for</w:t>
            </w:r>
          </w:p>
        </w:tc>
        <w:tc>
          <w:tcPr>
            <w:tcW w:w="500" w:type="dxa"/>
            <w:vAlign w:val="bottom"/>
          </w:tcPr>
          <w:p>
            <w:pPr>
              <w:spacing w:after="0"/>
              <w:rPr>
                <w:sz w:val="16"/>
                <w:szCs w:val="16"/>
                <w:color w:val="auto"/>
              </w:rPr>
            </w:pPr>
          </w:p>
        </w:tc>
      </w:tr>
      <w:tr>
        <w:trPr>
          <w:trHeight w:val="150"/>
        </w:trPr>
        <w:tc>
          <w:tcPr>
            <w:tcW w:w="3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900" w:type="dxa"/>
            <w:vAlign w:val="bottom"/>
            <w:gridSpan w:val="2"/>
          </w:tcPr>
          <w:p>
            <w:pPr>
              <w:ind w:left="140"/>
              <w:spacing w:after="0"/>
              <w:rPr>
                <w:sz w:val="20"/>
                <w:szCs w:val="20"/>
                <w:color w:val="auto"/>
              </w:rPr>
            </w:pPr>
            <w:r>
              <w:rPr>
                <w:rFonts w:ascii="Arial" w:cs="Arial" w:eastAsia="Arial" w:hAnsi="Arial"/>
                <w:sz w:val="13"/>
                <w:szCs w:val="13"/>
                <w:color w:val="auto"/>
              </w:rPr>
              <w:t>issuance thereunder can be automatically replenished.</w:t>
            </w:r>
          </w:p>
        </w:tc>
      </w:tr>
      <w:tr>
        <w:trPr>
          <w:trHeight w:val="42"/>
        </w:trPr>
        <w:tc>
          <w:tcPr>
            <w:tcW w:w="3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900" w:type="dxa"/>
            <w:vAlign w:val="bottom"/>
            <w:gridSpan w:val="2"/>
          </w:tcPr>
          <w:p>
            <w:pPr>
              <w:spacing w:after="0"/>
              <w:rPr>
                <w:sz w:val="3"/>
                <w:szCs w:val="3"/>
                <w:color w:val="auto"/>
              </w:rPr>
            </w:pPr>
          </w:p>
        </w:tc>
      </w:tr>
      <w:tr>
        <w:trPr>
          <w:trHeight w:val="245"/>
        </w:trPr>
        <w:tc>
          <w:tcPr>
            <w:tcW w:w="3540" w:type="dxa"/>
            <w:vAlign w:val="bottom"/>
          </w:tcPr>
          <w:p>
            <w:pPr>
              <w:spacing w:after="0"/>
              <w:rPr>
                <w:sz w:val="20"/>
                <w:szCs w:val="20"/>
                <w:color w:val="auto"/>
              </w:rPr>
            </w:pPr>
          </w:p>
        </w:tc>
        <w:tc>
          <w:tcPr>
            <w:tcW w:w="1980" w:type="dxa"/>
            <w:vAlign w:val="bottom"/>
            <w:tcBorders>
              <w:top w:val="single" w:sz="8" w:color="auto"/>
              <w:bottom w:val="single" w:sz="8" w:color="ECEDED"/>
            </w:tcBorders>
            <w:shd w:val="clear" w:color="auto" w:fill="ECEDED"/>
          </w:tcPr>
          <w:p>
            <w:pPr>
              <w:ind w:left="40"/>
              <w:spacing w:after="0"/>
              <w:rPr>
                <w:sz w:val="20"/>
                <w:szCs w:val="20"/>
                <w:color w:val="auto"/>
              </w:rPr>
            </w:pPr>
            <w:r>
              <w:rPr>
                <w:rFonts w:ascii="Arial" w:cs="Arial" w:eastAsia="Arial" w:hAnsi="Arial"/>
                <w:sz w:val="13"/>
                <w:szCs w:val="13"/>
                <w:color w:val="auto"/>
              </w:rPr>
              <w:t>No Tax Gross-ups</w:t>
            </w:r>
          </w:p>
        </w:tc>
        <w:tc>
          <w:tcPr>
            <w:tcW w:w="5400" w:type="dxa"/>
            <w:vAlign w:val="bottom"/>
            <w:tcBorders>
              <w:top w:val="single" w:sz="8" w:color="auto"/>
              <w:bottom w:val="single" w:sz="8" w:color="ECEDED"/>
            </w:tcBorders>
            <w:shd w:val="clear" w:color="auto" w:fill="ECEDED"/>
          </w:tcPr>
          <w:p>
            <w:pPr>
              <w:ind w:left="140"/>
              <w:spacing w:after="0"/>
              <w:rPr>
                <w:sz w:val="20"/>
                <w:szCs w:val="20"/>
                <w:color w:val="auto"/>
              </w:rPr>
            </w:pPr>
            <w:r>
              <w:rPr>
                <w:rFonts w:ascii="Arial" w:cs="Arial" w:eastAsia="Arial" w:hAnsi="Arial"/>
                <w:sz w:val="13"/>
                <w:szCs w:val="13"/>
                <w:color w:val="auto"/>
              </w:rPr>
              <w:t>The Plan does not provide for any tax gross-ups.</w:t>
            </w:r>
          </w:p>
        </w:tc>
        <w:tc>
          <w:tcPr>
            <w:tcW w:w="500" w:type="dxa"/>
            <w:vAlign w:val="bottom"/>
          </w:tcPr>
          <w:p>
            <w:pPr>
              <w:spacing w:after="0"/>
              <w:rPr>
                <w:sz w:val="20"/>
                <w:szCs w:val="20"/>
                <w:color w:val="auto"/>
              </w:rPr>
            </w:pPr>
          </w:p>
        </w:tc>
      </w:tr>
      <w:tr>
        <w:trPr>
          <w:trHeight w:val="358"/>
        </w:trPr>
        <w:tc>
          <w:tcPr>
            <w:tcW w:w="3540" w:type="dxa"/>
            <w:vAlign w:val="bottom"/>
          </w:tcPr>
          <w:p>
            <w:pPr>
              <w:jc w:val="right"/>
              <w:ind w:right="2651"/>
              <w:spacing w:after="0"/>
              <w:rPr>
                <w:sz w:val="20"/>
                <w:szCs w:val="20"/>
                <w:color w:val="auto"/>
              </w:rPr>
            </w:pPr>
            <w:r>
              <w:rPr>
                <w:rFonts w:ascii="Arial" w:cs="Arial" w:eastAsia="Arial" w:hAnsi="Arial"/>
                <w:sz w:val="14"/>
                <w:szCs w:val="14"/>
                <w:b w:val="1"/>
                <w:bCs w:val="1"/>
                <w:color w:val="205BA8"/>
              </w:rPr>
              <w:t>90  /</w:t>
            </w:r>
          </w:p>
        </w:tc>
        <w:tc>
          <w:tcPr>
            <w:tcW w:w="1980" w:type="dxa"/>
            <w:vAlign w:val="bottom"/>
            <w:tcBorders>
              <w:top w:val="single" w:sz="8" w:color="205BA8"/>
            </w:tcBorders>
          </w:tcPr>
          <w:p>
            <w:pPr>
              <w:spacing w:after="0"/>
              <w:rPr>
                <w:sz w:val="24"/>
                <w:szCs w:val="24"/>
                <w:color w:val="auto"/>
              </w:rPr>
            </w:pPr>
          </w:p>
        </w:tc>
        <w:tc>
          <w:tcPr>
            <w:tcW w:w="5400" w:type="dxa"/>
            <w:vAlign w:val="bottom"/>
            <w:tcBorders>
              <w:top w:val="single" w:sz="8" w:color="205BA8"/>
            </w:tcBorders>
          </w:tcPr>
          <w:p>
            <w:pPr>
              <w:ind w:left="8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500" w:type="dxa"/>
            <w:vAlign w:val="bottom"/>
          </w:tcPr>
          <w:p>
            <w:pPr>
              <w:spacing w:after="0"/>
              <w:rPr>
                <w:sz w:val="24"/>
                <w:szCs w:val="24"/>
                <w:color w:val="auto"/>
              </w:rPr>
            </w:pPr>
          </w:p>
        </w:tc>
      </w:tr>
      <w:tr>
        <w:trPr>
          <w:trHeight w:val="252"/>
        </w:trPr>
        <w:tc>
          <w:tcPr>
            <w:tcW w:w="3540" w:type="dxa"/>
            <w:vAlign w:val="bottom"/>
            <w:tcBorders>
              <w:bottom w:val="single" w:sz="8" w:color="C0C0C0"/>
            </w:tcBorders>
          </w:tcPr>
          <w:p>
            <w:pPr>
              <w:spacing w:after="0"/>
              <w:rPr>
                <w:sz w:val="21"/>
                <w:szCs w:val="21"/>
                <w:color w:val="auto"/>
              </w:rPr>
            </w:pPr>
          </w:p>
        </w:tc>
        <w:tc>
          <w:tcPr>
            <w:tcW w:w="1980" w:type="dxa"/>
            <w:vAlign w:val="bottom"/>
            <w:tcBorders>
              <w:bottom w:val="single" w:sz="8" w:color="C0C0C0"/>
            </w:tcBorders>
          </w:tcPr>
          <w:p>
            <w:pPr>
              <w:spacing w:after="0"/>
              <w:rPr>
                <w:sz w:val="21"/>
                <w:szCs w:val="21"/>
                <w:color w:val="auto"/>
              </w:rPr>
            </w:pPr>
          </w:p>
        </w:tc>
        <w:tc>
          <w:tcPr>
            <w:tcW w:w="54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-280035</wp:posOffset>
            </wp:positionV>
            <wp:extent cx="717550" cy="825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3" w:name="page104"/>
    <w:bookmarkEnd w:id="103"/>
    <w:p>
      <w:pPr>
        <w:jc w:val="right"/>
        <w:ind w:right="50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D61C5A"/>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207010</wp:posOffset>
            </wp:positionV>
            <wp:extent cx="46863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205BA8"/>
        </w:rPr>
        <w:t>Key Equity Metrics</w:t>
      </w:r>
    </w:p>
    <w:p>
      <w:pPr>
        <w:spacing w:after="0" w:line="215" w:lineRule="exact"/>
        <w:rPr>
          <w:sz w:val="20"/>
          <w:szCs w:val="20"/>
          <w:color w:val="auto"/>
        </w:rPr>
      </w:pPr>
    </w:p>
    <w:p>
      <w:pPr>
        <w:ind w:left="3540" w:right="600"/>
        <w:spacing w:after="0" w:line="225" w:lineRule="auto"/>
        <w:rPr>
          <w:sz w:val="20"/>
          <w:szCs w:val="20"/>
          <w:color w:val="auto"/>
        </w:rPr>
      </w:pPr>
      <w:r>
        <w:rPr>
          <w:rFonts w:ascii="Arial" w:cs="Arial" w:eastAsia="Arial" w:hAnsi="Arial"/>
          <w:sz w:val="15"/>
          <w:szCs w:val="15"/>
          <w:color w:val="auto"/>
        </w:rPr>
        <w:t>The following table summarizes some key metrics relating to the equity component of our compensation program, taking into account an increase of 72% in the number of our employees from 2016 to 2018 and our continued commitment to our all-employee equity award strategy.</w:t>
      </w:r>
    </w:p>
    <w:p>
      <w:pPr>
        <w:spacing w:after="0" w:line="180" w:lineRule="exact"/>
        <w:rPr>
          <w:sz w:val="20"/>
          <w:szCs w:val="20"/>
          <w:color w:val="auto"/>
        </w:rPr>
      </w:pPr>
    </w:p>
    <w:tbl>
      <w:tblPr>
        <w:tblLayout w:type="fixed"/>
        <w:tblInd w:w="3540" w:type="dxa"/>
        <w:tblCellMar>
          <w:top w:w="0" w:type="dxa"/>
          <w:left w:w="0" w:type="dxa"/>
          <w:bottom w:w="0" w:type="dxa"/>
          <w:right w:w="0" w:type="dxa"/>
        </w:tblCellMar>
      </w:tblPr>
      <w:tr>
        <w:trPr>
          <w:trHeight w:val="148"/>
        </w:trPr>
        <w:tc>
          <w:tcPr>
            <w:tcW w:w="2080" w:type="dxa"/>
            <w:vAlign w:val="bottom"/>
          </w:tcPr>
          <w:p>
            <w:pPr>
              <w:ind w:left="40"/>
              <w:spacing w:after="0"/>
              <w:rPr>
                <w:sz w:val="20"/>
                <w:szCs w:val="20"/>
                <w:color w:val="auto"/>
              </w:rPr>
            </w:pPr>
            <w:r>
              <w:rPr>
                <w:rFonts w:ascii="Arial" w:cs="Arial" w:eastAsia="Arial" w:hAnsi="Arial"/>
                <w:sz w:val="11"/>
                <w:szCs w:val="11"/>
                <w:b w:val="1"/>
                <w:bCs w:val="1"/>
                <w:color w:val="205BA8"/>
              </w:rPr>
              <w:t>Provision</w:t>
            </w:r>
          </w:p>
        </w:tc>
        <w:tc>
          <w:tcPr>
            <w:tcW w:w="2480" w:type="dxa"/>
            <w:vAlign w:val="bottom"/>
          </w:tcPr>
          <w:p>
            <w:pPr>
              <w:jc w:val="right"/>
              <w:ind w:right="559"/>
              <w:spacing w:after="0"/>
              <w:rPr>
                <w:sz w:val="20"/>
                <w:szCs w:val="20"/>
                <w:color w:val="auto"/>
              </w:rPr>
            </w:pPr>
            <w:r>
              <w:rPr>
                <w:rFonts w:ascii="Arial" w:cs="Arial" w:eastAsia="Arial" w:hAnsi="Arial"/>
                <w:sz w:val="11"/>
                <w:szCs w:val="11"/>
                <w:b w:val="1"/>
                <w:bCs w:val="1"/>
                <w:color w:val="205BA8"/>
              </w:rPr>
              <w:t>2018 (%)</w:t>
            </w:r>
          </w:p>
        </w:tc>
        <w:tc>
          <w:tcPr>
            <w:tcW w:w="1680" w:type="dxa"/>
            <w:vAlign w:val="bottom"/>
          </w:tcPr>
          <w:p>
            <w:pPr>
              <w:jc w:val="right"/>
              <w:ind w:right="539"/>
              <w:spacing w:after="0"/>
              <w:rPr>
                <w:sz w:val="20"/>
                <w:szCs w:val="20"/>
                <w:color w:val="auto"/>
              </w:rPr>
            </w:pPr>
            <w:r>
              <w:rPr>
                <w:rFonts w:ascii="Arial" w:cs="Arial" w:eastAsia="Arial" w:hAnsi="Arial"/>
                <w:sz w:val="11"/>
                <w:szCs w:val="11"/>
                <w:b w:val="1"/>
                <w:bCs w:val="1"/>
                <w:color w:val="205BA8"/>
              </w:rPr>
              <w:t>2017 (%)</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205BA8"/>
              </w:rPr>
              <w:t>2016 (%)</w:t>
            </w:r>
          </w:p>
        </w:tc>
      </w:tr>
      <w:tr>
        <w:trPr>
          <w:trHeight w:val="52"/>
        </w:trPr>
        <w:tc>
          <w:tcPr>
            <w:tcW w:w="2080" w:type="dxa"/>
            <w:vAlign w:val="bottom"/>
            <w:tcBorders>
              <w:bottom w:val="single" w:sz="8" w:color="205BA8"/>
            </w:tcBorders>
          </w:tcPr>
          <w:p>
            <w:pPr>
              <w:spacing w:after="0"/>
              <w:rPr>
                <w:sz w:val="4"/>
                <w:szCs w:val="4"/>
                <w:color w:val="auto"/>
              </w:rPr>
            </w:pPr>
          </w:p>
        </w:tc>
        <w:tc>
          <w:tcPr>
            <w:tcW w:w="2480" w:type="dxa"/>
            <w:vAlign w:val="bottom"/>
            <w:tcBorders>
              <w:bottom w:val="single" w:sz="8" w:color="205BA8"/>
            </w:tcBorders>
          </w:tcPr>
          <w:p>
            <w:pPr>
              <w:spacing w:after="0"/>
              <w:rPr>
                <w:sz w:val="4"/>
                <w:szCs w:val="4"/>
                <w:color w:val="auto"/>
              </w:rPr>
            </w:pPr>
          </w:p>
        </w:tc>
        <w:tc>
          <w:tcPr>
            <w:tcW w:w="1680" w:type="dxa"/>
            <w:vAlign w:val="bottom"/>
            <w:tcBorders>
              <w:bottom w:val="single" w:sz="8" w:color="205BA8"/>
            </w:tcBorders>
          </w:tcPr>
          <w:p>
            <w:pPr>
              <w:spacing w:after="0"/>
              <w:rPr>
                <w:sz w:val="4"/>
                <w:szCs w:val="4"/>
                <w:color w:val="auto"/>
              </w:rPr>
            </w:pPr>
          </w:p>
        </w:tc>
        <w:tc>
          <w:tcPr>
            <w:tcW w:w="1140" w:type="dxa"/>
            <w:vAlign w:val="bottom"/>
            <w:tcBorders>
              <w:bottom w:val="single" w:sz="8" w:color="205BA8"/>
            </w:tcBorders>
          </w:tcPr>
          <w:p>
            <w:pPr>
              <w:spacing w:after="0"/>
              <w:rPr>
                <w:sz w:val="4"/>
                <w:szCs w:val="4"/>
                <w:color w:val="auto"/>
              </w:rPr>
            </w:pPr>
          </w:p>
        </w:tc>
      </w:tr>
      <w:tr>
        <w:trPr>
          <w:trHeight w:val="273"/>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Burn Rate</w:t>
            </w:r>
            <w:r>
              <w:rPr>
                <w:rFonts w:ascii="Arial" w:cs="Arial" w:eastAsia="Arial" w:hAnsi="Arial"/>
                <w:sz w:val="20"/>
                <w:szCs w:val="20"/>
                <w:color w:val="auto"/>
                <w:vertAlign w:val="superscript"/>
              </w:rPr>
              <w:t>1</w:t>
            </w:r>
          </w:p>
        </w:tc>
        <w:tc>
          <w:tcPr>
            <w:tcW w:w="24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color w:val="auto"/>
              </w:rPr>
              <w:t>5.20</w:t>
            </w:r>
          </w:p>
        </w:tc>
        <w:tc>
          <w:tcPr>
            <w:tcW w:w="168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color w:val="auto"/>
              </w:rPr>
              <w:t>4.13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r>
      <w:tr>
        <w:trPr>
          <w:trHeight w:val="266"/>
        </w:trPr>
        <w:tc>
          <w:tcPr>
            <w:tcW w:w="2080" w:type="dxa"/>
            <w:vAlign w:val="bottom"/>
            <w:tcBorders>
              <w:bottom w:val="single" w:sz="8" w:color="auto"/>
            </w:tcBorders>
            <w:shd w:val="clear" w:color="auto" w:fill="ECEDED"/>
          </w:tcPr>
          <w:p>
            <w:pPr>
              <w:ind w:left="40"/>
              <w:spacing w:after="0"/>
              <w:rPr>
                <w:sz w:val="20"/>
                <w:szCs w:val="20"/>
                <w:color w:val="auto"/>
              </w:rPr>
            </w:pPr>
            <w:r>
              <w:rPr>
                <w:rFonts w:ascii="Arial" w:cs="Arial" w:eastAsia="Arial" w:hAnsi="Arial"/>
                <w:sz w:val="13"/>
                <w:szCs w:val="13"/>
                <w:color w:val="auto"/>
              </w:rPr>
              <w:t>Overhang</w:t>
            </w:r>
            <w:r>
              <w:rPr>
                <w:rFonts w:ascii="Arial" w:cs="Arial" w:eastAsia="Arial" w:hAnsi="Arial"/>
                <w:sz w:val="20"/>
                <w:szCs w:val="20"/>
                <w:color w:val="auto"/>
                <w:vertAlign w:val="superscript"/>
              </w:rPr>
              <w:t>2</w:t>
            </w:r>
          </w:p>
        </w:tc>
        <w:tc>
          <w:tcPr>
            <w:tcW w:w="2480" w:type="dxa"/>
            <w:vAlign w:val="bottom"/>
            <w:tcBorders>
              <w:bottom w:val="single" w:sz="8" w:color="auto"/>
            </w:tcBorders>
            <w:shd w:val="clear" w:color="auto" w:fill="ECEDED"/>
          </w:tcPr>
          <w:p>
            <w:pPr>
              <w:jc w:val="right"/>
              <w:ind w:right="559"/>
              <w:spacing w:after="0"/>
              <w:rPr>
                <w:sz w:val="20"/>
                <w:szCs w:val="20"/>
                <w:color w:val="auto"/>
              </w:rPr>
            </w:pPr>
            <w:r>
              <w:rPr>
                <w:rFonts w:ascii="Arial" w:cs="Arial" w:eastAsia="Arial" w:hAnsi="Arial"/>
                <w:sz w:val="13"/>
                <w:szCs w:val="13"/>
                <w:color w:val="auto"/>
              </w:rPr>
              <w:t>29.77</w:t>
            </w:r>
          </w:p>
        </w:tc>
        <w:tc>
          <w:tcPr>
            <w:tcW w:w="1680" w:type="dxa"/>
            <w:vAlign w:val="bottom"/>
            <w:tcBorders>
              <w:bottom w:val="single" w:sz="8" w:color="auto"/>
            </w:tcBorders>
            <w:shd w:val="clear" w:color="auto" w:fill="ECEDED"/>
          </w:tcPr>
          <w:p>
            <w:pPr>
              <w:jc w:val="right"/>
              <w:ind w:right="539"/>
              <w:spacing w:after="0"/>
              <w:rPr>
                <w:sz w:val="20"/>
                <w:szCs w:val="20"/>
                <w:color w:val="auto"/>
              </w:rPr>
            </w:pPr>
            <w:r>
              <w:rPr>
                <w:rFonts w:ascii="Arial" w:cs="Arial" w:eastAsia="Arial" w:hAnsi="Arial"/>
                <w:sz w:val="13"/>
                <w:szCs w:val="13"/>
                <w:color w:val="auto"/>
              </w:rPr>
              <w:t>31.44</w:t>
            </w:r>
          </w:p>
        </w:tc>
        <w:tc>
          <w:tcPr>
            <w:tcW w:w="114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3"/>
                <w:szCs w:val="13"/>
                <w:color w:val="auto"/>
              </w:rPr>
              <w:t>24.47</w:t>
            </w:r>
          </w:p>
        </w:tc>
      </w:tr>
      <w:tr>
        <w:trPr>
          <w:trHeight w:val="308"/>
        </w:trPr>
        <w:tc>
          <w:tcPr>
            <w:tcW w:w="2080" w:type="dxa"/>
            <w:vAlign w:val="bottom"/>
          </w:tcPr>
          <w:p>
            <w:pPr>
              <w:ind w:left="40"/>
              <w:spacing w:after="0"/>
              <w:rPr>
                <w:sz w:val="20"/>
                <w:szCs w:val="20"/>
                <w:color w:val="auto"/>
              </w:rPr>
            </w:pPr>
            <w:r>
              <w:rPr>
                <w:rFonts w:ascii="Arial" w:cs="Arial" w:eastAsia="Arial" w:hAnsi="Arial"/>
                <w:sz w:val="13"/>
                <w:szCs w:val="13"/>
                <w:color w:val="auto"/>
              </w:rPr>
              <w:t>Dilution</w:t>
            </w:r>
            <w:r>
              <w:rPr>
                <w:rFonts w:ascii="Arial" w:cs="Arial" w:eastAsia="Arial" w:hAnsi="Arial"/>
                <w:sz w:val="20"/>
                <w:szCs w:val="20"/>
                <w:color w:val="auto"/>
                <w:vertAlign w:val="superscript"/>
              </w:rPr>
              <w:t>3</w:t>
            </w:r>
          </w:p>
        </w:tc>
        <w:tc>
          <w:tcPr>
            <w:tcW w:w="2480" w:type="dxa"/>
            <w:vAlign w:val="bottom"/>
          </w:tcPr>
          <w:p>
            <w:pPr>
              <w:jc w:val="right"/>
              <w:ind w:right="559"/>
              <w:spacing w:after="0"/>
              <w:rPr>
                <w:sz w:val="20"/>
                <w:szCs w:val="20"/>
                <w:color w:val="auto"/>
              </w:rPr>
            </w:pPr>
            <w:r>
              <w:rPr>
                <w:rFonts w:ascii="Arial" w:cs="Arial" w:eastAsia="Arial" w:hAnsi="Arial"/>
                <w:sz w:val="13"/>
                <w:szCs w:val="13"/>
                <w:color w:val="auto"/>
              </w:rPr>
              <w:t>20.94</w:t>
            </w:r>
          </w:p>
        </w:tc>
        <w:tc>
          <w:tcPr>
            <w:tcW w:w="1680" w:type="dxa"/>
            <w:vAlign w:val="bottom"/>
          </w:tcPr>
          <w:p>
            <w:pPr>
              <w:jc w:val="right"/>
              <w:ind w:right="539"/>
              <w:spacing w:after="0"/>
              <w:rPr>
                <w:sz w:val="20"/>
                <w:szCs w:val="20"/>
                <w:color w:val="auto"/>
              </w:rPr>
            </w:pPr>
            <w:r>
              <w:rPr>
                <w:rFonts w:ascii="Arial" w:cs="Arial" w:eastAsia="Arial" w:hAnsi="Arial"/>
                <w:sz w:val="13"/>
                <w:szCs w:val="13"/>
                <w:color w:val="auto"/>
              </w:rPr>
              <w:t>19.66</w:t>
            </w:r>
          </w:p>
        </w:tc>
        <w:tc>
          <w:tcPr>
            <w:tcW w:w="1140" w:type="dxa"/>
            <w:vAlign w:val="bottom"/>
          </w:tcPr>
          <w:p>
            <w:pPr>
              <w:jc w:val="right"/>
              <w:spacing w:after="0"/>
              <w:rPr>
                <w:sz w:val="20"/>
                <w:szCs w:val="20"/>
                <w:color w:val="auto"/>
              </w:rPr>
            </w:pPr>
            <w:r>
              <w:rPr>
                <w:rFonts w:ascii="Arial" w:cs="Arial" w:eastAsia="Arial" w:hAnsi="Arial"/>
                <w:sz w:val="13"/>
                <w:szCs w:val="13"/>
                <w:color w:val="auto"/>
              </w:rPr>
              <w:t>19.58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-26035</wp:posOffset>
            </wp:positionV>
            <wp:extent cx="46863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7" w:lineRule="exact"/>
        <w:rPr>
          <w:sz w:val="20"/>
          <w:szCs w:val="20"/>
          <w:color w:val="auto"/>
        </w:rPr>
      </w:pPr>
    </w:p>
    <w:p>
      <w:pPr>
        <w:ind w:left="3680" w:right="520" w:hanging="149"/>
        <w:spacing w:after="0" w:line="235" w:lineRule="auto"/>
        <w:tabs>
          <w:tab w:leader="none" w:pos="3680" w:val="left"/>
        </w:tabs>
        <w:numPr>
          <w:ilvl w:val="0"/>
          <w:numId w:val="130"/>
        </w:numPr>
        <w:rPr>
          <w:rFonts w:ascii="Arial" w:cs="Arial" w:eastAsia="Arial" w:hAnsi="Arial"/>
          <w:sz w:val="14"/>
          <w:szCs w:val="14"/>
          <w:b w:val="1"/>
          <w:bCs w:val="1"/>
          <w:color w:val="205BA8"/>
        </w:rPr>
      </w:pPr>
      <w:r>
        <w:rPr>
          <w:rFonts w:ascii="Arial" w:cs="Arial" w:eastAsia="Arial" w:hAnsi="Arial"/>
          <w:sz w:val="14"/>
          <w:szCs w:val="14"/>
          <w:color w:val="auto"/>
        </w:rPr>
        <w:t>Calculated by dividing the number of shares subject to equity awards (stock options, restricted stock, and restricted stock units) granted during the year by the basic weighted-average number of shares of common stock and Class A stock outstanding during the year. Commencing in 2018, a multiplier of 2.5 is applied to awards of restricted stock and restricted stock units. For comparison purposes, the previously reported 2016 and 2017 burn rates have been adjusted in this table using the same multiplier.</w:t>
      </w:r>
    </w:p>
    <w:p>
      <w:pPr>
        <w:spacing w:after="0" w:line="43" w:lineRule="exact"/>
        <w:rPr>
          <w:sz w:val="20"/>
          <w:szCs w:val="20"/>
          <w:color w:val="auto"/>
        </w:rPr>
      </w:pPr>
    </w:p>
    <w:p>
      <w:pPr>
        <w:ind w:left="3680" w:right="600" w:hanging="149"/>
        <w:spacing w:after="0" w:line="235" w:lineRule="auto"/>
        <w:tabs>
          <w:tab w:leader="none" w:pos="3680" w:val="left"/>
        </w:tabs>
        <w:numPr>
          <w:ilvl w:val="0"/>
          <w:numId w:val="131"/>
        </w:numPr>
        <w:rPr>
          <w:rFonts w:ascii="Arial" w:cs="Arial" w:eastAsia="Arial" w:hAnsi="Arial"/>
          <w:sz w:val="14"/>
          <w:szCs w:val="14"/>
          <w:b w:val="1"/>
          <w:bCs w:val="1"/>
          <w:color w:val="205BA8"/>
        </w:rPr>
      </w:pPr>
      <w:r>
        <w:rPr>
          <w:rFonts w:ascii="Arial" w:cs="Arial" w:eastAsia="Arial" w:hAnsi="Arial"/>
          <w:sz w:val="14"/>
          <w:szCs w:val="14"/>
          <w:color w:val="auto"/>
        </w:rPr>
        <w:t>Calculated by dividing (a) the sum of (i) the number of shares subject to equity awards (stock options and unvested restricted stock) outstanding at the end of the year and (ii) the number of shares available for future grants at the end of the year, by (b) the sum of (i) the number of shares of common stock and Class A stock outstanding at the end of the year and (ii) the shares subject to equity awards outstanding at the end of the year.</w:t>
      </w:r>
    </w:p>
    <w:p>
      <w:pPr>
        <w:spacing w:after="0" w:line="45" w:lineRule="exact"/>
        <w:rPr>
          <w:sz w:val="20"/>
          <w:szCs w:val="20"/>
          <w:color w:val="auto"/>
        </w:rPr>
      </w:pPr>
    </w:p>
    <w:p>
      <w:pPr>
        <w:ind w:left="3680" w:right="740" w:hanging="149"/>
        <w:spacing w:after="0" w:line="263" w:lineRule="auto"/>
        <w:tabs>
          <w:tab w:leader="none" w:pos="3680" w:val="left"/>
        </w:tabs>
        <w:numPr>
          <w:ilvl w:val="0"/>
          <w:numId w:val="132"/>
        </w:numPr>
        <w:rPr>
          <w:rFonts w:ascii="Arial" w:cs="Arial" w:eastAsia="Arial" w:hAnsi="Arial"/>
          <w:sz w:val="13"/>
          <w:szCs w:val="13"/>
          <w:b w:val="1"/>
          <w:bCs w:val="1"/>
          <w:color w:val="205BA8"/>
        </w:rPr>
      </w:pPr>
      <w:r>
        <w:rPr>
          <w:rFonts w:ascii="Arial" w:cs="Arial" w:eastAsia="Arial" w:hAnsi="Arial"/>
          <w:sz w:val="13"/>
          <w:szCs w:val="13"/>
          <w:color w:val="auto"/>
        </w:rPr>
        <w:t>Calculated by dividing the number of shares subject to equity awards (stock options and unvested restricted stock) outstanding at the end of the year by the sum of (i) the number of shares of common stock and Class A stock outstanding at the end of the year and (ii) the shares subject to equity awards outstanding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97790</wp:posOffset>
            </wp:positionV>
            <wp:extent cx="46863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306"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205BA8"/>
        </w:rPr>
        <w:t>Equity Compensation Plan Information</w:t>
      </w:r>
    </w:p>
    <w:p>
      <w:pPr>
        <w:spacing w:after="0" w:line="215" w:lineRule="exact"/>
        <w:rPr>
          <w:sz w:val="20"/>
          <w:szCs w:val="20"/>
          <w:color w:val="auto"/>
        </w:rPr>
      </w:pPr>
    </w:p>
    <w:p>
      <w:pPr>
        <w:ind w:left="3540" w:right="1200"/>
        <w:spacing w:after="0" w:line="229" w:lineRule="auto"/>
        <w:rPr>
          <w:sz w:val="20"/>
          <w:szCs w:val="20"/>
          <w:color w:val="auto"/>
        </w:rPr>
      </w:pPr>
      <w:r>
        <w:rPr>
          <w:rFonts w:ascii="Arial" w:cs="Arial" w:eastAsia="Arial" w:hAnsi="Arial"/>
          <w:sz w:val="15"/>
          <w:szCs w:val="15"/>
          <w:color w:val="auto"/>
        </w:rPr>
        <w:t>The following table shows information with respect to securities authorized for issuance under the equity compensation plans maintained by the Company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88900</wp:posOffset>
            </wp:positionV>
            <wp:extent cx="46863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173" w:lineRule="exact"/>
        <w:rPr>
          <w:sz w:val="20"/>
          <w:szCs w:val="20"/>
          <w:color w:val="auto"/>
        </w:rPr>
      </w:pPr>
    </w:p>
    <w:tbl>
      <w:tblPr>
        <w:tblLayout w:type="fixed"/>
        <w:tblInd w:w="3540" w:type="dxa"/>
        <w:tblCellMar>
          <w:top w:w="0" w:type="dxa"/>
          <w:left w:w="0" w:type="dxa"/>
          <w:bottom w:w="0" w:type="dxa"/>
          <w:right w:w="0" w:type="dxa"/>
        </w:tblCellMar>
      </w:tblPr>
      <w:tr>
        <w:trPr>
          <w:trHeight w:val="148"/>
        </w:trPr>
        <w:tc>
          <w:tcPr>
            <w:tcW w:w="118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1"/>
                <w:szCs w:val="11"/>
                <w:b w:val="1"/>
                <w:bCs w:val="1"/>
                <w:color w:val="205BA8"/>
              </w:rPr>
              <w:t>A</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205BA8"/>
              </w:rPr>
              <w:t>B</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205BA8"/>
              </w:rPr>
              <w:t>C</w:t>
            </w:r>
          </w:p>
        </w:tc>
        <w:tc>
          <w:tcPr>
            <w:tcW w:w="0" w:type="dxa"/>
            <w:vAlign w:val="bottom"/>
          </w:tcPr>
          <w:p>
            <w:pPr>
              <w:spacing w:after="0"/>
              <w:rPr>
                <w:sz w:val="1"/>
                <w:szCs w:val="1"/>
                <w:color w:val="auto"/>
              </w:rPr>
            </w:pPr>
          </w:p>
        </w:tc>
      </w:tr>
      <w:tr>
        <w:trPr>
          <w:trHeight w:val="46"/>
        </w:trPr>
        <w:tc>
          <w:tcPr>
            <w:tcW w:w="1180" w:type="dxa"/>
            <w:vAlign w:val="bottom"/>
            <w:tcBorders>
              <w:bottom w:val="single" w:sz="8" w:color="205BA8"/>
            </w:tcBorders>
          </w:tcPr>
          <w:p>
            <w:pPr>
              <w:spacing w:after="0"/>
              <w:rPr>
                <w:sz w:val="3"/>
                <w:szCs w:val="3"/>
                <w:color w:val="auto"/>
              </w:rPr>
            </w:pPr>
          </w:p>
        </w:tc>
        <w:tc>
          <w:tcPr>
            <w:tcW w:w="2460" w:type="dxa"/>
            <w:vAlign w:val="bottom"/>
            <w:tcBorders>
              <w:bottom w:val="single" w:sz="8" w:color="205BA8"/>
            </w:tcBorders>
          </w:tcPr>
          <w:p>
            <w:pPr>
              <w:spacing w:after="0"/>
              <w:rPr>
                <w:sz w:val="3"/>
                <w:szCs w:val="3"/>
                <w:color w:val="auto"/>
              </w:rPr>
            </w:pPr>
          </w:p>
        </w:tc>
        <w:tc>
          <w:tcPr>
            <w:tcW w:w="1380" w:type="dxa"/>
            <w:vAlign w:val="bottom"/>
            <w:tcBorders>
              <w:bottom w:val="single" w:sz="8" w:color="205BA8"/>
            </w:tcBorders>
          </w:tcPr>
          <w:p>
            <w:pPr>
              <w:spacing w:after="0"/>
              <w:rPr>
                <w:sz w:val="3"/>
                <w:szCs w:val="3"/>
                <w:color w:val="auto"/>
              </w:rPr>
            </w:pPr>
          </w:p>
        </w:tc>
        <w:tc>
          <w:tcPr>
            <w:tcW w:w="2360" w:type="dxa"/>
            <w:vAlign w:val="bottom"/>
            <w:tcBorders>
              <w:bottom w:val="single" w:sz="8" w:color="205BA8"/>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205BA8"/>
              </w:rPr>
              <w:t>Weighted-average</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205BA8"/>
              </w:rPr>
              <w:t>Number of securities remaining</w:t>
            </w: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b w:val="1"/>
                <w:bCs w:val="1"/>
                <w:color w:val="205BA8"/>
              </w:rPr>
              <w:t>Number of securities to be issued upon</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205BA8"/>
              </w:rPr>
              <w:t>exercise price of</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205BA8"/>
              </w:rPr>
              <w:t>available for future issuance under</w:t>
            </w: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b w:val="1"/>
                <w:bCs w:val="1"/>
                <w:color w:val="205BA8"/>
              </w:rPr>
              <w:t>exercise of outstanding options, warrants,</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205BA8"/>
              </w:rPr>
              <w:t>outstanding options,</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205BA8"/>
              </w:rPr>
              <w:t>equity compensation plans (excluding</w:t>
            </w: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rPr>
                <w:sz w:val="20"/>
                <w:szCs w:val="20"/>
                <w:color w:val="auto"/>
              </w:rPr>
            </w:pPr>
            <w:r>
              <w:rPr>
                <w:rFonts w:ascii="Arial" w:cs="Arial" w:eastAsia="Arial" w:hAnsi="Arial"/>
                <w:sz w:val="11"/>
                <w:szCs w:val="11"/>
                <w:b w:val="1"/>
                <w:bCs w:val="1"/>
                <w:color w:val="205BA8"/>
              </w:rPr>
              <w:t>Plan Category</w:t>
            </w:r>
          </w:p>
        </w:tc>
        <w:tc>
          <w:tcPr>
            <w:tcW w:w="2460" w:type="dxa"/>
            <w:vAlign w:val="bottom"/>
          </w:tcPr>
          <w:p>
            <w:pPr>
              <w:jc w:val="center"/>
              <w:spacing w:after="0"/>
              <w:rPr>
                <w:sz w:val="20"/>
                <w:szCs w:val="20"/>
                <w:color w:val="auto"/>
              </w:rPr>
            </w:pPr>
            <w:r>
              <w:rPr>
                <w:rFonts w:ascii="Arial" w:cs="Arial" w:eastAsia="Arial" w:hAnsi="Arial"/>
                <w:sz w:val="11"/>
                <w:szCs w:val="11"/>
                <w:b w:val="1"/>
                <w:bCs w:val="1"/>
                <w:color w:val="205BA8"/>
              </w:rPr>
              <w:t>and rights</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205BA8"/>
              </w:rPr>
              <w:t>warrants, and rights</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205BA8"/>
              </w:rPr>
              <w:t>securities reflected in column (a))</w:t>
            </w:r>
          </w:p>
        </w:tc>
        <w:tc>
          <w:tcPr>
            <w:tcW w:w="0" w:type="dxa"/>
            <w:vAlign w:val="bottom"/>
          </w:tcPr>
          <w:p>
            <w:pPr>
              <w:spacing w:after="0"/>
              <w:rPr>
                <w:sz w:val="1"/>
                <w:szCs w:val="1"/>
                <w:color w:val="auto"/>
              </w:rPr>
            </w:pPr>
          </w:p>
        </w:tc>
      </w:tr>
      <w:tr>
        <w:trPr>
          <w:trHeight w:val="52"/>
        </w:trPr>
        <w:tc>
          <w:tcPr>
            <w:tcW w:w="1180" w:type="dxa"/>
            <w:vAlign w:val="bottom"/>
            <w:tcBorders>
              <w:bottom w:val="single" w:sz="8" w:color="205BA8"/>
            </w:tcBorders>
          </w:tcPr>
          <w:p>
            <w:pPr>
              <w:spacing w:after="0"/>
              <w:rPr>
                <w:sz w:val="4"/>
                <w:szCs w:val="4"/>
                <w:color w:val="auto"/>
              </w:rPr>
            </w:pPr>
          </w:p>
        </w:tc>
        <w:tc>
          <w:tcPr>
            <w:tcW w:w="2460" w:type="dxa"/>
            <w:vAlign w:val="bottom"/>
            <w:tcBorders>
              <w:bottom w:val="single" w:sz="8" w:color="205BA8"/>
            </w:tcBorders>
          </w:tcPr>
          <w:p>
            <w:pPr>
              <w:spacing w:after="0"/>
              <w:rPr>
                <w:sz w:val="4"/>
                <w:szCs w:val="4"/>
                <w:color w:val="auto"/>
              </w:rPr>
            </w:pPr>
          </w:p>
        </w:tc>
        <w:tc>
          <w:tcPr>
            <w:tcW w:w="1380" w:type="dxa"/>
            <w:vAlign w:val="bottom"/>
            <w:tcBorders>
              <w:bottom w:val="single" w:sz="8" w:color="205BA8"/>
            </w:tcBorders>
          </w:tcPr>
          <w:p>
            <w:pPr>
              <w:spacing w:after="0"/>
              <w:rPr>
                <w:sz w:val="4"/>
                <w:szCs w:val="4"/>
                <w:color w:val="auto"/>
              </w:rPr>
            </w:pPr>
          </w:p>
        </w:tc>
        <w:tc>
          <w:tcPr>
            <w:tcW w:w="2360" w:type="dxa"/>
            <w:vAlign w:val="bottom"/>
            <w:tcBorders>
              <w:bottom w:val="single" w:sz="8" w:color="205BA8"/>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CEDED"/>
          </w:tcPr>
          <w:p>
            <w:pPr>
              <w:ind w:left="40"/>
              <w:spacing w:after="0"/>
              <w:rPr>
                <w:sz w:val="20"/>
                <w:szCs w:val="20"/>
                <w:color w:val="auto"/>
              </w:rPr>
            </w:pPr>
            <w:r>
              <w:rPr>
                <w:rFonts w:ascii="Arial" w:cs="Arial" w:eastAsia="Arial" w:hAnsi="Arial"/>
                <w:sz w:val="13"/>
                <w:szCs w:val="13"/>
                <w:color w:val="auto"/>
              </w:rPr>
              <w:t>Equity</w:t>
            </w:r>
          </w:p>
        </w:tc>
        <w:tc>
          <w:tcPr>
            <w:tcW w:w="246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3"/>
              </w:rPr>
              <w:t>28,299,546</w:t>
            </w:r>
            <w:r>
              <w:rPr>
                <w:rFonts w:ascii="Arial" w:cs="Arial" w:eastAsia="Arial" w:hAnsi="Arial"/>
                <w:sz w:val="20"/>
                <w:szCs w:val="20"/>
                <w:color w:val="auto"/>
                <w:w w:val="93"/>
                <w:vertAlign w:val="superscript"/>
              </w:rPr>
              <w:t>3</w:t>
            </w:r>
          </w:p>
        </w:tc>
        <w:tc>
          <w:tcPr>
            <w:tcW w:w="1380" w:type="dxa"/>
            <w:vAlign w:val="bottom"/>
            <w:shd w:val="clear" w:color="auto" w:fill="ECEDED"/>
          </w:tcPr>
          <w:p>
            <w:pPr>
              <w:spacing w:after="0"/>
              <w:rPr>
                <w:sz w:val="17"/>
                <w:szCs w:val="17"/>
                <w:color w:val="auto"/>
              </w:rPr>
            </w:pPr>
          </w:p>
        </w:tc>
        <w:tc>
          <w:tcPr>
            <w:tcW w:w="2360" w:type="dxa"/>
            <w:vAlign w:val="bottom"/>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80" w:type="dxa"/>
            <w:vAlign w:val="bottom"/>
            <w:shd w:val="clear" w:color="auto" w:fill="ECEDED"/>
          </w:tcPr>
          <w:p>
            <w:pPr>
              <w:ind w:left="40"/>
              <w:spacing w:after="0" w:line="140" w:lineRule="exact"/>
              <w:rPr>
                <w:sz w:val="20"/>
                <w:szCs w:val="20"/>
                <w:color w:val="auto"/>
              </w:rPr>
            </w:pPr>
            <w:r>
              <w:rPr>
                <w:rFonts w:ascii="Arial" w:cs="Arial" w:eastAsia="Arial" w:hAnsi="Arial"/>
                <w:sz w:val="13"/>
                <w:szCs w:val="13"/>
                <w:color w:val="auto"/>
              </w:rPr>
              <w:t>compensation</w:t>
            </w:r>
          </w:p>
        </w:tc>
        <w:tc>
          <w:tcPr>
            <w:tcW w:w="2460" w:type="dxa"/>
            <w:vAlign w:val="bottom"/>
            <w:vMerge w:val="continue"/>
            <w:shd w:val="clear" w:color="auto" w:fill="ECEDED"/>
          </w:tcPr>
          <w:p>
            <w:pPr>
              <w:spacing w:after="0"/>
              <w:rPr>
                <w:sz w:val="12"/>
                <w:szCs w:val="12"/>
                <w:color w:val="auto"/>
              </w:rPr>
            </w:pPr>
          </w:p>
        </w:tc>
        <w:tc>
          <w:tcPr>
            <w:tcW w:w="1380" w:type="dxa"/>
            <w:vAlign w:val="bottom"/>
            <w:shd w:val="clear" w:color="auto" w:fill="ECEDED"/>
          </w:tcPr>
          <w:p>
            <w:pPr>
              <w:jc w:val="right"/>
              <w:ind w:right="362"/>
              <w:spacing w:after="0"/>
              <w:rPr>
                <w:sz w:val="20"/>
                <w:szCs w:val="20"/>
                <w:color w:val="auto"/>
              </w:rPr>
            </w:pPr>
            <w:r>
              <w:rPr>
                <w:rFonts w:ascii="Arial" w:cs="Arial" w:eastAsia="Arial" w:hAnsi="Arial"/>
                <w:sz w:val="10"/>
                <w:szCs w:val="10"/>
                <w:color w:val="auto"/>
              </w:rPr>
              <w:t>(4)</w:t>
            </w:r>
          </w:p>
        </w:tc>
        <w:tc>
          <w:tcPr>
            <w:tcW w:w="2360" w:type="dxa"/>
            <w:vAlign w:val="bottom"/>
            <w:shd w:val="clear" w:color="auto" w:fill="ECEDED"/>
          </w:tcPr>
          <w:p>
            <w:pPr>
              <w:jc w:val="center"/>
              <w:spacing w:after="0" w:line="140" w:lineRule="exact"/>
              <w:rPr>
                <w:sz w:val="20"/>
                <w:szCs w:val="20"/>
                <w:color w:val="auto"/>
              </w:rPr>
            </w:pPr>
            <w:r>
              <w:rPr>
                <w:rFonts w:ascii="Arial" w:cs="Arial" w:eastAsia="Arial" w:hAnsi="Arial"/>
                <w:sz w:val="13"/>
                <w:szCs w:val="13"/>
                <w:color w:val="auto"/>
                <w:w w:val="95"/>
              </w:rPr>
              <w:t>12,115,845</w:t>
            </w:r>
          </w:p>
        </w:tc>
        <w:tc>
          <w:tcPr>
            <w:tcW w:w="0" w:type="dxa"/>
            <w:vAlign w:val="bottom"/>
          </w:tcPr>
          <w:p>
            <w:pPr>
              <w:spacing w:after="0"/>
              <w:rPr>
                <w:sz w:val="1"/>
                <w:szCs w:val="1"/>
                <w:color w:val="auto"/>
              </w:rPr>
            </w:pPr>
          </w:p>
        </w:tc>
      </w:tr>
      <w:tr>
        <w:trPr>
          <w:trHeight w:val="143"/>
        </w:trPr>
        <w:tc>
          <w:tcPr>
            <w:tcW w:w="1180" w:type="dxa"/>
            <w:vAlign w:val="bottom"/>
            <w:shd w:val="clear" w:color="auto" w:fill="ECEDED"/>
          </w:tcPr>
          <w:p>
            <w:pPr>
              <w:ind w:left="40"/>
              <w:spacing w:after="0" w:line="143" w:lineRule="exact"/>
              <w:rPr>
                <w:sz w:val="20"/>
                <w:szCs w:val="20"/>
                <w:color w:val="auto"/>
              </w:rPr>
            </w:pPr>
            <w:r>
              <w:rPr>
                <w:rFonts w:ascii="Arial" w:cs="Arial" w:eastAsia="Arial" w:hAnsi="Arial"/>
                <w:sz w:val="13"/>
                <w:szCs w:val="13"/>
                <w:color w:val="auto"/>
              </w:rPr>
              <w:t>plans approved by</w:t>
            </w:r>
          </w:p>
        </w:tc>
        <w:tc>
          <w:tcPr>
            <w:tcW w:w="2460" w:type="dxa"/>
            <w:vAlign w:val="bottom"/>
            <w:shd w:val="clear" w:color="auto" w:fill="ECEDED"/>
          </w:tcPr>
          <w:p>
            <w:pPr>
              <w:jc w:val="center"/>
              <w:spacing w:after="0" w:line="143" w:lineRule="exact"/>
              <w:rPr>
                <w:sz w:val="20"/>
                <w:szCs w:val="20"/>
                <w:color w:val="auto"/>
              </w:rPr>
            </w:pPr>
            <w:r>
              <w:rPr>
                <w:rFonts w:ascii="Arial" w:cs="Arial" w:eastAsia="Arial" w:hAnsi="Arial"/>
                <w:sz w:val="13"/>
                <w:szCs w:val="13"/>
                <w:color w:val="auto"/>
                <w:w w:val="96"/>
              </w:rPr>
              <w:t>shares of common stock</w:t>
            </w:r>
          </w:p>
        </w:tc>
        <w:tc>
          <w:tcPr>
            <w:tcW w:w="1380" w:type="dxa"/>
            <w:vAlign w:val="bottom"/>
            <w:shd w:val="clear" w:color="auto" w:fill="ECEDED"/>
          </w:tcPr>
          <w:p>
            <w:pPr>
              <w:jc w:val="right"/>
              <w:ind w:right="482"/>
              <w:spacing w:after="0" w:line="143" w:lineRule="exact"/>
              <w:rPr>
                <w:sz w:val="20"/>
                <w:szCs w:val="20"/>
                <w:color w:val="auto"/>
              </w:rPr>
            </w:pPr>
            <w:r>
              <w:rPr>
                <w:rFonts w:ascii="Arial" w:cs="Arial" w:eastAsia="Arial" w:hAnsi="Arial"/>
                <w:sz w:val="13"/>
                <w:szCs w:val="13"/>
                <w:color w:val="auto"/>
              </w:rPr>
              <w:t>$319.28</w:t>
            </w:r>
          </w:p>
        </w:tc>
        <w:tc>
          <w:tcPr>
            <w:tcW w:w="2360" w:type="dxa"/>
            <w:vAlign w:val="bottom"/>
            <w:shd w:val="clear" w:color="auto" w:fill="ECEDED"/>
          </w:tcPr>
          <w:p>
            <w:pPr>
              <w:jc w:val="center"/>
              <w:spacing w:after="0" w:line="143" w:lineRule="exact"/>
              <w:rPr>
                <w:sz w:val="20"/>
                <w:szCs w:val="20"/>
                <w:color w:val="auto"/>
              </w:rPr>
            </w:pPr>
            <w:r>
              <w:rPr>
                <w:rFonts w:ascii="Arial" w:cs="Arial" w:eastAsia="Arial" w:hAnsi="Arial"/>
                <w:sz w:val="10"/>
                <w:szCs w:val="10"/>
                <w:color w:val="auto"/>
              </w:rPr>
              <w:t>shares of common stock</w:t>
            </w:r>
            <w:r>
              <w:rPr>
                <w:rFonts w:ascii="Arial" w:cs="Arial" w:eastAsia="Arial" w:hAnsi="Arial"/>
                <w:sz w:val="16"/>
                <w:szCs w:val="16"/>
                <w:color w:val="auto"/>
                <w:vertAlign w:val="superscript"/>
              </w:rPr>
              <w:t>5</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auto"/>
            </w:tcBorders>
            <w:shd w:val="clear" w:color="auto" w:fill="ECEDED"/>
          </w:tcPr>
          <w:p>
            <w:pPr>
              <w:ind w:left="40"/>
              <w:spacing w:after="0" w:line="221" w:lineRule="exact"/>
              <w:rPr>
                <w:sz w:val="20"/>
                <w:szCs w:val="20"/>
                <w:color w:val="auto"/>
              </w:rPr>
            </w:pPr>
            <w:r>
              <w:rPr>
                <w:rFonts w:ascii="Arial" w:cs="Arial" w:eastAsia="Arial" w:hAnsi="Arial"/>
                <w:sz w:val="13"/>
                <w:szCs w:val="13"/>
                <w:color w:val="auto"/>
              </w:rPr>
              <w:t>security holders</w:t>
            </w:r>
            <w:r>
              <w:rPr>
                <w:rFonts w:ascii="Arial" w:cs="Arial" w:eastAsia="Arial" w:hAnsi="Arial"/>
                <w:sz w:val="20"/>
                <w:szCs w:val="20"/>
                <w:color w:val="auto"/>
                <w:vertAlign w:val="superscript"/>
              </w:rPr>
              <w:t>1</w:t>
            </w:r>
          </w:p>
        </w:tc>
        <w:tc>
          <w:tcPr>
            <w:tcW w:w="2460" w:type="dxa"/>
            <w:vAlign w:val="bottom"/>
            <w:tcBorders>
              <w:bottom w:val="single" w:sz="8" w:color="auto"/>
            </w:tcBorders>
            <w:shd w:val="clear" w:color="auto" w:fill="ECEDED"/>
          </w:tcPr>
          <w:p>
            <w:pPr>
              <w:spacing w:after="0"/>
              <w:rPr>
                <w:sz w:val="19"/>
                <w:szCs w:val="19"/>
                <w:color w:val="auto"/>
              </w:rPr>
            </w:pPr>
          </w:p>
        </w:tc>
        <w:tc>
          <w:tcPr>
            <w:tcW w:w="1380" w:type="dxa"/>
            <w:vAlign w:val="bottom"/>
            <w:tcBorders>
              <w:bottom w:val="single" w:sz="8" w:color="auto"/>
            </w:tcBorders>
            <w:shd w:val="clear" w:color="auto" w:fill="ECEDED"/>
          </w:tcPr>
          <w:p>
            <w:pPr>
              <w:spacing w:after="0"/>
              <w:rPr>
                <w:sz w:val="19"/>
                <w:szCs w:val="19"/>
                <w:color w:val="auto"/>
              </w:rPr>
            </w:pPr>
          </w:p>
        </w:tc>
        <w:tc>
          <w:tcPr>
            <w:tcW w:w="2360" w:type="dxa"/>
            <w:vAlign w:val="bottom"/>
            <w:tcBorders>
              <w:bottom w:val="single" w:sz="8" w:color="auto"/>
            </w:tcBorders>
            <w:shd w:val="clear" w:color="auto" w:fill="ECEDED"/>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80" w:type="dxa"/>
            <w:vAlign w:val="bottom"/>
          </w:tcPr>
          <w:p>
            <w:pPr>
              <w:ind w:left="40"/>
              <w:spacing w:after="0"/>
              <w:rPr>
                <w:sz w:val="20"/>
                <w:szCs w:val="20"/>
                <w:color w:val="auto"/>
              </w:rPr>
            </w:pPr>
            <w:r>
              <w:rPr>
                <w:rFonts w:ascii="Arial" w:cs="Arial" w:eastAsia="Arial" w:hAnsi="Arial"/>
                <w:sz w:val="13"/>
                <w:szCs w:val="13"/>
                <w:color w:val="auto"/>
              </w:rPr>
              <w:t>Equity</w:t>
            </w:r>
          </w:p>
        </w:tc>
        <w:tc>
          <w:tcPr>
            <w:tcW w:w="2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180" w:type="dxa"/>
            <w:vAlign w:val="bottom"/>
          </w:tcPr>
          <w:p>
            <w:pPr>
              <w:ind w:left="40"/>
              <w:spacing w:after="0" w:line="143" w:lineRule="exact"/>
              <w:rPr>
                <w:sz w:val="20"/>
                <w:szCs w:val="20"/>
                <w:color w:val="auto"/>
              </w:rPr>
            </w:pPr>
            <w:r>
              <w:rPr>
                <w:rFonts w:ascii="Arial" w:cs="Arial" w:eastAsia="Arial" w:hAnsi="Arial"/>
                <w:sz w:val="13"/>
                <w:szCs w:val="13"/>
                <w:color w:val="auto"/>
              </w:rPr>
              <w:t>compensation</w:t>
            </w:r>
          </w:p>
        </w:tc>
        <w:tc>
          <w:tcPr>
            <w:tcW w:w="2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vMerge w:val="restart"/>
          </w:tcPr>
          <w:p>
            <w:pPr>
              <w:jc w:val="center"/>
              <w:spacing w:after="0"/>
              <w:rPr>
                <w:sz w:val="20"/>
                <w:szCs w:val="20"/>
                <w:color w:val="auto"/>
              </w:rPr>
            </w:pPr>
            <w:r>
              <w:rPr>
                <w:rFonts w:ascii="Arial" w:cs="Arial" w:eastAsia="Arial" w:hAnsi="Arial"/>
                <w:sz w:val="13"/>
                <w:szCs w:val="13"/>
                <w:color w:val="auto"/>
                <w:w w:val="95"/>
              </w:rPr>
              <w:t>44,246</w:t>
            </w:r>
          </w:p>
        </w:tc>
        <w:tc>
          <w:tcPr>
            <w:tcW w:w="0" w:type="dxa"/>
            <w:vAlign w:val="bottom"/>
          </w:tcPr>
          <w:p>
            <w:pPr>
              <w:spacing w:after="0"/>
              <w:rPr>
                <w:sz w:val="1"/>
                <w:szCs w:val="1"/>
                <w:color w:val="auto"/>
              </w:rPr>
            </w:pPr>
          </w:p>
        </w:tc>
      </w:tr>
      <w:tr>
        <w:trPr>
          <w:trHeight w:val="78"/>
        </w:trPr>
        <w:tc>
          <w:tcPr>
            <w:tcW w:w="1180" w:type="dxa"/>
            <w:vAlign w:val="bottom"/>
            <w:vMerge w:val="restart"/>
          </w:tcPr>
          <w:p>
            <w:pPr>
              <w:ind w:left="40"/>
              <w:spacing w:after="0" w:line="143" w:lineRule="exact"/>
              <w:rPr>
                <w:sz w:val="20"/>
                <w:szCs w:val="20"/>
                <w:color w:val="auto"/>
              </w:rPr>
            </w:pPr>
            <w:r>
              <w:rPr>
                <w:rFonts w:ascii="Arial" w:cs="Arial" w:eastAsia="Arial" w:hAnsi="Arial"/>
                <w:sz w:val="13"/>
                <w:szCs w:val="13"/>
                <w:color w:val="auto"/>
              </w:rPr>
              <w:t>plans not approved</w:t>
            </w:r>
          </w:p>
        </w:tc>
        <w:tc>
          <w:tcPr>
            <w:tcW w:w="2460" w:type="dxa"/>
            <w:vAlign w:val="bottom"/>
            <w:vMerge w:val="restart"/>
          </w:tcPr>
          <w:p>
            <w:pPr>
              <w:jc w:val="center"/>
              <w:spacing w:after="0" w:line="143" w:lineRule="exact"/>
              <w:rPr>
                <w:sz w:val="20"/>
                <w:szCs w:val="20"/>
                <w:color w:val="auto"/>
              </w:rPr>
            </w:pPr>
            <w:r>
              <w:rPr>
                <w:rFonts w:ascii="Arial" w:cs="Arial" w:eastAsia="Arial" w:hAnsi="Arial"/>
                <w:sz w:val="13"/>
                <w:szCs w:val="13"/>
                <w:color w:val="auto"/>
                <w:w w:val="91"/>
              </w:rPr>
              <w:t>—</w:t>
            </w:r>
          </w:p>
        </w:tc>
        <w:tc>
          <w:tcPr>
            <w:tcW w:w="1380" w:type="dxa"/>
            <w:vAlign w:val="bottom"/>
            <w:vMerge w:val="restart"/>
          </w:tcPr>
          <w:p>
            <w:pPr>
              <w:jc w:val="center"/>
              <w:spacing w:after="0" w:line="143" w:lineRule="exact"/>
              <w:rPr>
                <w:sz w:val="20"/>
                <w:szCs w:val="20"/>
                <w:color w:val="auto"/>
              </w:rPr>
            </w:pPr>
            <w:r>
              <w:rPr>
                <w:rFonts w:ascii="Arial" w:cs="Arial" w:eastAsia="Arial" w:hAnsi="Arial"/>
                <w:sz w:val="13"/>
                <w:szCs w:val="13"/>
                <w:color w:val="auto"/>
              </w:rPr>
              <w:t>$ —</w:t>
            </w: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180" w:type="dxa"/>
            <w:vAlign w:val="bottom"/>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2360" w:type="dxa"/>
            <w:vAlign w:val="bottom"/>
            <w:vMerge w:val="restart"/>
          </w:tcPr>
          <w:p>
            <w:pPr>
              <w:jc w:val="center"/>
              <w:spacing w:after="0"/>
              <w:rPr>
                <w:sz w:val="20"/>
                <w:szCs w:val="20"/>
                <w:color w:val="auto"/>
              </w:rPr>
            </w:pPr>
            <w:r>
              <w:rPr>
                <w:rFonts w:ascii="Arial" w:cs="Arial" w:eastAsia="Arial" w:hAnsi="Arial"/>
                <w:sz w:val="13"/>
                <w:szCs w:val="13"/>
                <w:color w:val="auto"/>
                <w:w w:val="97"/>
              </w:rPr>
              <w:t>shares of Class A stock</w:t>
            </w:r>
          </w:p>
        </w:tc>
        <w:tc>
          <w:tcPr>
            <w:tcW w:w="0" w:type="dxa"/>
            <w:vAlign w:val="bottom"/>
          </w:tcPr>
          <w:p>
            <w:pPr>
              <w:spacing w:after="0"/>
              <w:rPr>
                <w:sz w:val="1"/>
                <w:szCs w:val="1"/>
                <w:color w:val="auto"/>
              </w:rPr>
            </w:pPr>
          </w:p>
        </w:tc>
      </w:tr>
      <w:tr>
        <w:trPr>
          <w:trHeight w:val="85"/>
        </w:trPr>
        <w:tc>
          <w:tcPr>
            <w:tcW w:w="1180" w:type="dxa"/>
            <w:vAlign w:val="bottom"/>
            <w:vMerge w:val="restart"/>
          </w:tcPr>
          <w:p>
            <w:pPr>
              <w:ind w:left="40"/>
              <w:spacing w:after="0" w:line="136" w:lineRule="exact"/>
              <w:rPr>
                <w:sz w:val="20"/>
                <w:szCs w:val="20"/>
                <w:color w:val="auto"/>
              </w:rPr>
            </w:pPr>
            <w:r>
              <w:rPr>
                <w:rFonts w:ascii="Arial" w:cs="Arial" w:eastAsia="Arial" w:hAnsi="Arial"/>
                <w:sz w:val="13"/>
                <w:szCs w:val="13"/>
                <w:color w:val="auto"/>
              </w:rPr>
              <w:t>by security</w:t>
            </w:r>
          </w:p>
        </w:tc>
        <w:tc>
          <w:tcPr>
            <w:tcW w:w="2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180" w:type="dxa"/>
            <w:vAlign w:val="bottom"/>
            <w:vMerge w:val="continue"/>
          </w:tcPr>
          <w:p>
            <w:pPr>
              <w:spacing w:after="0"/>
              <w:rPr>
                <w:sz w:val="4"/>
                <w:szCs w:val="4"/>
                <w:color w:val="auto"/>
              </w:rPr>
            </w:pPr>
          </w:p>
        </w:tc>
        <w:tc>
          <w:tcPr>
            <w:tcW w:w="24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3"/>
                <w:szCs w:val="13"/>
                <w:color w:val="auto"/>
              </w:rPr>
              <w:t>holders</w:t>
            </w:r>
            <w:r>
              <w:rPr>
                <w:rFonts w:ascii="Arial" w:cs="Arial" w:eastAsia="Arial" w:hAnsi="Arial"/>
                <w:sz w:val="20"/>
                <w:szCs w:val="20"/>
                <w:color w:val="auto"/>
                <w:vertAlign w:val="superscript"/>
              </w:rPr>
              <w:t>2</w:t>
            </w:r>
          </w:p>
        </w:tc>
        <w:tc>
          <w:tcPr>
            <w:tcW w:w="2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80" w:type="dxa"/>
            <w:vAlign w:val="bottom"/>
            <w:shd w:val="clear" w:color="auto" w:fill="ECEDED"/>
          </w:tcPr>
          <w:p>
            <w:pPr>
              <w:spacing w:after="0"/>
              <w:rPr>
                <w:sz w:val="16"/>
                <w:szCs w:val="16"/>
                <w:color w:val="auto"/>
              </w:rPr>
            </w:pPr>
          </w:p>
        </w:tc>
        <w:tc>
          <w:tcPr>
            <w:tcW w:w="246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5"/>
              </w:rPr>
              <w:t>28,299,546</w:t>
            </w:r>
          </w:p>
        </w:tc>
        <w:tc>
          <w:tcPr>
            <w:tcW w:w="1380" w:type="dxa"/>
            <w:vAlign w:val="bottom"/>
            <w:shd w:val="clear" w:color="auto" w:fill="ECEDED"/>
          </w:tcPr>
          <w:p>
            <w:pPr>
              <w:spacing w:after="0"/>
              <w:rPr>
                <w:sz w:val="16"/>
                <w:szCs w:val="16"/>
                <w:color w:val="auto"/>
              </w:rPr>
            </w:pPr>
          </w:p>
        </w:tc>
        <w:tc>
          <w:tcPr>
            <w:tcW w:w="2360" w:type="dxa"/>
            <w:vAlign w:val="bottom"/>
            <w:shd w:val="clear" w:color="auto" w:fill="ECEDED"/>
          </w:tcPr>
          <w:p>
            <w:pPr>
              <w:jc w:val="center"/>
              <w:spacing w:after="0"/>
              <w:rPr>
                <w:sz w:val="20"/>
                <w:szCs w:val="20"/>
                <w:color w:val="auto"/>
              </w:rPr>
            </w:pPr>
            <w:r>
              <w:rPr>
                <w:rFonts w:ascii="Arial" w:cs="Arial" w:eastAsia="Arial" w:hAnsi="Arial"/>
                <w:sz w:val="13"/>
                <w:szCs w:val="13"/>
                <w:color w:val="auto"/>
                <w:w w:val="95"/>
              </w:rPr>
              <w:t>12,160,091</w:t>
            </w:r>
          </w:p>
        </w:tc>
        <w:tc>
          <w:tcPr>
            <w:tcW w:w="0" w:type="dxa"/>
            <w:vAlign w:val="bottom"/>
          </w:tcPr>
          <w:p>
            <w:pPr>
              <w:spacing w:after="0"/>
              <w:rPr>
                <w:sz w:val="1"/>
                <w:szCs w:val="1"/>
                <w:color w:val="auto"/>
              </w:rPr>
            </w:pPr>
          </w:p>
        </w:tc>
      </w:tr>
      <w:tr>
        <w:trPr>
          <w:trHeight w:val="65"/>
        </w:trPr>
        <w:tc>
          <w:tcPr>
            <w:tcW w:w="1180" w:type="dxa"/>
            <w:vAlign w:val="bottom"/>
            <w:vMerge w:val="restart"/>
            <w:shd w:val="clear" w:color="auto" w:fill="ECEDED"/>
          </w:tcPr>
          <w:p>
            <w:pPr>
              <w:ind w:left="40"/>
              <w:spacing w:after="0" w:line="143" w:lineRule="exact"/>
              <w:rPr>
                <w:sz w:val="20"/>
                <w:szCs w:val="20"/>
                <w:color w:val="auto"/>
              </w:rPr>
            </w:pPr>
            <w:r>
              <w:rPr>
                <w:rFonts w:ascii="Arial" w:cs="Arial" w:eastAsia="Arial" w:hAnsi="Arial"/>
                <w:sz w:val="13"/>
                <w:szCs w:val="13"/>
                <w:color w:val="auto"/>
              </w:rPr>
              <w:t>Total</w:t>
            </w:r>
          </w:p>
        </w:tc>
        <w:tc>
          <w:tcPr>
            <w:tcW w:w="2460" w:type="dxa"/>
            <w:vAlign w:val="bottom"/>
            <w:vMerge w:val="continue"/>
            <w:shd w:val="clear" w:color="auto" w:fill="ECEDED"/>
          </w:tcPr>
          <w:p>
            <w:pPr>
              <w:spacing w:after="0"/>
              <w:rPr>
                <w:sz w:val="5"/>
                <w:szCs w:val="5"/>
                <w:color w:val="auto"/>
              </w:rPr>
            </w:pPr>
          </w:p>
        </w:tc>
        <w:tc>
          <w:tcPr>
            <w:tcW w:w="1380" w:type="dxa"/>
            <w:vAlign w:val="bottom"/>
            <w:vMerge w:val="restart"/>
            <w:shd w:val="clear" w:color="auto" w:fill="ECEDED"/>
          </w:tcPr>
          <w:p>
            <w:pPr>
              <w:jc w:val="right"/>
              <w:ind w:right="422"/>
              <w:spacing w:after="0" w:line="143" w:lineRule="exact"/>
              <w:rPr>
                <w:sz w:val="20"/>
                <w:szCs w:val="20"/>
                <w:color w:val="auto"/>
              </w:rPr>
            </w:pPr>
            <w:r>
              <w:rPr>
                <w:rFonts w:ascii="Arial" w:cs="Arial" w:eastAsia="Arial" w:hAnsi="Arial"/>
                <w:sz w:val="13"/>
                <w:szCs w:val="13"/>
                <w:color w:val="auto"/>
              </w:rPr>
              <w:t>$319.28</w:t>
            </w:r>
          </w:p>
        </w:tc>
        <w:tc>
          <w:tcPr>
            <w:tcW w:w="2360" w:type="dxa"/>
            <w:vAlign w:val="bottom"/>
            <w:vMerge w:val="restart"/>
            <w:shd w:val="clear" w:color="auto" w:fill="ECEDED"/>
          </w:tcPr>
          <w:p>
            <w:pPr>
              <w:jc w:val="center"/>
              <w:spacing w:after="0" w:line="143" w:lineRule="exact"/>
              <w:rPr>
                <w:sz w:val="20"/>
                <w:szCs w:val="20"/>
                <w:color w:val="auto"/>
              </w:rPr>
            </w:pPr>
            <w:r>
              <w:rPr>
                <w:rFonts w:ascii="Arial" w:cs="Arial" w:eastAsia="Arial" w:hAnsi="Arial"/>
                <w:sz w:val="13"/>
                <w:szCs w:val="13"/>
                <w:color w:val="auto"/>
                <w:w w:val="95"/>
              </w:rPr>
              <w:t>shares of common stock and Class A</w:t>
            </w:r>
          </w:p>
        </w:tc>
        <w:tc>
          <w:tcPr>
            <w:tcW w:w="0" w:type="dxa"/>
            <w:vAlign w:val="bottom"/>
          </w:tcPr>
          <w:p>
            <w:pPr>
              <w:spacing w:after="0"/>
              <w:rPr>
                <w:sz w:val="1"/>
                <w:szCs w:val="1"/>
                <w:color w:val="auto"/>
              </w:rPr>
            </w:pPr>
          </w:p>
        </w:tc>
      </w:tr>
      <w:tr>
        <w:trPr>
          <w:trHeight w:val="78"/>
        </w:trPr>
        <w:tc>
          <w:tcPr>
            <w:tcW w:w="1180" w:type="dxa"/>
            <w:vAlign w:val="bottom"/>
            <w:vMerge w:val="continue"/>
            <w:shd w:val="clear" w:color="auto" w:fill="ECEDED"/>
          </w:tcPr>
          <w:p>
            <w:pPr>
              <w:spacing w:after="0"/>
              <w:rPr>
                <w:sz w:val="6"/>
                <w:szCs w:val="6"/>
                <w:color w:val="auto"/>
              </w:rPr>
            </w:pPr>
          </w:p>
        </w:tc>
        <w:tc>
          <w:tcPr>
            <w:tcW w:w="246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6"/>
              </w:rPr>
              <w:t>shares of common stock</w:t>
            </w:r>
          </w:p>
        </w:tc>
        <w:tc>
          <w:tcPr>
            <w:tcW w:w="1380" w:type="dxa"/>
            <w:vAlign w:val="bottom"/>
            <w:vMerge w:val="continue"/>
            <w:shd w:val="clear" w:color="auto" w:fill="ECEDED"/>
          </w:tcPr>
          <w:p>
            <w:pPr>
              <w:spacing w:after="0"/>
              <w:rPr>
                <w:sz w:val="6"/>
                <w:szCs w:val="6"/>
                <w:color w:val="auto"/>
              </w:rPr>
            </w:pPr>
          </w:p>
        </w:tc>
        <w:tc>
          <w:tcPr>
            <w:tcW w:w="2360" w:type="dxa"/>
            <w:vAlign w:val="bottom"/>
            <w:vMerge w:val="continue"/>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180" w:type="dxa"/>
            <w:vAlign w:val="bottom"/>
            <w:shd w:val="clear" w:color="auto" w:fill="ECEDED"/>
          </w:tcPr>
          <w:p>
            <w:pPr>
              <w:spacing w:after="0"/>
              <w:rPr>
                <w:sz w:val="6"/>
                <w:szCs w:val="6"/>
                <w:color w:val="auto"/>
              </w:rPr>
            </w:pPr>
          </w:p>
        </w:tc>
        <w:tc>
          <w:tcPr>
            <w:tcW w:w="2460" w:type="dxa"/>
            <w:vAlign w:val="bottom"/>
            <w:vMerge w:val="continue"/>
            <w:shd w:val="clear" w:color="auto" w:fill="ECEDED"/>
          </w:tcPr>
          <w:p>
            <w:pPr>
              <w:spacing w:after="0"/>
              <w:rPr>
                <w:sz w:val="6"/>
                <w:szCs w:val="6"/>
                <w:color w:val="auto"/>
              </w:rPr>
            </w:pPr>
          </w:p>
        </w:tc>
        <w:tc>
          <w:tcPr>
            <w:tcW w:w="1380" w:type="dxa"/>
            <w:vAlign w:val="bottom"/>
            <w:shd w:val="clear" w:color="auto" w:fill="ECEDED"/>
          </w:tcPr>
          <w:p>
            <w:pPr>
              <w:spacing w:after="0"/>
              <w:rPr>
                <w:sz w:val="6"/>
                <w:szCs w:val="6"/>
                <w:color w:val="auto"/>
              </w:rPr>
            </w:pPr>
          </w:p>
        </w:tc>
        <w:tc>
          <w:tcPr>
            <w:tcW w:w="236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8"/>
              </w:rPr>
              <w:t>stock</w:t>
            </w:r>
          </w:p>
        </w:tc>
        <w:tc>
          <w:tcPr>
            <w:tcW w:w="0" w:type="dxa"/>
            <w:vAlign w:val="bottom"/>
          </w:tcPr>
          <w:p>
            <w:pPr>
              <w:spacing w:after="0"/>
              <w:rPr>
                <w:sz w:val="1"/>
                <w:szCs w:val="1"/>
                <w:color w:val="auto"/>
              </w:rPr>
            </w:pPr>
          </w:p>
        </w:tc>
      </w:tr>
      <w:tr>
        <w:trPr>
          <w:trHeight w:val="100"/>
        </w:trPr>
        <w:tc>
          <w:tcPr>
            <w:tcW w:w="1180" w:type="dxa"/>
            <w:vAlign w:val="bottom"/>
            <w:tcBorders>
              <w:bottom w:val="single" w:sz="8" w:color="ECEDED"/>
            </w:tcBorders>
            <w:shd w:val="clear" w:color="auto" w:fill="ECEDED"/>
          </w:tcPr>
          <w:p>
            <w:pPr>
              <w:spacing w:after="0"/>
              <w:rPr>
                <w:sz w:val="8"/>
                <w:szCs w:val="8"/>
                <w:color w:val="auto"/>
              </w:rPr>
            </w:pPr>
          </w:p>
        </w:tc>
        <w:tc>
          <w:tcPr>
            <w:tcW w:w="2460" w:type="dxa"/>
            <w:vAlign w:val="bottom"/>
            <w:tcBorders>
              <w:bottom w:val="single" w:sz="8" w:color="ECEDED"/>
            </w:tcBorders>
            <w:shd w:val="clear" w:color="auto" w:fill="ECEDED"/>
          </w:tcPr>
          <w:p>
            <w:pPr>
              <w:spacing w:after="0"/>
              <w:rPr>
                <w:sz w:val="8"/>
                <w:szCs w:val="8"/>
                <w:color w:val="auto"/>
              </w:rPr>
            </w:pPr>
          </w:p>
        </w:tc>
        <w:tc>
          <w:tcPr>
            <w:tcW w:w="1380" w:type="dxa"/>
            <w:vAlign w:val="bottom"/>
            <w:tcBorders>
              <w:bottom w:val="single" w:sz="8" w:color="ECEDED"/>
            </w:tcBorders>
            <w:shd w:val="clear" w:color="auto" w:fill="ECEDED"/>
          </w:tcPr>
          <w:p>
            <w:pPr>
              <w:spacing w:after="0"/>
              <w:rPr>
                <w:sz w:val="8"/>
                <w:szCs w:val="8"/>
                <w:color w:val="auto"/>
              </w:rPr>
            </w:pPr>
          </w:p>
        </w:tc>
        <w:tc>
          <w:tcPr>
            <w:tcW w:w="2360" w:type="dxa"/>
            <w:vAlign w:val="bottom"/>
            <w:tcBorders>
              <w:bottom w:val="single" w:sz="8" w:color="ECEDED"/>
            </w:tcBorders>
            <w:vMerge w:val="continue"/>
            <w:shd w:val="clear" w:color="auto" w:fill="ECEDED"/>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205BA8"/>
          </w:tcPr>
          <w:p>
            <w:pPr>
              <w:spacing w:after="0" w:line="20" w:lineRule="exact"/>
              <w:rPr>
                <w:sz w:val="1"/>
                <w:szCs w:val="1"/>
                <w:color w:val="auto"/>
              </w:rPr>
            </w:pPr>
          </w:p>
        </w:tc>
        <w:tc>
          <w:tcPr>
            <w:tcW w:w="2460" w:type="dxa"/>
            <w:vAlign w:val="bottom"/>
            <w:shd w:val="clear" w:color="auto" w:fill="205BA8"/>
          </w:tcPr>
          <w:p>
            <w:pPr>
              <w:spacing w:after="0" w:line="20" w:lineRule="exact"/>
              <w:rPr>
                <w:sz w:val="1"/>
                <w:szCs w:val="1"/>
                <w:color w:val="auto"/>
              </w:rPr>
            </w:pPr>
          </w:p>
        </w:tc>
        <w:tc>
          <w:tcPr>
            <w:tcW w:w="1380" w:type="dxa"/>
            <w:vAlign w:val="bottom"/>
            <w:shd w:val="clear" w:color="auto" w:fill="205BA8"/>
          </w:tcPr>
          <w:p>
            <w:pPr>
              <w:spacing w:after="0" w:line="20" w:lineRule="exact"/>
              <w:rPr>
                <w:sz w:val="1"/>
                <w:szCs w:val="1"/>
                <w:color w:val="auto"/>
              </w:rPr>
            </w:pPr>
          </w:p>
        </w:tc>
        <w:tc>
          <w:tcPr>
            <w:tcW w:w="2360" w:type="dxa"/>
            <w:vAlign w:val="bottom"/>
            <w:shd w:val="clear" w:color="auto" w:fill="205BA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680" w:right="720" w:hanging="149"/>
        <w:spacing w:after="0" w:line="235" w:lineRule="auto"/>
        <w:tabs>
          <w:tab w:leader="none" w:pos="3680" w:val="left"/>
        </w:tabs>
        <w:numPr>
          <w:ilvl w:val="0"/>
          <w:numId w:val="133"/>
        </w:numPr>
        <w:rPr>
          <w:rFonts w:ascii="Arial" w:cs="Arial" w:eastAsia="Arial" w:hAnsi="Arial"/>
          <w:sz w:val="14"/>
          <w:szCs w:val="14"/>
          <w:b w:val="1"/>
          <w:bCs w:val="1"/>
          <w:color w:val="205BA8"/>
        </w:rPr>
      </w:pPr>
      <w:r>
        <w:rPr>
          <w:rFonts w:ascii="Arial" w:cs="Arial" w:eastAsia="Arial" w:hAnsi="Arial"/>
          <w:sz w:val="14"/>
          <w:szCs w:val="14"/>
          <w:color w:val="auto"/>
        </w:rPr>
        <w:t>The equity compensation plans approved by the security holders are the Regeneron Pharmaceuticals, Inc. Second Amended and Restated 2000 Long-Term Incentive Plan; the Regeneron Pharmaceuticals, Inc. 2014 Long-Term Incentive Plan; and the Amended and Restated Regeneron Pharmaceuticals, Inc. 2014 Long-Term Incentive Plan. The Amended and Restated Regeneron Pharmaceuticals, Inc. 2014 Long-Term Incentive Plan is the only plan currently used by the Company to grant equity awards.</w:t>
      </w:r>
    </w:p>
    <w:p>
      <w:pPr>
        <w:spacing w:after="0" w:line="43" w:lineRule="exact"/>
        <w:rPr>
          <w:sz w:val="20"/>
          <w:szCs w:val="20"/>
          <w:color w:val="auto"/>
        </w:rPr>
      </w:pPr>
    </w:p>
    <w:p>
      <w:pPr>
        <w:ind w:left="3680" w:right="520" w:hanging="149"/>
        <w:spacing w:after="0" w:line="234" w:lineRule="auto"/>
        <w:tabs>
          <w:tab w:leader="none" w:pos="3680" w:val="left"/>
        </w:tabs>
        <w:numPr>
          <w:ilvl w:val="0"/>
          <w:numId w:val="134"/>
        </w:numPr>
        <w:rPr>
          <w:rFonts w:ascii="Arial" w:cs="Arial" w:eastAsia="Arial" w:hAnsi="Arial"/>
          <w:sz w:val="14"/>
          <w:szCs w:val="14"/>
          <w:b w:val="1"/>
          <w:bCs w:val="1"/>
          <w:color w:val="205BA8"/>
        </w:rPr>
      </w:pPr>
      <w:r>
        <w:rPr>
          <w:rFonts w:ascii="Arial" w:cs="Arial" w:eastAsia="Arial" w:hAnsi="Arial"/>
          <w:sz w:val="14"/>
          <w:szCs w:val="14"/>
          <w:color w:val="auto"/>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2018, there were no unvested shares and 44,246 shares of Class A stock available for future grants under the Plan.</w:t>
      </w:r>
    </w:p>
    <w:p>
      <w:pPr>
        <w:spacing w:after="0" w:line="43" w:lineRule="exact"/>
        <w:rPr>
          <w:sz w:val="20"/>
          <w:szCs w:val="20"/>
          <w:color w:val="auto"/>
        </w:rPr>
      </w:pPr>
    </w:p>
    <w:p>
      <w:pPr>
        <w:ind w:left="3680" w:right="620" w:hanging="149"/>
        <w:spacing w:after="0" w:line="239" w:lineRule="auto"/>
        <w:tabs>
          <w:tab w:leader="none" w:pos="3680" w:val="left"/>
        </w:tabs>
        <w:numPr>
          <w:ilvl w:val="0"/>
          <w:numId w:val="135"/>
        </w:numPr>
        <w:rPr>
          <w:rFonts w:ascii="Arial" w:cs="Arial" w:eastAsia="Arial" w:hAnsi="Arial"/>
          <w:sz w:val="14"/>
          <w:szCs w:val="14"/>
          <w:b w:val="1"/>
          <w:bCs w:val="1"/>
          <w:color w:val="205BA8"/>
        </w:rPr>
      </w:pPr>
      <w:r>
        <w:rPr>
          <w:rFonts w:ascii="Arial" w:cs="Arial" w:eastAsia="Arial" w:hAnsi="Arial"/>
          <w:sz w:val="14"/>
          <w:szCs w:val="14"/>
          <w:color w:val="auto"/>
        </w:rPr>
        <w:t>This amount includes (i) 28,279,696 shares to be issued upon exercise of outstanding options and (ii) 19,850 shares to be issued upon vesting of restricted stock units.</w:t>
      </w:r>
    </w:p>
    <w:p>
      <w:pPr>
        <w:spacing w:after="0" w:line="43" w:lineRule="exact"/>
        <w:rPr>
          <w:sz w:val="20"/>
          <w:szCs w:val="20"/>
          <w:color w:val="auto"/>
        </w:rPr>
      </w:pPr>
    </w:p>
    <w:p>
      <w:pPr>
        <w:ind w:left="3680" w:right="580" w:hanging="149"/>
        <w:spacing w:after="0" w:line="239" w:lineRule="auto"/>
        <w:tabs>
          <w:tab w:leader="none" w:pos="3680" w:val="left"/>
        </w:tabs>
        <w:numPr>
          <w:ilvl w:val="0"/>
          <w:numId w:val="136"/>
        </w:numPr>
        <w:rPr>
          <w:rFonts w:ascii="Arial" w:cs="Arial" w:eastAsia="Arial" w:hAnsi="Arial"/>
          <w:sz w:val="14"/>
          <w:szCs w:val="14"/>
          <w:b w:val="1"/>
          <w:bCs w:val="1"/>
          <w:color w:val="205BA8"/>
        </w:rPr>
      </w:pPr>
      <w:r>
        <w:rPr>
          <w:rFonts w:ascii="Arial" w:cs="Arial" w:eastAsia="Arial" w:hAnsi="Arial"/>
          <w:sz w:val="14"/>
          <w:szCs w:val="14"/>
          <w:color w:val="auto"/>
        </w:rPr>
        <w:t>The calculation of the weighted-average exercise price does not include the 19,850 shares to be issued upon vesting of restricted stock units, which do not have an exercise price.</w:t>
      </w:r>
    </w:p>
    <w:p>
      <w:pPr>
        <w:spacing w:after="0" w:line="43" w:lineRule="exact"/>
        <w:rPr>
          <w:sz w:val="20"/>
          <w:szCs w:val="20"/>
          <w:color w:val="auto"/>
        </w:rPr>
      </w:pPr>
    </w:p>
    <w:p>
      <w:pPr>
        <w:ind w:left="3680" w:right="840" w:hanging="149"/>
        <w:spacing w:after="0" w:line="239" w:lineRule="auto"/>
        <w:tabs>
          <w:tab w:leader="none" w:pos="3680" w:val="left"/>
        </w:tabs>
        <w:numPr>
          <w:ilvl w:val="0"/>
          <w:numId w:val="137"/>
        </w:numPr>
        <w:rPr>
          <w:rFonts w:ascii="Arial" w:cs="Arial" w:eastAsia="Arial" w:hAnsi="Arial"/>
          <w:sz w:val="14"/>
          <w:szCs w:val="14"/>
          <w:b w:val="1"/>
          <w:bCs w:val="1"/>
          <w:color w:val="205BA8"/>
        </w:rPr>
      </w:pPr>
      <w:r>
        <w:rPr>
          <w:rFonts w:ascii="Arial" w:cs="Arial" w:eastAsia="Arial" w:hAnsi="Arial"/>
          <w:sz w:val="14"/>
          <w:szCs w:val="14"/>
          <w:color w:val="auto"/>
        </w:rPr>
        <w:t>This amount is net of 452,780 outstanding shares of restricted stock. As these shares are considered issued and outstanding upon grant, they are not included in the amounts reported in column (a).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91</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4" w:name="page105"/>
    <w:bookmarkEnd w:id="104"/>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54"/>
          <w:szCs w:val="54"/>
          <w:b w:val="1"/>
          <w:bCs w:val="1"/>
          <w:color w:val="205BA8"/>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1000125</wp:posOffset>
            </wp:positionV>
            <wp:extent cx="66001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0400"/>
          </w:cols>
          <w:pgMar w:left="76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0"/>
        <w:spacing w:after="0" w:line="247" w:lineRule="auto"/>
        <w:rPr>
          <w:sz w:val="20"/>
          <w:szCs w:val="20"/>
          <w:color w:val="auto"/>
        </w:rPr>
      </w:pPr>
      <w:r>
        <w:rPr>
          <w:rFonts w:ascii="Arial" w:cs="Arial" w:eastAsia="Arial" w:hAnsi="Arial"/>
          <w:sz w:val="26"/>
          <w:szCs w:val="26"/>
          <w:b w:val="1"/>
          <w:bCs w:val="1"/>
          <w:color w:val="D61C5A"/>
        </w:rPr>
        <w:t>When are shareholder proposals due for the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919480</wp:posOffset>
            </wp:positionV>
            <wp:extent cx="164973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What happens if</w:t>
      </w:r>
    </w:p>
    <w:p>
      <w:pPr>
        <w:spacing w:after="0" w:line="32" w:lineRule="exact"/>
        <w:rPr>
          <w:sz w:val="20"/>
          <w:szCs w:val="20"/>
          <w:color w:val="auto"/>
        </w:rPr>
      </w:pPr>
    </w:p>
    <w:p>
      <w:pPr>
        <w:spacing w:after="0"/>
        <w:rPr>
          <w:sz w:val="20"/>
          <w:szCs w:val="20"/>
          <w:color w:val="auto"/>
        </w:rPr>
      </w:pPr>
      <w:r>
        <w:rPr>
          <w:rFonts w:ascii="Arial" w:cs="Arial" w:eastAsia="Arial" w:hAnsi="Arial"/>
          <w:sz w:val="26"/>
          <w:szCs w:val="26"/>
          <w:b w:val="1"/>
          <w:bCs w:val="1"/>
          <w:color w:val="D61C5A"/>
        </w:rPr>
        <w:t>multiple</w:t>
      </w:r>
    </w:p>
    <w:p>
      <w:pPr>
        <w:spacing w:after="0"/>
        <w:rPr>
          <w:sz w:val="20"/>
          <w:szCs w:val="20"/>
          <w:color w:val="auto"/>
        </w:rPr>
      </w:pPr>
      <w:r>
        <w:rPr>
          <w:rFonts w:ascii="Arial" w:cs="Arial" w:eastAsia="Arial" w:hAnsi="Arial"/>
          <w:sz w:val="26"/>
          <w:szCs w:val="26"/>
          <w:b w:val="1"/>
          <w:bCs w:val="1"/>
          <w:color w:val="D61C5A"/>
        </w:rPr>
        <w:t>shareholders share</w:t>
      </w:r>
    </w:p>
    <w:p>
      <w:pPr>
        <w:spacing w:after="0"/>
        <w:rPr>
          <w:sz w:val="20"/>
          <w:szCs w:val="20"/>
          <w:color w:val="auto"/>
        </w:rPr>
      </w:pPr>
      <w:r>
        <w:rPr>
          <w:rFonts w:ascii="Arial" w:cs="Arial" w:eastAsia="Arial" w:hAnsi="Arial"/>
          <w:sz w:val="26"/>
          <w:szCs w:val="26"/>
          <w:b w:val="1"/>
          <w:bCs w:val="1"/>
          <w:color w:val="D61C5A"/>
        </w:rPr>
        <w:t>an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-94615</wp:posOffset>
            </wp:positionV>
            <wp:extent cx="717550" cy="825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40"/>
        <w:spacing w:after="0" w:line="221" w:lineRule="auto"/>
        <w:rPr>
          <w:sz w:val="20"/>
          <w:szCs w:val="20"/>
          <w:color w:val="auto"/>
        </w:rPr>
      </w:pPr>
      <w:r>
        <w:rPr>
          <w:rFonts w:ascii="Arial" w:cs="Arial" w:eastAsia="Arial" w:hAnsi="Arial"/>
          <w:sz w:val="15"/>
          <w:szCs w:val="15"/>
          <w:color w:val="auto"/>
        </w:rPr>
        <w:t>A shareholder wishing to present a proposal at the 2020 Annual Meeting of Shareholders must submit the proposal in writing and it must be received by the Company at its principal executive offices at 777 Old Saw Mill River Road, Tarrytown, New York 10591-6707 by December 27, 2019, and must satisfy the other conditions established by the SEC, in order for such proposal to be considered for inclusion in the Company’s proxy statement and form of proxy relating to that meeting.</w:t>
      </w:r>
    </w:p>
    <w:p>
      <w:pPr>
        <w:spacing w:after="0" w:line="141" w:lineRule="exact"/>
        <w:rPr>
          <w:sz w:val="20"/>
          <w:szCs w:val="20"/>
          <w:color w:val="auto"/>
        </w:rPr>
      </w:pPr>
    </w:p>
    <w:p>
      <w:pPr>
        <w:ind w:right="20"/>
        <w:spacing w:after="0" w:line="218" w:lineRule="auto"/>
        <w:rPr>
          <w:sz w:val="20"/>
          <w:szCs w:val="20"/>
          <w:color w:val="auto"/>
        </w:rPr>
      </w:pPr>
      <w:r>
        <w:rPr>
          <w:rFonts w:ascii="Arial" w:cs="Arial" w:eastAsia="Arial" w:hAnsi="Arial"/>
          <w:sz w:val="15"/>
          <w:szCs w:val="15"/>
          <w:color w:val="auto"/>
        </w:rPr>
        <w:t>Under our Amended and Restated By-Laws, proposals of shareholders intended to be submitted for a formal vote (other than proposals to be included in our proxy statement) at the 2020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2020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Amended and Restated By-Laws. Assuming our 2020 Annual Meeting is held on June 12, 2020 in accordance with the Company’s past practice, and at least 70 days’ notice or prior public disclosure of the date of the 2020 Annual Meeting is given or made to shareholders, notice of such proposals would need to be given no earlier than March 14, 2020 and no later than April 13, 2020. Any proposal received outside of such dates will not be considered “timely” under the federal proxy rules for purposes of determining whether we may use discretionary authority to vote on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46863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94"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2019 Annual Meeting, the 2018 Annual Report, or the Notice of Internet Availability of Proxy Materials, you may find these materials at our internet website (</w:t>
      </w:r>
      <w:r>
        <w:rPr>
          <w:rFonts w:ascii="Arial" w:cs="Arial" w:eastAsia="Arial" w:hAnsi="Arial"/>
          <w:sz w:val="14"/>
          <w:szCs w:val="14"/>
          <w:b w:val="1"/>
          <w:bCs w:val="1"/>
          <w:color w:val="auto"/>
        </w:rPr>
        <w:t>www.regeneron.com</w:t>
      </w:r>
      <w:r>
        <w:rPr>
          <w:rFonts w:ascii="Arial" w:cs="Arial" w:eastAsia="Arial" w:hAnsi="Arial"/>
          <w:sz w:val="14"/>
          <w:szCs w:val="14"/>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205BA8"/>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164465</wp:posOffset>
            </wp:positionV>
            <wp:extent cx="7251700" cy="330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2">
            <w:col w:w="2400" w:space="620"/>
            <w:col w:w="7380"/>
          </w:cols>
          <w:pgMar w:left="760" w:top="1440" w:right="739" w:bottom="1440" w:gutter="0" w:footer="0" w:header="0"/>
          <w:type w:val="continuous"/>
        </w:sectPr>
      </w:pPr>
    </w:p>
    <w:bookmarkStart w:id="105" w:name="page106"/>
    <w:bookmarkEnd w:id="105"/>
    <w:p>
      <w:pPr>
        <w:ind w:left="9580"/>
        <w:spacing w:after="0"/>
        <w:rPr>
          <w:sz w:val="20"/>
          <w:szCs w:val="20"/>
          <w:color w:val="auto"/>
        </w:rPr>
      </w:pPr>
      <w:r>
        <w:rPr>
          <w:rFonts w:ascii="Arial" w:cs="Arial" w:eastAsia="Arial" w:hAnsi="Arial"/>
          <w:sz w:val="14"/>
          <w:szCs w:val="14"/>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6600190" cy="165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60019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163830</wp:posOffset>
            </wp:positionV>
            <wp:extent cx="66001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0" w:right="180"/>
        <w:spacing w:after="0" w:line="252" w:lineRule="auto"/>
        <w:rPr>
          <w:sz w:val="20"/>
          <w:szCs w:val="20"/>
          <w:color w:val="auto"/>
        </w:rPr>
      </w:pPr>
      <w:r>
        <w:rPr>
          <w:rFonts w:ascii="Arial" w:cs="Arial" w:eastAsia="Arial" w:hAnsi="Arial"/>
          <w:sz w:val="26"/>
          <w:szCs w:val="26"/>
          <w:b w:val="1"/>
          <w:bCs w:val="1"/>
          <w:color w:val="D61C5A"/>
        </w:rPr>
        <w:t>Are there any other matters to be addressed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73660</wp:posOffset>
            </wp:positionV>
            <wp:extent cx="164973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44" w:lineRule="exact"/>
        <w:rPr>
          <w:sz w:val="20"/>
          <w:szCs w:val="20"/>
          <w:color w:val="auto"/>
        </w:rPr>
      </w:pPr>
    </w:p>
    <w:p>
      <w:pPr>
        <w:ind w:left="520"/>
        <w:spacing w:after="0" w:line="265" w:lineRule="auto"/>
        <w:rPr>
          <w:sz w:val="20"/>
          <w:szCs w:val="20"/>
          <w:color w:val="auto"/>
        </w:rPr>
      </w:pPr>
      <w:r>
        <w:rPr>
          <w:rFonts w:ascii="Arial" w:cs="Arial" w:eastAsia="Arial" w:hAnsi="Arial"/>
          <w:sz w:val="25"/>
          <w:szCs w:val="25"/>
          <w:b w:val="1"/>
          <w:bCs w:val="1"/>
          <w:color w:val="D61C5A"/>
        </w:rPr>
        <w:t>How can you receive a printed copy of the Company’s 2018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64770</wp:posOffset>
            </wp:positionV>
            <wp:extent cx="164973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How do you elect to</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26"/>
          <w:szCs w:val="26"/>
          <w:b w:val="1"/>
          <w:bCs w:val="1"/>
          <w:color w:val="D61C5A"/>
        </w:rPr>
        <w:t>receive future proxy</w:t>
      </w:r>
    </w:p>
    <w:p>
      <w:pPr>
        <w:ind w:left="520"/>
        <w:spacing w:after="0"/>
        <w:rPr>
          <w:sz w:val="20"/>
          <w:szCs w:val="20"/>
          <w:color w:val="auto"/>
        </w:rPr>
      </w:pPr>
      <w:r>
        <w:rPr>
          <w:rFonts w:ascii="Arial" w:cs="Arial" w:eastAsia="Arial" w:hAnsi="Arial"/>
          <w:sz w:val="26"/>
          <w:szCs w:val="26"/>
          <w:b w:val="1"/>
          <w:bCs w:val="1"/>
          <w:color w:val="D61C5A"/>
        </w:rPr>
        <w:t>materials</w:t>
      </w:r>
    </w:p>
    <w:p>
      <w:pPr>
        <w:ind w:left="520"/>
        <w:spacing w:after="0"/>
        <w:rPr>
          <w:sz w:val="20"/>
          <w:szCs w:val="20"/>
          <w:color w:val="auto"/>
        </w:rPr>
      </w:pPr>
      <w:r>
        <w:rPr>
          <w:rFonts w:ascii="Arial" w:cs="Arial" w:eastAsia="Arial" w:hAnsi="Arial"/>
          <w:sz w:val="26"/>
          <w:szCs w:val="26"/>
          <w:b w:val="1"/>
          <w:bCs w:val="1"/>
          <w:color w:val="D61C5A"/>
        </w:rPr>
        <w:t>electronically?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580"/>
        <w:spacing w:after="0" w:line="221" w:lineRule="auto"/>
        <w:rPr>
          <w:sz w:val="20"/>
          <w:szCs w:val="20"/>
          <w:color w:val="auto"/>
        </w:rPr>
      </w:pPr>
      <w:r>
        <w:rPr>
          <w:rFonts w:ascii="Arial" w:cs="Arial" w:eastAsia="Arial" w:hAnsi="Arial"/>
          <w:sz w:val="15"/>
          <w:szCs w:val="15"/>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46863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80"/>
        <w:spacing w:after="0" w:line="226" w:lineRule="auto"/>
        <w:rPr>
          <w:sz w:val="20"/>
          <w:szCs w:val="20"/>
          <w:color w:val="auto"/>
        </w:rPr>
      </w:pPr>
      <w:r>
        <w:rPr>
          <w:rFonts w:ascii="Arial" w:cs="Arial" w:eastAsia="Arial" w:hAnsi="Arial"/>
          <w:sz w:val="15"/>
          <w:szCs w:val="15"/>
          <w:b w:val="1"/>
          <w:bCs w:val="1"/>
          <w:color w:val="auto"/>
        </w:rPr>
        <w:t>Interested shareholders may obtain without charge a copy of our 2018 Annual Report (without exhibits), which includes our audited financial statements for the fiscal year ended December 31, 2018,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46863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560"/>
        <w:spacing w:after="0" w:line="220" w:lineRule="auto"/>
        <w:rPr>
          <w:sz w:val="20"/>
          <w:szCs w:val="20"/>
          <w:color w:val="auto"/>
        </w:rPr>
      </w:pPr>
      <w:r>
        <w:rPr>
          <w:rFonts w:ascii="Arial" w:cs="Arial" w:eastAsia="Arial" w:hAnsi="Arial"/>
          <w:sz w:val="15"/>
          <w:szCs w:val="15"/>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40" w:lineRule="exact"/>
        <w:rPr>
          <w:sz w:val="20"/>
          <w:szCs w:val="20"/>
          <w:color w:val="auto"/>
        </w:rPr>
      </w:pPr>
    </w:p>
    <w:p>
      <w:pPr>
        <w:ind w:right="680"/>
        <w:spacing w:after="0" w:line="236" w:lineRule="auto"/>
        <w:rPr>
          <w:sz w:val="20"/>
          <w:szCs w:val="20"/>
          <w:color w:val="auto"/>
        </w:rPr>
      </w:pPr>
      <w:r>
        <w:rPr>
          <w:rFonts w:ascii="Arial" w:cs="Arial" w:eastAsia="Arial" w:hAnsi="Arial"/>
          <w:sz w:val="14"/>
          <w:szCs w:val="14"/>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4"/>
          <w:szCs w:val="14"/>
          <w:b w:val="1"/>
          <w:bCs w:val="1"/>
          <w:color w:val="auto"/>
        </w:rPr>
        <w:t xml:space="preserve">www.proxyvote.com </w:t>
      </w:r>
      <w:r>
        <w:rPr>
          <w:rFonts w:ascii="Arial" w:cs="Arial" w:eastAsia="Arial" w:hAnsi="Arial"/>
          <w:sz w:val="14"/>
          <w:szCs w:val="14"/>
          <w:color w:val="auto"/>
        </w:rPr>
        <w:t>and, when prompted, indicate that you agree to receive or access shareholder</w:t>
      </w:r>
      <w:r>
        <w:rPr>
          <w:rFonts w:ascii="Arial" w:cs="Arial" w:eastAsia="Arial" w:hAnsi="Arial"/>
          <w:sz w:val="14"/>
          <w:szCs w:val="14"/>
          <w:b w:val="1"/>
          <w:bCs w:val="1"/>
          <w:color w:val="auto"/>
        </w:rPr>
        <w:t xml:space="preserve"> </w:t>
      </w:r>
      <w:r>
        <w:rPr>
          <w:rFonts w:ascii="Arial" w:cs="Arial" w:eastAsia="Arial" w:hAnsi="Arial"/>
          <w:sz w:val="14"/>
          <w:szCs w:val="14"/>
          <w:color w:val="auto"/>
        </w:rPr>
        <w:t>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71" w:lineRule="exact"/>
        <w:rPr>
          <w:sz w:val="20"/>
          <w:szCs w:val="20"/>
          <w:color w:val="auto"/>
        </w:rPr>
      </w:pPr>
    </w:p>
    <w:p>
      <w:pPr>
        <w:sectPr>
          <w:pgSz w:w="11900" w:h="16838" w:orient="portrait"/>
          <w:cols w:equalWidth="0" w:num="2">
            <w:col w:w="3080" w:space="460"/>
            <w:col w:w="78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93</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19964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6600190" cy="1996440"/>
                    </a:xfrm>
                    <a:prstGeom prst="rect">
                      <a:avLst/>
                    </a:prstGeom>
                    <a:noFill/>
                  </pic:spPr>
                </pic:pic>
              </a:graphicData>
            </a:graphic>
          </wp:anchor>
        </w:drawing>
      </w:r>
    </w:p>
    <w:p>
      <w:pPr>
        <w:spacing w:after="0" w:line="329" w:lineRule="exact"/>
        <w:rPr>
          <w:sz w:val="20"/>
          <w:szCs w:val="20"/>
          <w:color w:val="auto"/>
        </w:rPr>
      </w:pPr>
    </w:p>
    <w:p>
      <w:pPr>
        <w:ind w:left="620"/>
        <w:spacing w:after="0"/>
        <w:rPr>
          <w:sz w:val="20"/>
          <w:szCs w:val="20"/>
          <w:color w:val="auto"/>
        </w:rPr>
      </w:pPr>
      <w:r>
        <w:rPr>
          <w:rFonts w:ascii="Arial" w:cs="Arial" w:eastAsia="Arial" w:hAnsi="Arial"/>
          <w:sz w:val="38"/>
          <w:szCs w:val="38"/>
          <w:b w:val="1"/>
          <w:bCs w:val="1"/>
          <w:color w:val="FFFFF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962025</wp:posOffset>
            </wp:positionV>
            <wp:extent cx="66001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Note Regarding Forward-Looking Statements and Non-GAAP Financial Measures</w:t>
      </w:r>
    </w:p>
    <w:p>
      <w:pPr>
        <w:spacing w:after="0" w:line="176"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w:t>
      </w:r>
    </w:p>
    <w:p>
      <w:pPr>
        <w:spacing w:after="0" w:line="181" w:lineRule="auto"/>
        <w:rPr>
          <w:sz w:val="20"/>
          <w:szCs w:val="20"/>
          <w:color w:val="auto"/>
        </w:rPr>
      </w:pPr>
      <w:r>
        <w:rPr>
          <w:rFonts w:ascii="Arial" w:cs="Arial" w:eastAsia="Arial" w:hAnsi="Arial"/>
          <w:sz w:val="13"/>
          <w:szCs w:val="13"/>
          <w:color w:val="auto"/>
        </w:rPr>
        <w:t>Regeneron’s products, product candidates, and research and clinical programs now underway or planned, including without limitation EYLEA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(aflibercept)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Injection, Dupixent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(dupilumab) Injection, Praluent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(alirocumab) Injection, Kevzara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(sarilumab) Injection, Libtayo</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(cemiplimab) Injection, fasinumab, and evinacumab; the likelihood and timing of achieving any of Regeneron’s anticipated clinical development milestones;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 Dupixent, Praluent, Kevzara, Libtayo, fasinumab, and evinacumab;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 Praluent, Kevzara, and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others and pending or future litigation relating thereto, including without limitation the patent litigation and other related proceedings relating to EYLEA, Dupixent, and Praluent, the ultimate outcome of any such proceedings,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2018,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any forward-looking statement, whether as a result of new information, future events, or otherwise.</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This proxy statement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205BA8"/>
        </w:rPr>
        <w:t xml:space="preserve">94  /  </w:t>
      </w:r>
      <w:r>
        <w:rPr>
          <w:sz w:val="1"/>
          <w:szCs w:val="1"/>
          <w:color w:val="auto"/>
        </w:rPr>
        <w:drawing>
          <wp:inline distT="0" distB="0" distL="0" distR="0">
            <wp:extent cx="717550" cy="8255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550" cy="82550"/>
                    </a:xfrm>
                    <a:prstGeom prst="rect">
                      <a:avLst/>
                    </a:prstGeom>
                    <a:noFill/>
                    <a:ln>
                      <a:noFill/>
                    </a:ln>
                  </pic:spPr>
                </pic:pic>
              </a:graphicData>
            </a:graphic>
          </wp:inline>
        </w:drawing>
      </w:r>
      <w:r>
        <w:rPr>
          <w:rFonts w:ascii="Arial" w:cs="Arial" w:eastAsia="Arial" w:hAnsi="Arial"/>
          <w:sz w:val="12"/>
          <w:szCs w:val="12"/>
          <w:b w:val="1"/>
          <w:bCs w:val="1"/>
          <w:color w:val="205BA8"/>
        </w:rPr>
        <w:t xml:space="preserve">                                                              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152400</wp:posOffset>
            </wp:positionV>
            <wp:extent cx="7251700" cy="330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10400"/>
          </w:cols>
          <w:pgMar w:left="760" w:top="1440" w:right="739" w:bottom="1440" w:gutter="0" w:footer="0" w:header="0"/>
        </w:sectPr>
      </w:pPr>
    </w:p>
    <w:bookmarkStart w:id="107" w:name="page108"/>
    <w:bookmarkEnd w:id="107"/>
    <w:p>
      <w:pPr>
        <w:ind w:left="8320"/>
        <w:spacing w:after="0"/>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D61C5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8890</wp:posOffset>
            </wp:positionV>
            <wp:extent cx="6600190" cy="165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600190" cy="16510"/>
                    </a:xfrm>
                    <a:prstGeom prst="rect">
                      <a:avLst/>
                    </a:prstGeom>
                    <a:noFill/>
                  </pic:spPr>
                </pic:pic>
              </a:graphicData>
            </a:graphic>
          </wp:anchor>
        </w:drawing>
      </w:r>
    </w:p>
    <w:p>
      <w:pPr>
        <w:spacing w:after="0" w:line="213" w:lineRule="exact"/>
        <w:rPr>
          <w:sz w:val="20"/>
          <w:szCs w:val="20"/>
          <w:color w:val="auto"/>
        </w:rPr>
      </w:pPr>
    </w:p>
    <w:p>
      <w:pPr>
        <w:ind w:left="520" w:right="520"/>
        <w:spacing w:after="0" w:line="220" w:lineRule="auto"/>
        <w:rPr>
          <w:sz w:val="20"/>
          <w:szCs w:val="20"/>
          <w:color w:val="auto"/>
        </w:rPr>
      </w:pPr>
      <w:r>
        <w:rPr>
          <w:rFonts w:ascii="Arial" w:cs="Arial" w:eastAsia="Arial" w:hAnsi="Arial"/>
          <w:sz w:val="15"/>
          <w:szCs w:val="15"/>
          <w:color w:val="auto"/>
        </w:rPr>
        <w:t>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105410</wp:posOffset>
            </wp:positionV>
            <wp:extent cx="66001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Reconciliation of GAAP Net Income to Non-GAAP Net Income (Unaudited)</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05BA8"/>
        </w:rPr>
        <w:t>(in millions, except per share data)</w:t>
      </w:r>
    </w:p>
    <w:p>
      <w:pPr>
        <w:spacing w:after="0" w:line="248" w:lineRule="exact"/>
        <w:rPr>
          <w:sz w:val="20"/>
          <w:szCs w:val="20"/>
          <w:color w:val="auto"/>
        </w:rPr>
      </w:pPr>
    </w:p>
    <w:tbl>
      <w:tblPr>
        <w:tblLayout w:type="fixed"/>
        <w:tblInd w:w="520" w:type="dxa"/>
        <w:tblCellMar>
          <w:top w:w="0" w:type="dxa"/>
          <w:left w:w="0" w:type="dxa"/>
          <w:bottom w:w="0" w:type="dxa"/>
          <w:right w:w="0" w:type="dxa"/>
        </w:tblCellMar>
      </w:tblPr>
      <w:tr>
        <w:trPr>
          <w:trHeight w:val="148"/>
        </w:trPr>
        <w:tc>
          <w:tcPr>
            <w:tcW w:w="7700" w:type="dxa"/>
            <w:vAlign w:val="bottom"/>
          </w:tcPr>
          <w:p>
            <w:pPr>
              <w:spacing w:after="0"/>
              <w:rPr>
                <w:sz w:val="12"/>
                <w:szCs w:val="12"/>
                <w:color w:val="auto"/>
              </w:rPr>
            </w:pPr>
          </w:p>
        </w:tc>
        <w:tc>
          <w:tcPr>
            <w:tcW w:w="2700" w:type="dxa"/>
            <w:vAlign w:val="bottom"/>
            <w:gridSpan w:val="2"/>
          </w:tcPr>
          <w:p>
            <w:pPr>
              <w:jc w:val="right"/>
              <w:ind w:right="578"/>
              <w:spacing w:after="0"/>
              <w:rPr>
                <w:sz w:val="20"/>
                <w:szCs w:val="20"/>
                <w:color w:val="auto"/>
              </w:rPr>
            </w:pPr>
            <w:r>
              <w:rPr>
                <w:rFonts w:ascii="Arial" w:cs="Arial" w:eastAsia="Arial" w:hAnsi="Arial"/>
                <w:sz w:val="11"/>
                <w:szCs w:val="11"/>
                <w:b w:val="1"/>
                <w:bCs w:val="1"/>
                <w:color w:val="205BA8"/>
              </w:rPr>
              <w:t>Year Ended December 31,</w:t>
            </w:r>
          </w:p>
        </w:tc>
      </w:tr>
      <w:tr>
        <w:trPr>
          <w:trHeight w:val="46"/>
        </w:trPr>
        <w:tc>
          <w:tcPr>
            <w:tcW w:w="7700" w:type="dxa"/>
            <w:vAlign w:val="bottom"/>
          </w:tcPr>
          <w:p>
            <w:pPr>
              <w:spacing w:after="0"/>
              <w:rPr>
                <w:sz w:val="3"/>
                <w:szCs w:val="3"/>
                <w:color w:val="auto"/>
              </w:rPr>
            </w:pPr>
          </w:p>
        </w:tc>
        <w:tc>
          <w:tcPr>
            <w:tcW w:w="1520" w:type="dxa"/>
            <w:vAlign w:val="bottom"/>
            <w:tcBorders>
              <w:bottom w:val="single" w:sz="8" w:color="205BA8"/>
            </w:tcBorders>
          </w:tcPr>
          <w:p>
            <w:pPr>
              <w:spacing w:after="0"/>
              <w:rPr>
                <w:sz w:val="3"/>
                <w:szCs w:val="3"/>
                <w:color w:val="auto"/>
              </w:rPr>
            </w:pPr>
          </w:p>
        </w:tc>
        <w:tc>
          <w:tcPr>
            <w:tcW w:w="1180" w:type="dxa"/>
            <w:vAlign w:val="bottom"/>
            <w:tcBorders>
              <w:bottom w:val="single" w:sz="8" w:color="205BA8"/>
            </w:tcBorders>
          </w:tcPr>
          <w:p>
            <w:pPr>
              <w:spacing w:after="0"/>
              <w:rPr>
                <w:sz w:val="3"/>
                <w:szCs w:val="3"/>
                <w:color w:val="auto"/>
              </w:rPr>
            </w:pPr>
          </w:p>
        </w:tc>
      </w:tr>
      <w:tr>
        <w:trPr>
          <w:trHeight w:val="181"/>
        </w:trPr>
        <w:tc>
          <w:tcPr>
            <w:tcW w:w="7700" w:type="dxa"/>
            <w:vAlign w:val="bottom"/>
          </w:tcPr>
          <w:p>
            <w:pPr>
              <w:spacing w:after="0"/>
              <w:rPr>
                <w:sz w:val="15"/>
                <w:szCs w:val="15"/>
                <w:color w:val="auto"/>
              </w:rPr>
            </w:pPr>
          </w:p>
        </w:tc>
        <w:tc>
          <w:tcPr>
            <w:tcW w:w="1520" w:type="dxa"/>
            <w:vAlign w:val="bottom"/>
          </w:tcPr>
          <w:p>
            <w:pPr>
              <w:jc w:val="right"/>
              <w:ind w:right="598"/>
              <w:spacing w:after="0"/>
              <w:rPr>
                <w:sz w:val="20"/>
                <w:szCs w:val="20"/>
                <w:color w:val="auto"/>
              </w:rPr>
            </w:pPr>
            <w:r>
              <w:rPr>
                <w:rFonts w:ascii="Arial" w:cs="Arial" w:eastAsia="Arial" w:hAnsi="Arial"/>
                <w:sz w:val="11"/>
                <w:szCs w:val="11"/>
                <w:b w:val="1"/>
                <w:bCs w:val="1"/>
                <w:color w:val="205BA8"/>
              </w:rPr>
              <w:t>2018</w:t>
            </w:r>
          </w:p>
        </w:tc>
        <w:tc>
          <w:tcPr>
            <w:tcW w:w="1180" w:type="dxa"/>
            <w:vAlign w:val="bottom"/>
          </w:tcPr>
          <w:p>
            <w:pPr>
              <w:jc w:val="right"/>
              <w:ind w:right="518"/>
              <w:spacing w:after="0"/>
              <w:rPr>
                <w:sz w:val="20"/>
                <w:szCs w:val="20"/>
                <w:color w:val="auto"/>
              </w:rPr>
            </w:pPr>
            <w:r>
              <w:rPr>
                <w:rFonts w:ascii="Arial" w:cs="Arial" w:eastAsia="Arial" w:hAnsi="Arial"/>
                <w:sz w:val="11"/>
                <w:szCs w:val="11"/>
                <w:b w:val="1"/>
                <w:bCs w:val="1"/>
                <w:color w:val="205BA8"/>
              </w:rPr>
              <w:t>2017</w:t>
            </w:r>
          </w:p>
        </w:tc>
      </w:tr>
      <w:tr>
        <w:trPr>
          <w:trHeight w:val="52"/>
        </w:trPr>
        <w:tc>
          <w:tcPr>
            <w:tcW w:w="7700" w:type="dxa"/>
            <w:vAlign w:val="bottom"/>
            <w:tcBorders>
              <w:bottom w:val="single" w:sz="8" w:color="205BA8"/>
            </w:tcBorders>
          </w:tcPr>
          <w:p>
            <w:pPr>
              <w:spacing w:after="0"/>
              <w:rPr>
                <w:sz w:val="4"/>
                <w:szCs w:val="4"/>
                <w:color w:val="auto"/>
              </w:rPr>
            </w:pPr>
          </w:p>
        </w:tc>
        <w:tc>
          <w:tcPr>
            <w:tcW w:w="1520" w:type="dxa"/>
            <w:vAlign w:val="bottom"/>
            <w:tcBorders>
              <w:bottom w:val="single" w:sz="8" w:color="205BA8"/>
            </w:tcBorders>
          </w:tcPr>
          <w:p>
            <w:pPr>
              <w:spacing w:after="0"/>
              <w:rPr>
                <w:sz w:val="4"/>
                <w:szCs w:val="4"/>
                <w:color w:val="auto"/>
              </w:rPr>
            </w:pPr>
          </w:p>
        </w:tc>
        <w:tc>
          <w:tcPr>
            <w:tcW w:w="1180" w:type="dxa"/>
            <w:vAlign w:val="bottom"/>
            <w:tcBorders>
              <w:bottom w:val="single" w:sz="8" w:color="205BA8"/>
            </w:tcBorders>
          </w:tcPr>
          <w:p>
            <w:pPr>
              <w:spacing w:after="0"/>
              <w:rPr>
                <w:sz w:val="4"/>
                <w:szCs w:val="4"/>
                <w:color w:val="auto"/>
              </w:rPr>
            </w:pPr>
          </w:p>
        </w:tc>
      </w:tr>
      <w:tr>
        <w:trPr>
          <w:trHeight w:val="205"/>
        </w:trPr>
        <w:tc>
          <w:tcPr>
            <w:tcW w:w="7700" w:type="dxa"/>
            <w:vAlign w:val="bottom"/>
          </w:tcPr>
          <w:p>
            <w:pPr>
              <w:ind w:left="40"/>
              <w:spacing w:after="0"/>
              <w:rPr>
                <w:sz w:val="20"/>
                <w:szCs w:val="20"/>
                <w:color w:val="auto"/>
              </w:rPr>
            </w:pPr>
            <w:r>
              <w:rPr>
                <w:rFonts w:ascii="Arial" w:cs="Arial" w:eastAsia="Arial" w:hAnsi="Arial"/>
                <w:sz w:val="13"/>
                <w:szCs w:val="13"/>
                <w:color w:val="auto"/>
              </w:rPr>
              <w:t>GAAP Net Income</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$2,444.4</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$1,198.5</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7"/>
        </w:trPr>
        <w:tc>
          <w:tcPr>
            <w:tcW w:w="7700" w:type="dxa"/>
            <w:vAlign w:val="bottom"/>
            <w:tcBorders>
              <w:bottom w:val="single" w:sz="8" w:color="ECEDED"/>
            </w:tcBorders>
            <w:shd w:val="clear" w:color="auto" w:fill="ECEDED"/>
          </w:tcPr>
          <w:p>
            <w:pPr>
              <w:ind w:left="40"/>
              <w:spacing w:after="0"/>
              <w:rPr>
                <w:sz w:val="20"/>
                <w:szCs w:val="20"/>
                <w:color w:val="auto"/>
              </w:rPr>
            </w:pPr>
            <w:r>
              <w:rPr>
                <w:rFonts w:ascii="Arial" w:cs="Arial" w:eastAsia="Arial" w:hAnsi="Arial"/>
                <w:sz w:val="13"/>
                <w:szCs w:val="13"/>
                <w:i w:val="1"/>
                <w:iCs w:val="1"/>
                <w:color w:val="auto"/>
              </w:rPr>
              <w:t>Adjustments:</w:t>
            </w:r>
          </w:p>
        </w:tc>
        <w:tc>
          <w:tcPr>
            <w:tcW w:w="1520" w:type="dxa"/>
            <w:vAlign w:val="bottom"/>
            <w:tcBorders>
              <w:bottom w:val="single" w:sz="8" w:color="ECEDED"/>
            </w:tcBorders>
            <w:shd w:val="clear" w:color="auto" w:fill="ECEDED"/>
          </w:tcPr>
          <w:p>
            <w:pPr>
              <w:spacing w:after="0"/>
              <w:rPr>
                <w:sz w:val="19"/>
                <w:szCs w:val="19"/>
                <w:color w:val="auto"/>
              </w:rPr>
            </w:pPr>
          </w:p>
        </w:tc>
        <w:tc>
          <w:tcPr>
            <w:tcW w:w="1180" w:type="dxa"/>
            <w:vAlign w:val="bottom"/>
            <w:tcBorders>
              <w:bottom w:val="single" w:sz="8" w:color="ECEDED"/>
            </w:tcBorders>
            <w:shd w:val="clear" w:color="auto" w:fill="ECEDED"/>
          </w:tcPr>
          <w:p>
            <w:pPr>
              <w:spacing w:after="0"/>
              <w:rPr>
                <w:sz w:val="19"/>
                <w:szCs w:val="19"/>
                <w:color w:val="auto"/>
              </w:rPr>
            </w:pPr>
          </w:p>
        </w:tc>
      </w:tr>
      <w:tr>
        <w:trPr>
          <w:trHeight w:val="205"/>
        </w:trPr>
        <w:tc>
          <w:tcPr>
            <w:tcW w:w="7700" w:type="dxa"/>
            <w:vAlign w:val="bottom"/>
          </w:tcPr>
          <w:p>
            <w:pPr>
              <w:ind w:left="180"/>
              <w:spacing w:after="0"/>
              <w:rPr>
                <w:sz w:val="20"/>
                <w:szCs w:val="20"/>
                <w:color w:val="auto"/>
              </w:rPr>
            </w:pPr>
            <w:r>
              <w:rPr>
                <w:rFonts w:ascii="Arial" w:cs="Arial" w:eastAsia="Arial" w:hAnsi="Arial"/>
                <w:sz w:val="13"/>
                <w:szCs w:val="13"/>
                <w:color w:val="auto"/>
              </w:rPr>
              <w:t>R&amp;D: Non-cash share-based compensation expense</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229.0</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271.9</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7"/>
        </w:trPr>
        <w:tc>
          <w:tcPr>
            <w:tcW w:w="7700" w:type="dxa"/>
            <w:vAlign w:val="bottom"/>
            <w:tcBorders>
              <w:bottom w:val="single" w:sz="8" w:color="ECEDED"/>
            </w:tcBorders>
            <w:shd w:val="clear" w:color="auto" w:fill="ECEDED"/>
          </w:tcPr>
          <w:p>
            <w:pPr>
              <w:ind w:left="180"/>
              <w:spacing w:after="0"/>
              <w:rPr>
                <w:sz w:val="20"/>
                <w:szCs w:val="20"/>
                <w:color w:val="auto"/>
              </w:rPr>
            </w:pPr>
            <w:r>
              <w:rPr>
                <w:rFonts w:ascii="Arial" w:cs="Arial" w:eastAsia="Arial" w:hAnsi="Arial"/>
                <w:sz w:val="13"/>
                <w:szCs w:val="13"/>
                <w:color w:val="auto"/>
              </w:rPr>
              <w:t>R&amp;D: Up-front payments related to license and collaboration agreements</w:t>
            </w:r>
          </w:p>
        </w:tc>
        <w:tc>
          <w:tcPr>
            <w:tcW w:w="1520" w:type="dxa"/>
            <w:vAlign w:val="bottom"/>
            <w:tcBorders>
              <w:bottom w:val="single" w:sz="8" w:color="ECEDED"/>
            </w:tcBorders>
            <w:shd w:val="clear" w:color="auto" w:fill="ECEDED"/>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ECEDED"/>
            </w:tcBorders>
            <w:shd w:val="clear" w:color="auto" w:fill="ECEDED"/>
          </w:tcPr>
          <w:p>
            <w:pPr>
              <w:jc w:val="right"/>
              <w:ind w:right="258"/>
              <w:spacing w:after="0"/>
              <w:rPr>
                <w:sz w:val="20"/>
                <w:szCs w:val="20"/>
                <w:color w:val="auto"/>
              </w:rPr>
            </w:pPr>
            <w:r>
              <w:rPr>
                <w:rFonts w:ascii="Arial" w:cs="Arial" w:eastAsia="Arial" w:hAnsi="Arial"/>
                <w:sz w:val="13"/>
                <w:szCs w:val="13"/>
                <w:color w:val="auto"/>
              </w:rPr>
              <w:t>25.0</w:t>
            </w:r>
          </w:p>
        </w:tc>
      </w:tr>
      <w:tr>
        <w:trPr>
          <w:trHeight w:val="205"/>
        </w:trPr>
        <w:tc>
          <w:tcPr>
            <w:tcW w:w="7700" w:type="dxa"/>
            <w:vAlign w:val="bottom"/>
          </w:tcPr>
          <w:p>
            <w:pPr>
              <w:ind w:left="180"/>
              <w:spacing w:after="0"/>
              <w:rPr>
                <w:sz w:val="20"/>
                <w:szCs w:val="20"/>
                <w:color w:val="auto"/>
              </w:rPr>
            </w:pPr>
            <w:r>
              <w:rPr>
                <w:rFonts w:ascii="Arial" w:cs="Arial" w:eastAsia="Arial" w:hAnsi="Arial"/>
                <w:sz w:val="13"/>
                <w:szCs w:val="13"/>
                <w:color w:val="auto"/>
              </w:rPr>
              <w:t>SG&amp;A: Non-cash share-based compensation expense</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169.2</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208.4</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7"/>
        </w:trPr>
        <w:tc>
          <w:tcPr>
            <w:tcW w:w="7700" w:type="dxa"/>
            <w:vAlign w:val="bottom"/>
            <w:tcBorders>
              <w:bottom w:val="single" w:sz="8" w:color="ECEDED"/>
            </w:tcBorders>
            <w:shd w:val="clear" w:color="auto" w:fill="ECEDED"/>
          </w:tcPr>
          <w:p>
            <w:pPr>
              <w:ind w:left="180"/>
              <w:spacing w:after="0"/>
              <w:rPr>
                <w:sz w:val="20"/>
                <w:szCs w:val="20"/>
                <w:color w:val="auto"/>
              </w:rPr>
            </w:pPr>
            <w:r>
              <w:rPr>
                <w:rFonts w:ascii="Arial" w:cs="Arial" w:eastAsia="Arial" w:hAnsi="Arial"/>
                <w:sz w:val="13"/>
                <w:szCs w:val="13"/>
                <w:color w:val="auto"/>
              </w:rPr>
              <w:t>SG&amp;A: Litigation contingencies</w:t>
            </w:r>
          </w:p>
        </w:tc>
        <w:tc>
          <w:tcPr>
            <w:tcW w:w="1520" w:type="dxa"/>
            <w:vAlign w:val="bottom"/>
            <w:tcBorders>
              <w:bottom w:val="single" w:sz="8" w:color="ECEDED"/>
            </w:tcBorders>
            <w:shd w:val="clear" w:color="auto" w:fill="ECEDED"/>
          </w:tcPr>
          <w:p>
            <w:pPr>
              <w:jc w:val="right"/>
              <w:ind w:right="318"/>
              <w:spacing w:after="0"/>
              <w:rPr>
                <w:sz w:val="20"/>
                <w:szCs w:val="20"/>
                <w:color w:val="auto"/>
              </w:rPr>
            </w:pPr>
            <w:r>
              <w:rPr>
                <w:rFonts w:ascii="Arial" w:cs="Arial" w:eastAsia="Arial" w:hAnsi="Arial"/>
                <w:sz w:val="13"/>
                <w:szCs w:val="13"/>
                <w:color w:val="auto"/>
              </w:rPr>
              <w:t>30.0</w:t>
            </w:r>
          </w:p>
        </w:tc>
        <w:tc>
          <w:tcPr>
            <w:tcW w:w="1180" w:type="dxa"/>
            <w:vAlign w:val="bottom"/>
            <w:tcBorders>
              <w:bottom w:val="single" w:sz="8" w:color="ECEDED"/>
            </w:tcBorders>
            <w:shd w:val="clear" w:color="auto" w:fill="ECEDED"/>
          </w:tcPr>
          <w:p>
            <w:pPr>
              <w:jc w:val="right"/>
              <w:ind w:right="258"/>
              <w:spacing w:after="0"/>
              <w:rPr>
                <w:sz w:val="20"/>
                <w:szCs w:val="20"/>
                <w:color w:val="auto"/>
              </w:rPr>
            </w:pPr>
            <w:r>
              <w:rPr>
                <w:rFonts w:ascii="Arial" w:cs="Arial" w:eastAsia="Arial" w:hAnsi="Arial"/>
                <w:sz w:val="13"/>
                <w:szCs w:val="13"/>
                <w:color w:val="auto"/>
              </w:rPr>
              <w:t>—</w:t>
            </w:r>
          </w:p>
        </w:tc>
      </w:tr>
      <w:tr>
        <w:trPr>
          <w:trHeight w:val="205"/>
        </w:trPr>
        <w:tc>
          <w:tcPr>
            <w:tcW w:w="7700" w:type="dxa"/>
            <w:vAlign w:val="bottom"/>
          </w:tcPr>
          <w:p>
            <w:pPr>
              <w:ind w:left="180"/>
              <w:spacing w:after="0"/>
              <w:rPr>
                <w:sz w:val="20"/>
                <w:szCs w:val="20"/>
                <w:color w:val="auto"/>
              </w:rPr>
            </w:pPr>
            <w:r>
              <w:rPr>
                <w:rFonts w:ascii="Arial" w:cs="Arial" w:eastAsia="Arial" w:hAnsi="Arial"/>
                <w:sz w:val="13"/>
                <w:szCs w:val="13"/>
                <w:color w:val="auto"/>
              </w:rPr>
              <w:t>COGS and COCM: Non-cash share-based compensation expense</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29.2</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27.0</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7"/>
        </w:trPr>
        <w:tc>
          <w:tcPr>
            <w:tcW w:w="7700" w:type="dxa"/>
            <w:vAlign w:val="bottom"/>
            <w:tcBorders>
              <w:bottom w:val="single" w:sz="8" w:color="ECEDED"/>
            </w:tcBorders>
            <w:shd w:val="clear" w:color="auto" w:fill="ECEDED"/>
          </w:tcPr>
          <w:p>
            <w:pPr>
              <w:ind w:left="180"/>
              <w:spacing w:after="0"/>
              <w:rPr>
                <w:sz w:val="20"/>
                <w:szCs w:val="20"/>
                <w:color w:val="auto"/>
              </w:rPr>
            </w:pPr>
            <w:r>
              <w:rPr>
                <w:rFonts w:ascii="Arial" w:cs="Arial" w:eastAsia="Arial" w:hAnsi="Arial"/>
                <w:sz w:val="13"/>
                <w:szCs w:val="13"/>
                <w:color w:val="auto"/>
              </w:rPr>
              <w:t>Other income/expense: Loss on extinguishment of debt</w:t>
            </w:r>
          </w:p>
        </w:tc>
        <w:tc>
          <w:tcPr>
            <w:tcW w:w="1520" w:type="dxa"/>
            <w:vAlign w:val="bottom"/>
            <w:tcBorders>
              <w:bottom w:val="single" w:sz="8" w:color="ECEDED"/>
            </w:tcBorders>
            <w:shd w:val="clear" w:color="auto" w:fill="ECEDED"/>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ECEDED"/>
            </w:tcBorders>
            <w:shd w:val="clear" w:color="auto" w:fill="ECEDED"/>
          </w:tcPr>
          <w:p>
            <w:pPr>
              <w:jc w:val="right"/>
              <w:ind w:right="258"/>
              <w:spacing w:after="0"/>
              <w:rPr>
                <w:sz w:val="20"/>
                <w:szCs w:val="20"/>
                <w:color w:val="auto"/>
              </w:rPr>
            </w:pPr>
            <w:r>
              <w:rPr>
                <w:rFonts w:ascii="Arial" w:cs="Arial" w:eastAsia="Arial" w:hAnsi="Arial"/>
                <w:sz w:val="13"/>
                <w:szCs w:val="13"/>
                <w:color w:val="auto"/>
              </w:rPr>
              <w:t>30.1</w:t>
            </w:r>
          </w:p>
        </w:tc>
      </w:tr>
      <w:tr>
        <w:trPr>
          <w:trHeight w:val="273"/>
        </w:trPr>
        <w:tc>
          <w:tcPr>
            <w:tcW w:w="7700" w:type="dxa"/>
            <w:vAlign w:val="bottom"/>
          </w:tcPr>
          <w:p>
            <w:pPr>
              <w:ind w:left="180"/>
              <w:spacing w:after="0"/>
              <w:rPr>
                <w:sz w:val="20"/>
                <w:szCs w:val="20"/>
                <w:color w:val="auto"/>
              </w:rPr>
            </w:pPr>
            <w:r>
              <w:rPr>
                <w:rFonts w:ascii="Arial" w:cs="Arial" w:eastAsia="Arial" w:hAnsi="Arial"/>
                <w:sz w:val="13"/>
                <w:szCs w:val="13"/>
                <w:color w:val="auto"/>
              </w:rPr>
              <w:t>Other income/expense: Gains and losses on investments in equity securities</w:t>
            </w:r>
            <w:r>
              <w:rPr>
                <w:rFonts w:ascii="Arial" w:cs="Arial" w:eastAsia="Arial" w:hAnsi="Arial"/>
                <w:sz w:val="20"/>
                <w:szCs w:val="20"/>
                <w:color w:val="auto"/>
                <w:vertAlign w:val="superscript"/>
              </w:rPr>
              <w:t>1</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41.9</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w:t>
            </w:r>
          </w:p>
        </w:tc>
      </w:tr>
      <w:tr>
        <w:trPr>
          <w:trHeight w:val="227"/>
        </w:trPr>
        <w:tc>
          <w:tcPr>
            <w:tcW w:w="7700" w:type="dxa"/>
            <w:vAlign w:val="bottom"/>
            <w:tcBorders>
              <w:bottom w:val="single" w:sz="8" w:color="ECEDED"/>
            </w:tcBorders>
            <w:shd w:val="clear" w:color="auto" w:fill="ECEDED"/>
          </w:tcPr>
          <w:p>
            <w:pPr>
              <w:ind w:left="180"/>
              <w:spacing w:after="0"/>
              <w:rPr>
                <w:sz w:val="20"/>
                <w:szCs w:val="20"/>
                <w:color w:val="auto"/>
              </w:rPr>
            </w:pPr>
            <w:r>
              <w:rPr>
                <w:rFonts w:ascii="Arial" w:cs="Arial" w:eastAsia="Arial" w:hAnsi="Arial"/>
                <w:sz w:val="13"/>
                <w:szCs w:val="13"/>
                <w:color w:val="auto"/>
              </w:rPr>
              <w:t>Income tax effect of reconciling items above</w:t>
            </w:r>
          </w:p>
        </w:tc>
        <w:tc>
          <w:tcPr>
            <w:tcW w:w="1520" w:type="dxa"/>
            <w:vAlign w:val="bottom"/>
            <w:tcBorders>
              <w:bottom w:val="single" w:sz="8" w:color="ECEDED"/>
            </w:tcBorders>
            <w:shd w:val="clear" w:color="auto" w:fill="ECEDED"/>
          </w:tcPr>
          <w:p>
            <w:pPr>
              <w:jc w:val="right"/>
              <w:ind w:right="278"/>
              <w:spacing w:after="0"/>
              <w:rPr>
                <w:sz w:val="20"/>
                <w:szCs w:val="20"/>
                <w:color w:val="auto"/>
              </w:rPr>
            </w:pPr>
            <w:r>
              <w:rPr>
                <w:rFonts w:ascii="Arial" w:cs="Arial" w:eastAsia="Arial" w:hAnsi="Arial"/>
                <w:sz w:val="13"/>
                <w:szCs w:val="13"/>
                <w:color w:val="auto"/>
              </w:rPr>
              <w:t>(92.1)</w:t>
            </w:r>
          </w:p>
        </w:tc>
        <w:tc>
          <w:tcPr>
            <w:tcW w:w="1180" w:type="dxa"/>
            <w:vAlign w:val="bottom"/>
            <w:tcBorders>
              <w:bottom w:val="single" w:sz="8" w:color="ECEDED"/>
            </w:tcBorders>
            <w:shd w:val="clear" w:color="auto" w:fill="ECEDED"/>
          </w:tcPr>
          <w:p>
            <w:pPr>
              <w:jc w:val="right"/>
              <w:ind w:right="218"/>
              <w:spacing w:after="0"/>
              <w:rPr>
                <w:sz w:val="20"/>
                <w:szCs w:val="20"/>
                <w:color w:val="auto"/>
              </w:rPr>
            </w:pPr>
            <w:r>
              <w:rPr>
                <w:rFonts w:ascii="Arial" w:cs="Arial" w:eastAsia="Arial" w:hAnsi="Arial"/>
                <w:sz w:val="13"/>
                <w:szCs w:val="13"/>
                <w:color w:val="auto"/>
              </w:rPr>
              <w:t>(186.0)</w:t>
            </w:r>
          </w:p>
        </w:tc>
      </w:tr>
      <w:tr>
        <w:trPr>
          <w:trHeight w:val="205"/>
        </w:trPr>
        <w:tc>
          <w:tcPr>
            <w:tcW w:w="7700" w:type="dxa"/>
            <w:vAlign w:val="bottom"/>
          </w:tcPr>
          <w:p>
            <w:pPr>
              <w:ind w:left="180"/>
              <w:spacing w:after="0"/>
              <w:rPr>
                <w:sz w:val="20"/>
                <w:szCs w:val="20"/>
                <w:color w:val="auto"/>
              </w:rPr>
            </w:pPr>
            <w:r>
              <w:rPr>
                <w:rFonts w:ascii="Arial" w:cs="Arial" w:eastAsia="Arial" w:hAnsi="Arial"/>
                <w:sz w:val="13"/>
                <w:szCs w:val="13"/>
                <w:color w:val="auto"/>
              </w:rPr>
              <w:t>Income tax (benefit) expense: Impact of sale of assets between foreign subsidiaries</w:t>
            </w:r>
          </w:p>
        </w:tc>
        <w:tc>
          <w:tcPr>
            <w:tcW w:w="1520" w:type="dxa"/>
            <w:vAlign w:val="bottom"/>
          </w:tcPr>
          <w:p>
            <w:pPr>
              <w:jc w:val="right"/>
              <w:ind w:right="278"/>
              <w:spacing w:after="0"/>
              <w:rPr>
                <w:sz w:val="20"/>
                <w:szCs w:val="20"/>
                <w:color w:val="auto"/>
              </w:rPr>
            </w:pPr>
            <w:r>
              <w:rPr>
                <w:rFonts w:ascii="Arial" w:cs="Arial" w:eastAsia="Arial" w:hAnsi="Arial"/>
                <w:sz w:val="13"/>
                <w:szCs w:val="13"/>
                <w:color w:val="auto"/>
              </w:rPr>
              <w:t>(162.1)</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7"/>
        </w:trPr>
        <w:tc>
          <w:tcPr>
            <w:tcW w:w="7700" w:type="dxa"/>
            <w:vAlign w:val="bottom"/>
            <w:tcBorders>
              <w:bottom w:val="single" w:sz="8" w:color="ECEDED"/>
            </w:tcBorders>
            <w:shd w:val="clear" w:color="auto" w:fill="ECEDED"/>
          </w:tcPr>
          <w:p>
            <w:pPr>
              <w:ind w:left="180"/>
              <w:spacing w:after="0"/>
              <w:rPr>
                <w:sz w:val="20"/>
                <w:szCs w:val="20"/>
                <w:color w:val="auto"/>
              </w:rPr>
            </w:pPr>
            <w:r>
              <w:rPr>
                <w:rFonts w:ascii="Arial" w:cs="Arial" w:eastAsia="Arial" w:hAnsi="Arial"/>
                <w:sz w:val="13"/>
                <w:szCs w:val="13"/>
                <w:color w:val="auto"/>
              </w:rPr>
              <w:t>Income tax (benefit) expense: (Adjustment) charge related to enactment of U.S. Tax Reform Act</w:t>
            </w:r>
          </w:p>
        </w:tc>
        <w:tc>
          <w:tcPr>
            <w:tcW w:w="1520" w:type="dxa"/>
            <w:vAlign w:val="bottom"/>
            <w:tcBorders>
              <w:bottom w:val="single" w:sz="8" w:color="ECEDED"/>
            </w:tcBorders>
            <w:shd w:val="clear" w:color="auto" w:fill="ECEDED"/>
          </w:tcPr>
          <w:p>
            <w:pPr>
              <w:jc w:val="right"/>
              <w:ind w:right="278"/>
              <w:spacing w:after="0"/>
              <w:rPr>
                <w:sz w:val="20"/>
                <w:szCs w:val="20"/>
                <w:color w:val="auto"/>
              </w:rPr>
            </w:pPr>
            <w:r>
              <w:rPr>
                <w:rFonts w:ascii="Arial" w:cs="Arial" w:eastAsia="Arial" w:hAnsi="Arial"/>
                <w:sz w:val="13"/>
                <w:szCs w:val="13"/>
                <w:color w:val="auto"/>
              </w:rPr>
              <w:t>(68.0)</w:t>
            </w:r>
          </w:p>
        </w:tc>
        <w:tc>
          <w:tcPr>
            <w:tcW w:w="1180" w:type="dxa"/>
            <w:vAlign w:val="bottom"/>
            <w:tcBorders>
              <w:bottom w:val="single" w:sz="8" w:color="ECEDED"/>
            </w:tcBorders>
            <w:shd w:val="clear" w:color="auto" w:fill="ECEDED"/>
          </w:tcPr>
          <w:p>
            <w:pPr>
              <w:jc w:val="right"/>
              <w:ind w:right="258"/>
              <w:spacing w:after="0"/>
              <w:rPr>
                <w:sz w:val="20"/>
                <w:szCs w:val="20"/>
                <w:color w:val="auto"/>
              </w:rPr>
            </w:pPr>
            <w:r>
              <w:rPr>
                <w:rFonts w:ascii="Arial" w:cs="Arial" w:eastAsia="Arial" w:hAnsi="Arial"/>
                <w:sz w:val="13"/>
                <w:szCs w:val="13"/>
                <w:color w:val="auto"/>
              </w:rPr>
              <w:t>326.2</w:t>
            </w:r>
          </w:p>
        </w:tc>
      </w:tr>
      <w:tr>
        <w:trPr>
          <w:trHeight w:val="211"/>
        </w:trPr>
        <w:tc>
          <w:tcPr>
            <w:tcW w:w="7700" w:type="dxa"/>
            <w:vAlign w:val="bottom"/>
          </w:tcPr>
          <w:p>
            <w:pPr>
              <w:ind w:left="340"/>
              <w:spacing w:after="0"/>
              <w:rPr>
                <w:sz w:val="20"/>
                <w:szCs w:val="20"/>
                <w:color w:val="auto"/>
              </w:rPr>
            </w:pPr>
            <w:r>
              <w:rPr>
                <w:rFonts w:ascii="Arial" w:cs="Arial" w:eastAsia="Arial" w:hAnsi="Arial"/>
                <w:sz w:val="13"/>
                <w:szCs w:val="13"/>
                <w:color w:val="auto"/>
              </w:rPr>
              <w:t>Non-GAAP net income</w:t>
            </w:r>
          </w:p>
        </w:tc>
        <w:tc>
          <w:tcPr>
            <w:tcW w:w="1520" w:type="dxa"/>
            <w:vAlign w:val="bottom"/>
            <w:tcBorders>
              <w:top w:val="single" w:sz="8" w:color="auto"/>
            </w:tcBorders>
          </w:tcPr>
          <w:p>
            <w:pPr>
              <w:jc w:val="right"/>
              <w:ind w:right="318"/>
              <w:spacing w:after="0"/>
              <w:rPr>
                <w:sz w:val="20"/>
                <w:szCs w:val="20"/>
                <w:color w:val="auto"/>
              </w:rPr>
            </w:pPr>
            <w:r>
              <w:rPr>
                <w:rFonts w:ascii="Arial" w:cs="Arial" w:eastAsia="Arial" w:hAnsi="Arial"/>
                <w:sz w:val="13"/>
                <w:szCs w:val="13"/>
                <w:color w:val="auto"/>
              </w:rPr>
              <w:t>$2,621.5</w:t>
            </w:r>
          </w:p>
        </w:tc>
        <w:tc>
          <w:tcPr>
            <w:tcW w:w="1180" w:type="dxa"/>
            <w:vAlign w:val="bottom"/>
            <w:tcBorders>
              <w:top w:val="single" w:sz="8" w:color="auto"/>
            </w:tcBorders>
          </w:tcPr>
          <w:p>
            <w:pPr>
              <w:jc w:val="right"/>
              <w:ind w:right="258"/>
              <w:spacing w:after="0"/>
              <w:rPr>
                <w:sz w:val="20"/>
                <w:szCs w:val="20"/>
                <w:color w:val="auto"/>
              </w:rPr>
            </w:pPr>
            <w:r>
              <w:rPr>
                <w:rFonts w:ascii="Arial" w:cs="Arial" w:eastAsia="Arial" w:hAnsi="Arial"/>
                <w:sz w:val="13"/>
                <w:szCs w:val="13"/>
                <w:color w:val="auto"/>
              </w:rPr>
              <w:t>$1,901.1</w:t>
            </w:r>
          </w:p>
        </w:tc>
      </w:tr>
      <w:tr>
        <w:trPr>
          <w:trHeight w:val="69"/>
        </w:trPr>
        <w:tc>
          <w:tcPr>
            <w:tcW w:w="7700" w:type="dxa"/>
            <w:vAlign w:val="bottom"/>
            <w:tcBorders>
              <w:bottom w:val="single" w:sz="8" w:color="ECEDED"/>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23"/>
        </w:trPr>
        <w:tc>
          <w:tcPr>
            <w:tcW w:w="7700" w:type="dxa"/>
            <w:vAlign w:val="bottom"/>
            <w:tcBorders>
              <w:bottom w:val="single" w:sz="8" w:color="ECEDED"/>
            </w:tcBorders>
            <w:shd w:val="clear" w:color="auto" w:fill="ECEDED"/>
          </w:tcPr>
          <w:p>
            <w:pPr>
              <w:ind w:left="40"/>
              <w:spacing w:after="0"/>
              <w:rPr>
                <w:sz w:val="20"/>
                <w:szCs w:val="20"/>
                <w:color w:val="auto"/>
              </w:rPr>
            </w:pPr>
            <w:r>
              <w:rPr>
                <w:rFonts w:ascii="Arial" w:cs="Arial" w:eastAsia="Arial" w:hAnsi="Arial"/>
                <w:sz w:val="13"/>
                <w:szCs w:val="13"/>
                <w:color w:val="auto"/>
              </w:rPr>
              <w:t>Non-GAAP net income per share—basic</w:t>
            </w:r>
          </w:p>
        </w:tc>
        <w:tc>
          <w:tcPr>
            <w:tcW w:w="1520" w:type="dxa"/>
            <w:vAlign w:val="bottom"/>
            <w:tcBorders>
              <w:bottom w:val="single" w:sz="8" w:color="ECEDED"/>
            </w:tcBorders>
            <w:shd w:val="clear" w:color="auto" w:fill="ECEDED"/>
          </w:tcPr>
          <w:p>
            <w:pPr>
              <w:jc w:val="right"/>
              <w:ind w:right="318"/>
              <w:spacing w:after="0"/>
              <w:rPr>
                <w:sz w:val="20"/>
                <w:szCs w:val="20"/>
                <w:color w:val="auto"/>
              </w:rPr>
            </w:pPr>
            <w:r>
              <w:rPr>
                <w:rFonts w:ascii="Arial" w:cs="Arial" w:eastAsia="Arial" w:hAnsi="Arial"/>
                <w:sz w:val="13"/>
                <w:szCs w:val="13"/>
                <w:color w:val="auto"/>
              </w:rPr>
              <w:t>$24.30</w:t>
            </w:r>
          </w:p>
        </w:tc>
        <w:tc>
          <w:tcPr>
            <w:tcW w:w="1180" w:type="dxa"/>
            <w:vAlign w:val="bottom"/>
            <w:tcBorders>
              <w:bottom w:val="single" w:sz="8" w:color="ECEDED"/>
            </w:tcBorders>
            <w:shd w:val="clear" w:color="auto" w:fill="ECEDED"/>
          </w:tcPr>
          <w:p>
            <w:pPr>
              <w:jc w:val="right"/>
              <w:ind w:right="258"/>
              <w:spacing w:after="0"/>
              <w:rPr>
                <w:sz w:val="20"/>
                <w:szCs w:val="20"/>
                <w:color w:val="auto"/>
              </w:rPr>
            </w:pPr>
            <w:r>
              <w:rPr>
                <w:rFonts w:ascii="Arial" w:cs="Arial" w:eastAsia="Arial" w:hAnsi="Arial"/>
                <w:sz w:val="13"/>
                <w:szCs w:val="13"/>
                <w:color w:val="auto"/>
              </w:rPr>
              <w:t>$17.88</w:t>
            </w:r>
          </w:p>
        </w:tc>
      </w:tr>
      <w:tr>
        <w:trPr>
          <w:trHeight w:val="205"/>
        </w:trPr>
        <w:tc>
          <w:tcPr>
            <w:tcW w:w="7700" w:type="dxa"/>
            <w:vAlign w:val="bottom"/>
          </w:tcPr>
          <w:p>
            <w:pPr>
              <w:ind w:left="40"/>
              <w:spacing w:after="0"/>
              <w:rPr>
                <w:sz w:val="20"/>
                <w:szCs w:val="20"/>
                <w:color w:val="auto"/>
              </w:rPr>
            </w:pPr>
            <w:r>
              <w:rPr>
                <w:rFonts w:ascii="Arial" w:cs="Arial" w:eastAsia="Arial" w:hAnsi="Arial"/>
                <w:sz w:val="13"/>
                <w:szCs w:val="13"/>
                <w:color w:val="auto"/>
              </w:rPr>
              <w:t>Non-GAAP net income per share—diluted</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$22.84</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$16.32</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44"/>
        </w:trPr>
        <w:tc>
          <w:tcPr>
            <w:tcW w:w="7700" w:type="dxa"/>
            <w:vAlign w:val="bottom"/>
            <w:tcBorders>
              <w:bottom w:val="single" w:sz="8" w:color="ECEDED"/>
            </w:tcBorders>
            <w:shd w:val="clear" w:color="auto" w:fill="ECEDED"/>
          </w:tcPr>
          <w:p>
            <w:pPr>
              <w:ind w:left="40"/>
              <w:spacing w:after="0"/>
              <w:rPr>
                <w:sz w:val="20"/>
                <w:szCs w:val="20"/>
                <w:color w:val="auto"/>
              </w:rPr>
            </w:pPr>
            <w:r>
              <w:rPr>
                <w:rFonts w:ascii="Arial" w:cs="Arial" w:eastAsia="Arial" w:hAnsi="Arial"/>
                <w:sz w:val="13"/>
                <w:szCs w:val="13"/>
                <w:i w:val="1"/>
                <w:iCs w:val="1"/>
                <w:color w:val="auto"/>
              </w:rPr>
              <w:t>Shares used in calculating:</w:t>
            </w:r>
          </w:p>
        </w:tc>
        <w:tc>
          <w:tcPr>
            <w:tcW w:w="1520" w:type="dxa"/>
            <w:vAlign w:val="bottom"/>
            <w:tcBorders>
              <w:bottom w:val="single" w:sz="8" w:color="ECEDED"/>
            </w:tcBorders>
            <w:shd w:val="clear" w:color="auto" w:fill="ECEDED"/>
          </w:tcPr>
          <w:p>
            <w:pPr>
              <w:spacing w:after="0"/>
              <w:rPr>
                <w:sz w:val="24"/>
                <w:szCs w:val="24"/>
                <w:color w:val="auto"/>
              </w:rPr>
            </w:pPr>
          </w:p>
        </w:tc>
        <w:tc>
          <w:tcPr>
            <w:tcW w:w="1180" w:type="dxa"/>
            <w:vAlign w:val="bottom"/>
            <w:tcBorders>
              <w:bottom w:val="single" w:sz="8" w:color="ECEDED"/>
            </w:tcBorders>
            <w:shd w:val="clear" w:color="auto" w:fill="ECEDED"/>
          </w:tcPr>
          <w:p>
            <w:pPr>
              <w:spacing w:after="0"/>
              <w:rPr>
                <w:sz w:val="24"/>
                <w:szCs w:val="24"/>
                <w:color w:val="auto"/>
              </w:rPr>
            </w:pPr>
          </w:p>
        </w:tc>
      </w:tr>
      <w:tr>
        <w:trPr>
          <w:trHeight w:val="205"/>
        </w:trPr>
        <w:tc>
          <w:tcPr>
            <w:tcW w:w="7700" w:type="dxa"/>
            <w:vAlign w:val="bottom"/>
          </w:tcPr>
          <w:p>
            <w:pPr>
              <w:ind w:left="40"/>
              <w:spacing w:after="0"/>
              <w:rPr>
                <w:sz w:val="20"/>
                <w:szCs w:val="20"/>
                <w:color w:val="auto"/>
              </w:rPr>
            </w:pPr>
            <w:r>
              <w:rPr>
                <w:rFonts w:ascii="Arial" w:cs="Arial" w:eastAsia="Arial" w:hAnsi="Arial"/>
                <w:sz w:val="13"/>
                <w:szCs w:val="13"/>
                <w:color w:val="auto"/>
              </w:rPr>
              <w:t>Non-GAAP net income per share—basic</w:t>
            </w:r>
          </w:p>
        </w:tc>
        <w:tc>
          <w:tcPr>
            <w:tcW w:w="1520" w:type="dxa"/>
            <w:vAlign w:val="bottom"/>
          </w:tcPr>
          <w:p>
            <w:pPr>
              <w:jc w:val="right"/>
              <w:ind w:right="318"/>
              <w:spacing w:after="0"/>
              <w:rPr>
                <w:sz w:val="20"/>
                <w:szCs w:val="20"/>
                <w:color w:val="auto"/>
              </w:rPr>
            </w:pPr>
            <w:r>
              <w:rPr>
                <w:rFonts w:ascii="Arial" w:cs="Arial" w:eastAsia="Arial" w:hAnsi="Arial"/>
                <w:sz w:val="13"/>
                <w:szCs w:val="13"/>
                <w:color w:val="auto"/>
              </w:rPr>
              <w:t>107.9</w:t>
            </w:r>
          </w:p>
        </w:tc>
        <w:tc>
          <w:tcPr>
            <w:tcW w:w="1180" w:type="dxa"/>
            <w:vAlign w:val="bottom"/>
          </w:tcPr>
          <w:p>
            <w:pPr>
              <w:jc w:val="right"/>
              <w:ind w:right="258"/>
              <w:spacing w:after="0"/>
              <w:rPr>
                <w:sz w:val="20"/>
                <w:szCs w:val="20"/>
                <w:color w:val="auto"/>
              </w:rPr>
            </w:pPr>
            <w:r>
              <w:rPr>
                <w:rFonts w:ascii="Arial" w:cs="Arial" w:eastAsia="Arial" w:hAnsi="Arial"/>
                <w:sz w:val="13"/>
                <w:szCs w:val="13"/>
                <w:color w:val="auto"/>
              </w:rPr>
              <w:t>106.3</w:t>
            </w:r>
          </w:p>
        </w:tc>
      </w:tr>
      <w:tr>
        <w:trPr>
          <w:trHeight w:val="42"/>
        </w:trPr>
        <w:tc>
          <w:tcPr>
            <w:tcW w:w="7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7"/>
        </w:trPr>
        <w:tc>
          <w:tcPr>
            <w:tcW w:w="7700" w:type="dxa"/>
            <w:vAlign w:val="bottom"/>
            <w:tcBorders>
              <w:bottom w:val="single" w:sz="8" w:color="ECEDED"/>
            </w:tcBorders>
            <w:shd w:val="clear" w:color="auto" w:fill="ECEDED"/>
          </w:tcPr>
          <w:p>
            <w:pPr>
              <w:ind w:left="40"/>
              <w:spacing w:after="0"/>
              <w:rPr>
                <w:sz w:val="20"/>
                <w:szCs w:val="20"/>
                <w:color w:val="auto"/>
              </w:rPr>
            </w:pPr>
            <w:r>
              <w:rPr>
                <w:rFonts w:ascii="Arial" w:cs="Arial" w:eastAsia="Arial" w:hAnsi="Arial"/>
                <w:sz w:val="13"/>
                <w:szCs w:val="13"/>
                <w:color w:val="auto"/>
              </w:rPr>
              <w:t>Non-GAAP net income per share—diluted</w:t>
            </w:r>
          </w:p>
        </w:tc>
        <w:tc>
          <w:tcPr>
            <w:tcW w:w="1520" w:type="dxa"/>
            <w:vAlign w:val="bottom"/>
            <w:tcBorders>
              <w:bottom w:val="single" w:sz="8" w:color="ECEDED"/>
            </w:tcBorders>
            <w:shd w:val="clear" w:color="auto" w:fill="ECEDED"/>
          </w:tcPr>
          <w:p>
            <w:pPr>
              <w:jc w:val="right"/>
              <w:ind w:right="318"/>
              <w:spacing w:after="0"/>
              <w:rPr>
                <w:sz w:val="20"/>
                <w:szCs w:val="20"/>
                <w:color w:val="auto"/>
              </w:rPr>
            </w:pPr>
            <w:r>
              <w:rPr>
                <w:rFonts w:ascii="Arial" w:cs="Arial" w:eastAsia="Arial" w:hAnsi="Arial"/>
                <w:sz w:val="13"/>
                <w:szCs w:val="13"/>
                <w:color w:val="auto"/>
              </w:rPr>
              <w:t>114.8</w:t>
            </w:r>
          </w:p>
        </w:tc>
        <w:tc>
          <w:tcPr>
            <w:tcW w:w="1180" w:type="dxa"/>
            <w:vAlign w:val="bottom"/>
            <w:tcBorders>
              <w:bottom w:val="single" w:sz="8" w:color="ECEDED"/>
            </w:tcBorders>
            <w:shd w:val="clear" w:color="auto" w:fill="ECEDED"/>
          </w:tcPr>
          <w:p>
            <w:pPr>
              <w:jc w:val="right"/>
              <w:ind w:right="258"/>
              <w:spacing w:after="0"/>
              <w:rPr>
                <w:sz w:val="20"/>
                <w:szCs w:val="20"/>
                <w:color w:val="auto"/>
              </w:rPr>
            </w:pPr>
            <w:r>
              <w:rPr>
                <w:rFonts w:ascii="Arial" w:cs="Arial" w:eastAsia="Arial" w:hAnsi="Arial"/>
                <w:sz w:val="13"/>
                <w:szCs w:val="13"/>
                <w:color w:val="auto"/>
              </w:rPr>
              <w:t>116.5</w:t>
            </w:r>
          </w:p>
        </w:tc>
      </w:tr>
      <w:tr>
        <w:trPr>
          <w:trHeight w:val="20"/>
        </w:trPr>
        <w:tc>
          <w:tcPr>
            <w:tcW w:w="7700" w:type="dxa"/>
            <w:vAlign w:val="bottom"/>
            <w:shd w:val="clear" w:color="auto" w:fill="205BA8"/>
          </w:tcPr>
          <w:p>
            <w:pPr>
              <w:spacing w:after="0" w:line="20" w:lineRule="exact"/>
              <w:rPr>
                <w:sz w:val="1"/>
                <w:szCs w:val="1"/>
                <w:color w:val="auto"/>
              </w:rPr>
            </w:pPr>
          </w:p>
        </w:tc>
        <w:tc>
          <w:tcPr>
            <w:tcW w:w="1520" w:type="dxa"/>
            <w:vAlign w:val="bottom"/>
            <w:shd w:val="clear" w:color="auto" w:fill="205BA8"/>
          </w:tcPr>
          <w:p>
            <w:pPr>
              <w:spacing w:after="0" w:line="20" w:lineRule="exact"/>
              <w:rPr>
                <w:sz w:val="1"/>
                <w:szCs w:val="1"/>
                <w:color w:val="auto"/>
              </w:rPr>
            </w:pPr>
          </w:p>
        </w:tc>
        <w:tc>
          <w:tcPr>
            <w:tcW w:w="1180" w:type="dxa"/>
            <w:vAlign w:val="bottom"/>
            <w:shd w:val="clear" w:color="auto" w:fill="205BA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156845</wp:posOffset>
            </wp:positionV>
            <wp:extent cx="66001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600190" cy="8255"/>
                    </a:xfrm>
                    <a:prstGeom prst="rect">
                      <a:avLst/>
                    </a:prstGeom>
                    <a:noFill/>
                  </pic:spPr>
                </pic:pic>
              </a:graphicData>
            </a:graphic>
          </wp:anchor>
        </w:drawing>
      </w:r>
    </w:p>
    <w:p>
      <w:pPr>
        <w:spacing w:after="0" w:line="296" w:lineRule="exact"/>
        <w:rPr>
          <w:sz w:val="20"/>
          <w:szCs w:val="20"/>
          <w:color w:val="auto"/>
        </w:rPr>
      </w:pPr>
    </w:p>
    <w:p>
      <w:pPr>
        <w:jc w:val="both"/>
        <w:ind w:left="720" w:right="620" w:hanging="203"/>
        <w:spacing w:after="0" w:line="237" w:lineRule="auto"/>
        <w:tabs>
          <w:tab w:leader="none" w:pos="720" w:val="left"/>
        </w:tabs>
        <w:numPr>
          <w:ilvl w:val="0"/>
          <w:numId w:val="138"/>
        </w:numPr>
        <w:rPr>
          <w:rFonts w:ascii="Arial" w:cs="Arial" w:eastAsia="Arial" w:hAnsi="Arial"/>
          <w:sz w:val="14"/>
          <w:szCs w:val="14"/>
          <w:b w:val="1"/>
          <w:bCs w:val="1"/>
          <w:color w:val="205BA8"/>
        </w:rPr>
      </w:pPr>
      <w:r>
        <w:rPr>
          <w:rFonts w:ascii="Arial" w:cs="Arial" w:eastAsia="Arial" w:hAnsi="Arial"/>
          <w:sz w:val="14"/>
          <w:szCs w:val="14"/>
          <w:color w:val="auto"/>
        </w:rPr>
        <w:t>Prior to the quarter ended March 31, 2018, unrealized gains and losses on equity securities were recorded in Other comprehensive income (loss). In connection with the adoption of Accounting Standards Update 2016-01, unrealized gains and losses on equity securities during the year ended December 31, 2018 were recorded in Other income (expense), net.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ind w:left="520"/>
              <w:spacing w:after="0"/>
              <w:rPr>
                <w:sz w:val="20"/>
                <w:szCs w:val="20"/>
                <w:color w:val="auto"/>
              </w:rPr>
            </w:pPr>
            <w:r>
              <w:rPr>
                <w:rFonts w:ascii="Arial" w:cs="Arial" w:eastAsia="Arial" w:hAnsi="Arial"/>
                <w:sz w:val="12"/>
                <w:szCs w:val="12"/>
                <w:b w:val="1"/>
                <w:bCs w:val="1"/>
                <w:color w:val="205BA8"/>
              </w:rPr>
              <w:t>2019 PROXY STATEMENT AND NOTICE OF ANNUAL SHAREHOLDER MEETING</w:t>
            </w:r>
          </w:p>
        </w:tc>
        <w:tc>
          <w:tcPr>
            <w:tcW w:w="3580" w:type="dxa"/>
            <w:vAlign w:val="bottom"/>
          </w:tcPr>
          <w:p>
            <w:pPr>
              <w:jc w:val="right"/>
              <w:ind w:right="431"/>
              <w:spacing w:after="0"/>
              <w:rPr>
                <w:sz w:val="20"/>
                <w:szCs w:val="20"/>
                <w:color w:val="auto"/>
              </w:rPr>
            </w:pPr>
            <w:r>
              <w:rPr>
                <w:rFonts w:ascii="Arial" w:cs="Arial" w:eastAsia="Arial" w:hAnsi="Arial"/>
                <w:sz w:val="14"/>
                <w:szCs w:val="14"/>
                <w:color w:val="205BA8"/>
              </w:rPr>
              <w:t xml:space="preserve">/  </w:t>
            </w:r>
            <w:r>
              <w:rPr>
                <w:rFonts w:ascii="Arial" w:cs="Arial" w:eastAsia="Arial" w:hAnsi="Arial"/>
                <w:sz w:val="14"/>
                <w:szCs w:val="14"/>
                <w:b w:val="1"/>
                <w:bCs w:val="1"/>
                <w:color w:val="205BA8"/>
              </w:rPr>
              <w:t>95</w:t>
            </w:r>
          </w:p>
        </w:tc>
      </w:tr>
      <w:tr>
        <w:trPr>
          <w:trHeight w:val="252"/>
        </w:trPr>
        <w:tc>
          <w:tcPr>
            <w:tcW w:w="78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-280035</wp:posOffset>
            </wp:positionV>
            <wp:extent cx="717550" cy="825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550" cy="8255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262255</wp:posOffset>
            </wp:positionV>
            <wp:extent cx="6600190" cy="87452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6600190" cy="874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FFFFFF"/>
        </w:rPr>
        <w:t>2019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419735</wp:posOffset>
            </wp:positionV>
            <wp:extent cx="7251700" cy="330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262255</wp:posOffset>
            </wp:positionV>
            <wp:extent cx="7251700" cy="93389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1700" cy="9338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REGENERON PHARMACEUTICALS, INC.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777 OLD SAW MILL RIVER ROAD</w:t>
      </w:r>
    </w:p>
    <w:p>
      <w:pPr>
        <w:spacing w:after="0" w:line="237" w:lineRule="auto"/>
        <w:rPr>
          <w:sz w:val="20"/>
          <w:szCs w:val="20"/>
          <w:color w:val="auto"/>
        </w:rPr>
      </w:pPr>
      <w:r>
        <w:rPr>
          <w:rFonts w:ascii="Arial" w:cs="Arial" w:eastAsia="Arial" w:hAnsi="Arial"/>
          <w:sz w:val="16"/>
          <w:szCs w:val="16"/>
          <w:b w:val="1"/>
          <w:bCs w:val="1"/>
          <w:i w:val="1"/>
          <w:iCs w:val="1"/>
          <w:color w:val="auto"/>
        </w:rPr>
        <w:t>TARRYTOWN, NY 10591-6707</w:t>
      </w:r>
    </w:p>
    <w:p>
      <w:pPr>
        <w:spacing w:after="0"/>
        <w:rPr>
          <w:sz w:val="20"/>
          <w:szCs w:val="20"/>
          <w:color w:val="auto"/>
        </w:rPr>
      </w:pPr>
      <w:r>
        <w:rPr>
          <w:rFonts w:ascii="Arial" w:cs="Arial" w:eastAsia="Arial" w:hAnsi="Arial"/>
          <w:sz w:val="16"/>
          <w:szCs w:val="16"/>
          <w:b w:val="1"/>
          <w:bCs w:val="1"/>
          <w:i w:val="1"/>
          <w:iCs w:val="1"/>
          <w:color w:val="auto"/>
        </w:rPr>
        <w:t>ATTN: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2"/>
          <w:szCs w:val="12"/>
          <w:b w:val="1"/>
          <w:bCs w:val="1"/>
          <w:color w:val="auto"/>
        </w:rPr>
        <w:t>-</w:t>
      </w:r>
      <w:r>
        <w:rPr>
          <w:rFonts w:ascii="Arial" w:cs="Arial" w:eastAsia="Arial" w:hAnsi="Arial"/>
          <w:sz w:val="14"/>
          <w:szCs w:val="14"/>
          <w:b w:val="1"/>
          <w:bCs w:val="1"/>
          <w:color w:val="auto"/>
        </w:rPr>
        <w:t xml:space="preserve"> </w:t>
      </w:r>
      <w:r>
        <w:rPr>
          <w:rFonts w:ascii="Arial" w:cs="Arial" w:eastAsia="Arial" w:hAnsi="Arial"/>
          <w:sz w:val="12"/>
          <w:szCs w:val="12"/>
          <w:b w:val="1"/>
          <w:bCs w:val="1"/>
          <w:u w:val="single" w:color="auto"/>
          <w:color w:val="auto"/>
        </w:rPr>
        <w:t>www.proxyvote.com</w:t>
      </w:r>
    </w:p>
    <w:p>
      <w:pPr>
        <w:spacing w:after="0" w:line="1" w:lineRule="exact"/>
        <w:rPr>
          <w:sz w:val="20"/>
          <w:szCs w:val="20"/>
          <w:color w:val="auto"/>
        </w:rPr>
      </w:pPr>
    </w:p>
    <w:p>
      <w:pPr>
        <w:jc w:val="both"/>
        <w:ind w:right="40"/>
        <w:spacing w:after="0" w:line="232"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 w:lineRule="exact"/>
        <w:rPr>
          <w:sz w:val="20"/>
          <w:szCs w:val="20"/>
          <w:color w:val="auto"/>
        </w:rPr>
      </w:pPr>
    </w:p>
    <w:p>
      <w:pPr>
        <w:jc w:val="both"/>
        <w:ind w:right="40"/>
        <w:spacing w:after="0" w:line="23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0" w:lineRule="exact"/>
        <w:rPr>
          <w:sz w:val="20"/>
          <w:szCs w:val="20"/>
          <w:color w:val="auto"/>
        </w:rPr>
      </w:pPr>
    </w:p>
    <w:p>
      <w:pPr>
        <w:sectPr>
          <w:pgSz w:w="11900" w:h="16838" w:orient="portrait"/>
          <w:cols w:equalWidth="0" w:num="2">
            <w:col w:w="5340" w:space="720"/>
            <w:col w:w="5400"/>
          </w:cols>
          <w:pgMar w:left="240" w:top="401" w:right="199" w:bottom="1440" w:gutter="0" w:footer="0" w:header="0"/>
        </w:sectPr>
      </w:pPr>
    </w:p>
    <w:p>
      <w:pPr>
        <w:ind w:left="6060"/>
        <w:spacing w:after="0"/>
        <w:rPr>
          <w:sz w:val="20"/>
          <w:szCs w:val="20"/>
          <w:color w:val="auto"/>
        </w:rPr>
      </w:pPr>
      <w:r>
        <w:rPr>
          <w:rFonts w:ascii="Arial" w:cs="Arial" w:eastAsia="Arial" w:hAnsi="Arial"/>
          <w:sz w:val="14"/>
          <w:szCs w:val="14"/>
          <w:b w:val="1"/>
          <w:bCs w:val="1"/>
          <w:color w:val="auto"/>
        </w:rPr>
        <w:t>VOTE BY PHONE - 1-800-690-6903</w:t>
      </w:r>
    </w:p>
    <w:p>
      <w:pPr>
        <w:ind w:left="6060"/>
        <w:spacing w:after="0" w:line="226" w:lineRule="auto"/>
        <w:rPr>
          <w:sz w:val="20"/>
          <w:szCs w:val="20"/>
          <w:color w:val="auto"/>
        </w:rPr>
      </w:pPr>
      <w:r>
        <w:rPr>
          <w:rFonts w:ascii="Arial" w:cs="Arial" w:eastAsia="Arial" w:hAnsi="Arial"/>
          <w:sz w:val="12"/>
          <w:szCs w:val="12"/>
          <w:color w:val="auto"/>
        </w:rPr>
        <w:t>Use any touch-tone telephone to transmit your voting instructions up until 11:59 p.m. Eastern Time</w:t>
      </w:r>
    </w:p>
    <w:p>
      <w:pPr>
        <w:ind w:left="6060"/>
        <w:spacing w:after="0" w:line="226" w:lineRule="auto"/>
        <w:rPr>
          <w:sz w:val="20"/>
          <w:szCs w:val="20"/>
          <w:color w:val="auto"/>
        </w:rPr>
      </w:pPr>
      <w:r>
        <w:rPr>
          <w:rFonts w:ascii="Arial" w:cs="Arial" w:eastAsia="Arial" w:hAnsi="Arial"/>
          <w:sz w:val="12"/>
          <w:szCs w:val="12"/>
          <w:color w:val="auto"/>
        </w:rPr>
        <w:t>the day before the cut-off date or meeting date. Have your proxy card in hand when you call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2"/>
          <w:szCs w:val="12"/>
          <w:color w:val="auto"/>
        </w:rPr>
        <w:t>then follow the instructions.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VOTE BY MAIL</w:t>
      </w:r>
    </w:p>
    <w:p>
      <w:pPr>
        <w:ind w:left="6060"/>
        <w:spacing w:after="0" w:line="226" w:lineRule="auto"/>
        <w:rPr>
          <w:sz w:val="20"/>
          <w:szCs w:val="20"/>
          <w:color w:val="auto"/>
        </w:rPr>
      </w:pPr>
      <w:r>
        <w:rPr>
          <w:rFonts w:ascii="Arial" w:cs="Arial" w:eastAsia="Arial" w:hAnsi="Arial"/>
          <w:sz w:val="12"/>
          <w:szCs w:val="12"/>
          <w:color w:val="auto"/>
        </w:rPr>
        <w:t>Mark, sign and date your proxy card and return it in the postage-paid envelope we have provided or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2"/>
          <w:szCs w:val="12"/>
          <w:color w:val="auto"/>
        </w:rPr>
        <w:t>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4280" w:type="dxa"/>
            <w:vAlign w:val="bottom"/>
            <w:gridSpan w:val="4"/>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vMerge w:val="restart"/>
          </w:tcPr>
          <w:p>
            <w:pPr>
              <w:ind w:left="860"/>
              <w:spacing w:after="0"/>
              <w:rPr>
                <w:sz w:val="20"/>
                <w:szCs w:val="20"/>
                <w:color w:val="auto"/>
              </w:rPr>
            </w:pPr>
            <w:r>
              <w:rPr>
                <w:rFonts w:ascii="Arial" w:cs="Arial" w:eastAsia="Arial" w:hAnsi="Arial"/>
                <w:sz w:val="12"/>
                <w:szCs w:val="12"/>
                <w:color w:val="auto"/>
              </w:rPr>
              <w:t>E77442-P18686-Z74321</w:t>
            </w:r>
          </w:p>
        </w:tc>
        <w:tc>
          <w:tcPr>
            <w:tcW w:w="3120" w:type="dxa"/>
            <w:vAlign w:val="bottom"/>
            <w:gridSpan w:val="7"/>
            <w:vMerge w:val="restart"/>
          </w:tcPr>
          <w:p>
            <w:pPr>
              <w:jc w:val="right"/>
              <w:ind w:right="40"/>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gridSpan w:val="2"/>
            <w:vMerge w:val="continue"/>
          </w:tcPr>
          <w:p>
            <w:pPr>
              <w:spacing w:after="0"/>
              <w:rPr>
                <w:sz w:val="11"/>
                <w:szCs w:val="11"/>
                <w:color w:val="auto"/>
              </w:rPr>
            </w:pPr>
          </w:p>
        </w:tc>
        <w:tc>
          <w:tcPr>
            <w:tcW w:w="31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10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20" w:type="dxa"/>
            <w:vAlign w:val="bottom"/>
            <w:gridSpan w:val="7"/>
          </w:tcPr>
          <w:p>
            <w:pPr>
              <w:jc w:val="right"/>
              <w:ind w:right="40"/>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100" w:type="dxa"/>
            <w:vAlign w:val="bottom"/>
            <w:gridSpan w:val="6"/>
            <w:vMerge w:val="continue"/>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0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24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REGENERON PHARMACEUTICALS, INC.</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300" w:type="dxa"/>
            <w:vAlign w:val="bottom"/>
            <w:tcBorders>
              <w:left w:val="single" w:sz="8" w:color="auto"/>
            </w:tcBorders>
            <w:vMerge w:val="restart"/>
          </w:tcPr>
          <w:p>
            <w:pPr>
              <w:spacing w:after="0"/>
              <w:rPr>
                <w:sz w:val="7"/>
                <w:szCs w:val="7"/>
                <w:color w:val="auto"/>
              </w:rPr>
            </w:pPr>
          </w:p>
        </w:tc>
        <w:tc>
          <w:tcPr>
            <w:tcW w:w="39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The Board of Directors recommends you vote FOR the following</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00" w:type="dxa"/>
            <w:vAlign w:val="bottom"/>
            <w:tcBorders>
              <w:left w:val="single" w:sz="8" w:color="auto"/>
            </w:tcBorders>
            <w:vMerge w:val="continue"/>
          </w:tcPr>
          <w:p>
            <w:pPr>
              <w:spacing w:after="0"/>
              <w:rPr>
                <w:sz w:val="8"/>
                <w:szCs w:val="8"/>
                <w:color w:val="auto"/>
              </w:rPr>
            </w:pPr>
          </w:p>
        </w:tc>
        <w:tc>
          <w:tcPr>
            <w:tcW w:w="398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00" w:type="dxa"/>
            <w:vAlign w:val="bottom"/>
            <w:tcBorders>
              <w:left w:val="single" w:sz="8" w:color="auto"/>
            </w:tcBorders>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2"/>
                <w:szCs w:val="12"/>
                <w:b w:val="1"/>
                <w:bCs w:val="1"/>
                <w:color w:val="auto"/>
              </w:rPr>
              <w:t>proposals:</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auto"/>
            </w:tcBorders>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2"/>
                <w:szCs w:val="12"/>
                <w:color w:val="auto"/>
              </w:rPr>
              <w:t>1.    Election of Directors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3100" w:type="dxa"/>
            <w:vAlign w:val="bottom"/>
            <w:gridSpan w:val="2"/>
          </w:tcPr>
          <w:p>
            <w:pPr>
              <w:jc w:val="center"/>
              <w:ind w:right="2479"/>
              <w:spacing w:after="0"/>
              <w:rPr>
                <w:sz w:val="20"/>
                <w:szCs w:val="20"/>
                <w:color w:val="auto"/>
              </w:rPr>
            </w:pPr>
            <w:r>
              <w:rPr>
                <w:rFonts w:ascii="Arial" w:cs="Arial" w:eastAsia="Arial" w:hAnsi="Arial"/>
                <w:sz w:val="12"/>
                <w:szCs w:val="12"/>
                <w:b w:val="1"/>
                <w:bCs w:val="1"/>
                <w:color w:val="auto"/>
                <w:w w:val="99"/>
              </w:rPr>
              <w:t>Abstain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tcPr>
          <w:p>
            <w:pPr>
              <w:spacing w:after="0"/>
              <w:rPr>
                <w:sz w:val="12"/>
                <w:szCs w:val="12"/>
                <w:color w:val="auto"/>
              </w:rPr>
            </w:pPr>
          </w:p>
        </w:tc>
        <w:tc>
          <w:tcPr>
            <w:tcW w:w="2940" w:type="dxa"/>
            <w:vAlign w:val="bottom"/>
          </w:tcPr>
          <w:p>
            <w:pPr>
              <w:ind w:left="420"/>
              <w:spacing w:after="0"/>
              <w:rPr>
                <w:sz w:val="20"/>
                <w:szCs w:val="20"/>
                <w:color w:val="auto"/>
              </w:rPr>
            </w:pPr>
            <w:r>
              <w:rPr>
                <w:rFonts w:ascii="Arial" w:cs="Arial" w:eastAsia="Arial" w:hAnsi="Arial"/>
                <w:sz w:val="12"/>
                <w:szCs w:val="12"/>
                <w:b w:val="1"/>
                <w:bCs w:val="1"/>
                <w:color w:val="auto"/>
              </w:rPr>
              <w:t>Nominees: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3100" w:type="dxa"/>
            <w:vAlign w:val="bottom"/>
            <w:gridSpan w:val="2"/>
            <w:vMerge w:val="restart"/>
          </w:tcPr>
          <w:p>
            <w:pPr>
              <w:jc w:val="center"/>
              <w:ind w:right="2499"/>
              <w:spacing w:after="0"/>
              <w:rPr>
                <w:sz w:val="20"/>
                <w:szCs w:val="20"/>
                <w:color w:val="auto"/>
              </w:rPr>
            </w:pPr>
            <w:r>
              <w:rPr>
                <w:rFonts w:ascii="Arial" w:cs="Arial" w:eastAsia="Arial" w:hAnsi="Arial"/>
                <w:sz w:val="12"/>
                <w:szCs w:val="12"/>
                <w:color w:val="auto"/>
                <w:w w:val="89"/>
              </w:rPr>
              <w:t>o</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00" w:type="dxa"/>
            <w:vAlign w:val="bottom"/>
            <w:tcBorders>
              <w:left w:val="single" w:sz="8" w:color="auto"/>
            </w:tcBorders>
          </w:tcPr>
          <w:p>
            <w:pPr>
              <w:spacing w:after="0"/>
              <w:rPr>
                <w:sz w:val="19"/>
                <w:szCs w:val="19"/>
                <w:color w:val="auto"/>
              </w:rPr>
            </w:pPr>
          </w:p>
        </w:tc>
        <w:tc>
          <w:tcPr>
            <w:tcW w:w="2940" w:type="dxa"/>
            <w:vAlign w:val="bottom"/>
          </w:tcPr>
          <w:p>
            <w:pPr>
              <w:ind w:left="420"/>
              <w:spacing w:after="0"/>
              <w:rPr>
                <w:sz w:val="20"/>
                <w:szCs w:val="20"/>
                <w:color w:val="auto"/>
              </w:rPr>
            </w:pPr>
            <w:r>
              <w:rPr>
                <w:rFonts w:ascii="Arial" w:cs="Arial" w:eastAsia="Arial" w:hAnsi="Arial"/>
                <w:sz w:val="12"/>
                <w:szCs w:val="12"/>
                <w:color w:val="auto"/>
              </w:rPr>
              <w:t>1a.   Bonnie L. Bassler, Ph.D.</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auto"/>
            </w:tcBorders>
          </w:tcPr>
          <w:p>
            <w:pPr>
              <w:spacing w:after="0"/>
              <w:rPr>
                <w:sz w:val="22"/>
                <w:szCs w:val="22"/>
                <w:color w:val="auto"/>
              </w:rPr>
            </w:pPr>
          </w:p>
        </w:tc>
        <w:tc>
          <w:tcPr>
            <w:tcW w:w="2940" w:type="dxa"/>
            <w:vAlign w:val="bottom"/>
          </w:tcPr>
          <w:p>
            <w:pPr>
              <w:ind w:left="420"/>
              <w:spacing w:after="0"/>
              <w:rPr>
                <w:sz w:val="20"/>
                <w:szCs w:val="20"/>
                <w:color w:val="auto"/>
              </w:rPr>
            </w:pPr>
            <w:r>
              <w:rPr>
                <w:rFonts w:ascii="Arial" w:cs="Arial" w:eastAsia="Arial" w:hAnsi="Arial"/>
                <w:sz w:val="12"/>
                <w:szCs w:val="12"/>
                <w:color w:val="auto"/>
              </w:rPr>
              <w:t>1b.   Michael S. Brown, M.D.</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100" w:type="dxa"/>
            <w:vAlign w:val="bottom"/>
            <w:gridSpan w:val="2"/>
          </w:tcPr>
          <w:p>
            <w:pPr>
              <w:jc w:val="center"/>
              <w:ind w:right="2499"/>
              <w:spacing w:after="0"/>
              <w:rPr>
                <w:sz w:val="20"/>
                <w:szCs w:val="20"/>
                <w:color w:val="auto"/>
              </w:rPr>
            </w:pPr>
            <w:r>
              <w:rPr>
                <w:rFonts w:ascii="Arial" w:cs="Arial" w:eastAsia="Arial" w:hAnsi="Arial"/>
                <w:sz w:val="12"/>
                <w:szCs w:val="12"/>
                <w:color w:val="auto"/>
                <w:w w:val="89"/>
              </w:rPr>
              <w:t>o</w:t>
            </w: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auto"/>
            </w:tcBorders>
          </w:tcPr>
          <w:p>
            <w:pPr>
              <w:spacing w:after="0"/>
              <w:rPr>
                <w:sz w:val="22"/>
                <w:szCs w:val="22"/>
                <w:color w:val="auto"/>
              </w:rPr>
            </w:pPr>
          </w:p>
        </w:tc>
        <w:tc>
          <w:tcPr>
            <w:tcW w:w="2940" w:type="dxa"/>
            <w:vAlign w:val="bottom"/>
          </w:tcPr>
          <w:p>
            <w:pPr>
              <w:ind w:left="420"/>
              <w:spacing w:after="0"/>
              <w:rPr>
                <w:sz w:val="20"/>
                <w:szCs w:val="20"/>
                <w:color w:val="auto"/>
              </w:rPr>
            </w:pPr>
            <w:r>
              <w:rPr>
                <w:rFonts w:ascii="Arial" w:cs="Arial" w:eastAsia="Arial" w:hAnsi="Arial"/>
                <w:sz w:val="12"/>
                <w:szCs w:val="12"/>
                <w:color w:val="auto"/>
              </w:rPr>
              <w:t>1c.   Leonard S. Schleifer, M.D., Ph.D.</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100" w:type="dxa"/>
            <w:vAlign w:val="bottom"/>
            <w:gridSpan w:val="2"/>
          </w:tcPr>
          <w:p>
            <w:pPr>
              <w:jc w:val="center"/>
              <w:ind w:right="2499"/>
              <w:spacing w:after="0"/>
              <w:rPr>
                <w:sz w:val="20"/>
                <w:szCs w:val="20"/>
                <w:color w:val="auto"/>
              </w:rPr>
            </w:pPr>
            <w:r>
              <w:rPr>
                <w:rFonts w:ascii="Arial" w:cs="Arial" w:eastAsia="Arial" w:hAnsi="Arial"/>
                <w:sz w:val="12"/>
                <w:szCs w:val="12"/>
                <w:color w:val="auto"/>
                <w:w w:val="89"/>
              </w:rPr>
              <w:t>o</w:t>
            </w: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auto"/>
            </w:tcBorders>
          </w:tcPr>
          <w:p>
            <w:pPr>
              <w:spacing w:after="0"/>
              <w:rPr>
                <w:sz w:val="22"/>
                <w:szCs w:val="22"/>
                <w:color w:val="auto"/>
              </w:rPr>
            </w:pPr>
          </w:p>
        </w:tc>
        <w:tc>
          <w:tcPr>
            <w:tcW w:w="2940" w:type="dxa"/>
            <w:vAlign w:val="bottom"/>
          </w:tcPr>
          <w:p>
            <w:pPr>
              <w:ind w:left="420"/>
              <w:spacing w:after="0"/>
              <w:rPr>
                <w:sz w:val="20"/>
                <w:szCs w:val="20"/>
                <w:color w:val="auto"/>
              </w:rPr>
            </w:pPr>
            <w:r>
              <w:rPr>
                <w:rFonts w:ascii="Arial" w:cs="Arial" w:eastAsia="Arial" w:hAnsi="Arial"/>
                <w:sz w:val="12"/>
                <w:szCs w:val="12"/>
                <w:color w:val="auto"/>
              </w:rPr>
              <w:t>1d.   George D. Yancopoulos, M.D., Ph.D.</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100" w:type="dxa"/>
            <w:vAlign w:val="bottom"/>
            <w:gridSpan w:val="2"/>
          </w:tcPr>
          <w:p>
            <w:pPr>
              <w:jc w:val="center"/>
              <w:ind w:right="2499"/>
              <w:spacing w:after="0"/>
              <w:rPr>
                <w:sz w:val="20"/>
                <w:szCs w:val="20"/>
                <w:color w:val="auto"/>
              </w:rPr>
            </w:pPr>
            <w:r>
              <w:rPr>
                <w:rFonts w:ascii="Arial" w:cs="Arial" w:eastAsia="Arial" w:hAnsi="Arial"/>
                <w:sz w:val="12"/>
                <w:szCs w:val="12"/>
                <w:color w:val="auto"/>
                <w:w w:val="89"/>
              </w:rPr>
              <w:t>o</w:t>
            </w: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auto"/>
            </w:tcBorders>
          </w:tcPr>
          <w:p>
            <w:pPr>
              <w:spacing w:after="0"/>
              <w:rPr>
                <w:sz w:val="22"/>
                <w:szCs w:val="22"/>
                <w:color w:val="auto"/>
              </w:rPr>
            </w:pPr>
          </w:p>
        </w:tc>
        <w:tc>
          <w:tcPr>
            <w:tcW w:w="2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jc w:val="center"/>
              <w:ind w:right="79"/>
              <w:spacing w:after="0"/>
              <w:rPr>
                <w:sz w:val="20"/>
                <w:szCs w:val="20"/>
                <w:color w:val="auto"/>
              </w:rPr>
            </w:pPr>
            <w:r>
              <w:rPr>
                <w:rFonts w:ascii="Arial" w:cs="Arial" w:eastAsia="Arial" w:hAnsi="Arial"/>
                <w:sz w:val="12"/>
                <w:szCs w:val="12"/>
                <w:b w:val="1"/>
                <w:bCs w:val="1"/>
                <w:color w:val="auto"/>
              </w:rPr>
              <w:t>For</w:t>
            </w:r>
          </w:p>
        </w:tc>
        <w:tc>
          <w:tcPr>
            <w:tcW w:w="540" w:type="dxa"/>
            <w:vAlign w:val="bottom"/>
          </w:tcPr>
          <w:p>
            <w:pPr>
              <w:jc w:val="center"/>
              <w:ind w:right="39"/>
              <w:spacing w:after="0"/>
              <w:rPr>
                <w:sz w:val="20"/>
                <w:szCs w:val="20"/>
                <w:color w:val="auto"/>
              </w:rPr>
            </w:pPr>
            <w:r>
              <w:rPr>
                <w:rFonts w:ascii="Arial" w:cs="Arial" w:eastAsia="Arial" w:hAnsi="Arial"/>
                <w:sz w:val="12"/>
                <w:szCs w:val="12"/>
                <w:b w:val="1"/>
                <w:bCs w:val="1"/>
                <w:color w:val="auto"/>
                <w:w w:val="99"/>
              </w:rPr>
              <w:t>Against</w:t>
            </w:r>
          </w:p>
        </w:tc>
        <w:tc>
          <w:tcPr>
            <w:tcW w:w="6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w w:val="99"/>
              </w:rPr>
              <w:t>Abstain</w:t>
            </w:r>
          </w:p>
        </w:tc>
        <w:tc>
          <w:tcPr>
            <w:tcW w:w="0" w:type="dxa"/>
            <w:vAlign w:val="bottom"/>
          </w:tcPr>
          <w:p>
            <w:pPr>
              <w:spacing w:after="0"/>
              <w:rPr>
                <w:sz w:val="1"/>
                <w:szCs w:val="1"/>
                <w:color w:val="auto"/>
              </w:rPr>
            </w:pPr>
          </w:p>
        </w:tc>
      </w:tr>
      <w:tr>
        <w:trPr>
          <w:trHeight w:val="244"/>
        </w:trPr>
        <w:tc>
          <w:tcPr>
            <w:tcW w:w="300" w:type="dxa"/>
            <w:vAlign w:val="bottom"/>
            <w:tcBorders>
              <w:left w:val="single" w:sz="8" w:color="auto"/>
            </w:tcBorders>
          </w:tcPr>
          <w:p>
            <w:pPr>
              <w:spacing w:after="0"/>
              <w:rPr>
                <w:sz w:val="21"/>
                <w:szCs w:val="21"/>
                <w:color w:val="auto"/>
              </w:rPr>
            </w:pPr>
          </w:p>
        </w:tc>
        <w:tc>
          <w:tcPr>
            <w:tcW w:w="9560" w:type="dxa"/>
            <w:vAlign w:val="bottom"/>
            <w:gridSpan w:val="9"/>
          </w:tcPr>
          <w:p>
            <w:pPr>
              <w:ind w:left="100"/>
              <w:spacing w:after="0"/>
              <w:rPr>
                <w:sz w:val="20"/>
                <w:szCs w:val="20"/>
                <w:color w:val="auto"/>
              </w:rPr>
            </w:pPr>
            <w:r>
              <w:rPr>
                <w:rFonts w:ascii="Arial" w:cs="Arial" w:eastAsia="Arial" w:hAnsi="Arial"/>
                <w:sz w:val="12"/>
                <w:szCs w:val="12"/>
                <w:color w:val="auto"/>
              </w:rPr>
              <w:t>2.    Ratification of the appointment of PricewaterhouseCoopers LLP as the Company’s independent registered public accounting firm for the fiscal year ending December</w:t>
            </w:r>
          </w:p>
        </w:tc>
        <w:tc>
          <w:tcPr>
            <w:tcW w:w="420" w:type="dxa"/>
            <w:vAlign w:val="bottom"/>
          </w:tcPr>
          <w:p>
            <w:pPr>
              <w:jc w:val="center"/>
              <w:ind w:right="99"/>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ind w:right="59"/>
              <w:spacing w:after="0"/>
              <w:rPr>
                <w:sz w:val="20"/>
                <w:szCs w:val="20"/>
                <w:color w:val="auto"/>
              </w:rPr>
            </w:pPr>
            <w:r>
              <w:rPr>
                <w:rFonts w:ascii="Arial" w:cs="Arial" w:eastAsia="Arial" w:hAnsi="Arial"/>
                <w:sz w:val="12"/>
                <w:szCs w:val="12"/>
                <w:color w:val="auto"/>
                <w:w w:val="89"/>
              </w:rPr>
              <w:t>o</w:t>
            </w:r>
          </w:p>
        </w:tc>
        <w:tc>
          <w:tcPr>
            <w:tcW w:w="640" w:type="dxa"/>
            <w:vAlign w:val="bottom"/>
            <w:tcBorders>
              <w:right w:val="single" w:sz="8" w:color="auto"/>
            </w:tcBorders>
            <w:gridSpan w:val="3"/>
          </w:tcPr>
          <w:p>
            <w:pPr>
              <w:jc w:val="right"/>
              <w:ind w:right="380"/>
              <w:spacing w:after="0"/>
              <w:rPr>
                <w:sz w:val="20"/>
                <w:szCs w:val="20"/>
                <w:color w:val="auto"/>
              </w:rPr>
            </w:pPr>
            <w:r>
              <w:rPr>
                <w:rFonts w:ascii="Arial" w:cs="Arial" w:eastAsia="Arial" w:hAnsi="Arial"/>
                <w:sz w:val="12"/>
                <w:szCs w:val="12"/>
                <w:color w:val="auto"/>
              </w:rPr>
              <w:t>o</w:t>
            </w:r>
          </w:p>
        </w:tc>
        <w:tc>
          <w:tcPr>
            <w:tcW w:w="0" w:type="dxa"/>
            <w:vAlign w:val="bottom"/>
          </w:tcPr>
          <w:p>
            <w:pPr>
              <w:spacing w:after="0"/>
              <w:rPr>
                <w:sz w:val="1"/>
                <w:szCs w:val="1"/>
                <w:color w:val="auto"/>
              </w:rPr>
            </w:pPr>
          </w:p>
        </w:tc>
      </w:tr>
      <w:tr>
        <w:trPr>
          <w:trHeight w:val="146"/>
        </w:trPr>
        <w:tc>
          <w:tcPr>
            <w:tcW w:w="3240" w:type="dxa"/>
            <w:vAlign w:val="bottom"/>
            <w:tcBorders>
              <w:left w:val="single" w:sz="8" w:color="auto"/>
            </w:tcBorders>
            <w:gridSpan w:val="2"/>
          </w:tcPr>
          <w:p>
            <w:pPr>
              <w:ind w:left="720"/>
              <w:spacing w:after="0"/>
              <w:rPr>
                <w:sz w:val="20"/>
                <w:szCs w:val="20"/>
                <w:color w:val="auto"/>
              </w:rPr>
            </w:pPr>
            <w:r>
              <w:rPr>
                <w:rFonts w:ascii="Arial" w:cs="Arial" w:eastAsia="Arial" w:hAnsi="Arial"/>
                <w:sz w:val="12"/>
                <w:szCs w:val="12"/>
                <w:color w:val="auto"/>
              </w:rPr>
              <w:t>31, 2019.</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0"/>
        </w:trPr>
        <w:tc>
          <w:tcPr>
            <w:tcW w:w="300" w:type="dxa"/>
            <w:vAlign w:val="bottom"/>
            <w:tcBorders>
              <w:left w:val="single" w:sz="8" w:color="auto"/>
            </w:tcBorders>
          </w:tcPr>
          <w:p>
            <w:pPr>
              <w:spacing w:after="0"/>
              <w:rPr>
                <w:sz w:val="24"/>
                <w:szCs w:val="24"/>
                <w:color w:val="auto"/>
              </w:rPr>
            </w:pPr>
          </w:p>
        </w:tc>
        <w:tc>
          <w:tcPr>
            <w:tcW w:w="8040" w:type="dxa"/>
            <w:vAlign w:val="bottom"/>
            <w:gridSpan w:val="7"/>
          </w:tcPr>
          <w:p>
            <w:pPr>
              <w:ind w:left="10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 meeting or any adjournment thereof.</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4"/>
        </w:trPr>
        <w:tc>
          <w:tcPr>
            <w:tcW w:w="300" w:type="dxa"/>
            <w:vAlign w:val="bottom"/>
            <w:tcBorders>
              <w:left w:val="single" w:sz="8" w:color="auto"/>
            </w:tcBorders>
          </w:tcPr>
          <w:p>
            <w:pPr>
              <w:spacing w:after="0"/>
              <w:rPr>
                <w:sz w:val="24"/>
                <w:szCs w:val="24"/>
                <w:color w:val="auto"/>
              </w:rPr>
            </w:pPr>
          </w:p>
        </w:tc>
        <w:tc>
          <w:tcPr>
            <w:tcW w:w="8040" w:type="dxa"/>
            <w:vAlign w:val="bottom"/>
            <w:gridSpan w:val="7"/>
          </w:tcPr>
          <w:p>
            <w:pPr>
              <w:ind w:left="100"/>
              <w:spacing w:after="0"/>
              <w:rPr>
                <w:sz w:val="20"/>
                <w:szCs w:val="20"/>
                <w:color w:val="auto"/>
              </w:rPr>
            </w:pPr>
            <w:r>
              <w:rPr>
                <w:rFonts w:ascii="Arial" w:cs="Arial" w:eastAsia="Arial" w:hAnsi="Arial"/>
                <w:sz w:val="12"/>
                <w:szCs w:val="12"/>
                <w:color w:val="auto"/>
              </w:rPr>
              <w:t>Please sign exactly as your name(s) appear(s) hereon. When signing as attorney, executor,</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00" w:type="dxa"/>
            <w:vAlign w:val="bottom"/>
            <w:tcBorders>
              <w:left w:val="single" w:sz="8" w:color="auto"/>
            </w:tcBorders>
          </w:tcPr>
          <w:p>
            <w:pPr>
              <w:spacing w:after="0"/>
              <w:rPr>
                <w:sz w:val="11"/>
                <w:szCs w:val="11"/>
                <w:color w:val="auto"/>
              </w:rPr>
            </w:pPr>
          </w:p>
        </w:tc>
        <w:tc>
          <w:tcPr>
            <w:tcW w:w="8040" w:type="dxa"/>
            <w:vAlign w:val="bottom"/>
            <w:gridSpan w:val="7"/>
          </w:tcPr>
          <w:p>
            <w:pPr>
              <w:ind w:left="100"/>
              <w:spacing w:after="0" w:line="130" w:lineRule="exact"/>
              <w:rPr>
                <w:sz w:val="20"/>
                <w:szCs w:val="20"/>
                <w:color w:val="auto"/>
              </w:rPr>
            </w:pPr>
            <w:r>
              <w:rPr>
                <w:rFonts w:ascii="Arial" w:cs="Arial" w:eastAsia="Arial" w:hAnsi="Arial"/>
                <w:sz w:val="12"/>
                <w:szCs w:val="12"/>
                <w:color w:val="auto"/>
              </w:rPr>
              <w:t>administrator, or other fiduciary, please give full title as such. Joint owners should each sign</w:t>
            </w: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 w:type="dxa"/>
            <w:vAlign w:val="bottom"/>
            <w:tcBorders>
              <w:left w:val="single" w:sz="8" w:color="auto"/>
            </w:tcBorders>
          </w:tcPr>
          <w:p>
            <w:pPr>
              <w:spacing w:after="0"/>
              <w:rPr>
                <w:sz w:val="11"/>
                <w:szCs w:val="11"/>
                <w:color w:val="auto"/>
              </w:rPr>
            </w:pPr>
          </w:p>
        </w:tc>
        <w:tc>
          <w:tcPr>
            <w:tcW w:w="8040" w:type="dxa"/>
            <w:vAlign w:val="bottom"/>
            <w:gridSpan w:val="7"/>
          </w:tcPr>
          <w:p>
            <w:pPr>
              <w:ind w:left="100"/>
              <w:spacing w:after="0" w:line="130" w:lineRule="exact"/>
              <w:rPr>
                <w:sz w:val="20"/>
                <w:szCs w:val="20"/>
                <w:color w:val="auto"/>
              </w:rPr>
            </w:pPr>
            <w:r>
              <w:rPr>
                <w:rFonts w:ascii="Arial" w:cs="Arial" w:eastAsia="Arial" w:hAnsi="Arial"/>
                <w:sz w:val="12"/>
                <w:szCs w:val="12"/>
                <w:color w:val="auto"/>
              </w:rPr>
              <w:t>personally. All holders must sign. If a corporation or partnership, please sign in full corporate or</w:t>
            </w: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0" w:type="dxa"/>
            <w:vAlign w:val="bottom"/>
            <w:tcBorders>
              <w:left w:val="single" w:sz="8" w:color="auto"/>
            </w:tcBorders>
          </w:tcPr>
          <w:p>
            <w:pPr>
              <w:spacing w:after="0"/>
              <w:rPr>
                <w:sz w:val="12"/>
                <w:szCs w:val="12"/>
                <w:color w:val="auto"/>
              </w:rPr>
            </w:pPr>
          </w:p>
        </w:tc>
        <w:tc>
          <w:tcPr>
            <w:tcW w:w="2940" w:type="dxa"/>
            <w:vAlign w:val="bottom"/>
          </w:tcPr>
          <w:p>
            <w:pPr>
              <w:ind w:left="100"/>
              <w:spacing w:after="0"/>
              <w:rPr>
                <w:sz w:val="20"/>
                <w:szCs w:val="20"/>
                <w:color w:val="auto"/>
              </w:rPr>
            </w:pPr>
            <w:r>
              <w:rPr>
                <w:rFonts w:ascii="Arial" w:cs="Arial" w:eastAsia="Arial" w:hAnsi="Arial"/>
                <w:sz w:val="12"/>
                <w:szCs w:val="12"/>
                <w:color w:val="auto"/>
              </w:rPr>
              <w:t>partnership name by authorized officer.</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00" w:type="dxa"/>
            <w:vAlign w:val="bottom"/>
            <w:tcBorders>
              <w:left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300" w:type="dxa"/>
            <w:vAlign w:val="bottom"/>
            <w:tcBorders>
              <w:left w:val="single" w:sz="8" w:color="auto"/>
              <w:right w:val="single" w:sz="8" w:color="auto"/>
            </w:tcBorders>
          </w:tcPr>
          <w:p>
            <w:pPr>
              <w:spacing w:after="0"/>
              <w:rPr>
                <w:sz w:val="24"/>
                <w:szCs w:val="24"/>
                <w:color w:val="auto"/>
              </w:rPr>
            </w:pPr>
          </w:p>
        </w:tc>
        <w:tc>
          <w:tcPr>
            <w:tcW w:w="2940" w:type="dxa"/>
            <w:vAlign w:val="bottom"/>
            <w:tcBorders>
              <w:top w:val="single" w:sz="8" w:color="auto"/>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0" w:type="dxa"/>
            <w:vAlign w:val="bottom"/>
            <w:tcBorders>
              <w:left w:val="single" w:sz="8" w:color="auto"/>
            </w:tcBorders>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680" w:type="dxa"/>
            <w:vAlign w:val="bottom"/>
          </w:tcPr>
          <w:p>
            <w:pPr>
              <w:spacing w:after="0"/>
              <w:rPr>
                <w:sz w:val="20"/>
                <w:szCs w:val="20"/>
                <w:color w:val="auto"/>
              </w:rPr>
            </w:pPr>
            <w:r>
              <w:rPr>
                <w:rFonts w:ascii="Arial" w:cs="Arial" w:eastAsia="Arial" w:hAnsi="Arial"/>
                <w:sz w:val="12"/>
                <w:szCs w:val="12"/>
                <w:color w:val="auto"/>
              </w:rPr>
              <w:t>Date</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tcPr>
          <w:p>
            <w:pPr>
              <w:spacing w:after="0"/>
              <w:rPr>
                <w:sz w:val="20"/>
                <w:szCs w:val="20"/>
                <w:color w:val="auto"/>
              </w:rPr>
            </w:pPr>
            <w:r>
              <w:rPr>
                <w:rFonts w:ascii="Arial" w:cs="Arial" w:eastAsia="Arial" w:hAnsi="Arial"/>
                <w:sz w:val="12"/>
                <w:szCs w:val="12"/>
                <w:color w:val="auto"/>
              </w:rPr>
              <w:t>Signature (Joint Owners)</w:t>
            </w:r>
          </w:p>
        </w:tc>
        <w:tc>
          <w:tcPr>
            <w:tcW w:w="12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w w:val="94"/>
              </w:rPr>
              <w:t>Date</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00" w:type="dxa"/>
            <w:vAlign w:val="bottom"/>
            <w:tcBorders>
              <w:left w:val="single" w:sz="8" w:color="auto"/>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0C0C0"/>
            </w:tcBorders>
          </w:tcPr>
          <w:p>
            <w:pPr>
              <w:spacing w:after="0"/>
              <w:rPr>
                <w:sz w:val="23"/>
                <w:szCs w:val="23"/>
                <w:color w:val="auto"/>
              </w:rPr>
            </w:pPr>
          </w:p>
        </w:tc>
        <w:tc>
          <w:tcPr>
            <w:tcW w:w="2940" w:type="dxa"/>
            <w:vAlign w:val="bottom"/>
            <w:tcBorders>
              <w:bottom w:val="single" w:sz="8" w:color="C0C0C0"/>
            </w:tcBorders>
          </w:tcPr>
          <w:p>
            <w:pPr>
              <w:spacing w:after="0"/>
              <w:rPr>
                <w:sz w:val="23"/>
                <w:szCs w:val="23"/>
                <w:color w:val="auto"/>
              </w:rPr>
            </w:pPr>
          </w:p>
        </w:tc>
        <w:tc>
          <w:tcPr>
            <w:tcW w:w="6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600" w:type="dxa"/>
            <w:vAlign w:val="bottom"/>
            <w:tcBorders>
              <w:bottom w:val="single" w:sz="8" w:color="C0C0C0"/>
            </w:tcBorders>
          </w:tcPr>
          <w:p>
            <w:pPr>
              <w:spacing w:after="0"/>
              <w:rPr>
                <w:sz w:val="23"/>
                <w:szCs w:val="23"/>
                <w:color w:val="auto"/>
              </w:rPr>
            </w:pPr>
          </w:p>
        </w:tc>
        <w:tc>
          <w:tcPr>
            <w:tcW w:w="1280" w:type="dxa"/>
            <w:vAlign w:val="bottom"/>
            <w:tcBorders>
              <w:bottom w:val="single" w:sz="8" w:color="C0C0C0"/>
            </w:tcBorders>
          </w:tcPr>
          <w:p>
            <w:pPr>
              <w:spacing w:after="0"/>
              <w:rPr>
                <w:sz w:val="23"/>
                <w:szCs w:val="23"/>
                <w:color w:val="auto"/>
              </w:rPr>
            </w:pPr>
          </w:p>
        </w:tc>
        <w:tc>
          <w:tcPr>
            <w:tcW w:w="1820" w:type="dxa"/>
            <w:vAlign w:val="bottom"/>
            <w:tcBorders>
              <w:bottom w:val="single" w:sz="8" w:color="C0C0C0"/>
            </w:tcBorders>
          </w:tcPr>
          <w:p>
            <w:pPr>
              <w:spacing w:after="0"/>
              <w:rPr>
                <w:sz w:val="23"/>
                <w:szCs w:val="23"/>
                <w:color w:val="auto"/>
              </w:rPr>
            </w:pPr>
          </w:p>
        </w:tc>
        <w:tc>
          <w:tcPr>
            <w:tcW w:w="126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tcBorders>
          </w:tcPr>
          <w:p>
            <w:pPr>
              <w:spacing w:after="0"/>
              <w:rPr>
                <w:sz w:val="23"/>
                <w:szCs w:val="23"/>
                <w:color w:val="auto"/>
              </w:rPr>
            </w:pPr>
          </w:p>
        </w:tc>
        <w:tc>
          <w:tcPr>
            <w:tcW w:w="540" w:type="dxa"/>
            <w:vAlign w:val="bottom"/>
            <w:tcBorders>
              <w:bottom w:val="single" w:sz="8" w:color="C0C0C0"/>
            </w:tcBorders>
          </w:tcPr>
          <w:p>
            <w:pPr>
              <w:spacing w:after="0"/>
              <w:rPr>
                <w:sz w:val="23"/>
                <w:szCs w:val="23"/>
                <w:color w:val="auto"/>
              </w:rPr>
            </w:pPr>
          </w:p>
        </w:tc>
        <w:tc>
          <w:tcPr>
            <w:tcW w:w="48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-3551555</wp:posOffset>
            </wp:positionV>
            <wp:extent cx="7277100" cy="419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7100" cy="41910"/>
                    </a:xfrm>
                    <a:prstGeom prst="rect">
                      <a:avLst/>
                    </a:prstGeom>
                    <a:noFill/>
                  </pic:spPr>
                </pic:pic>
              </a:graphicData>
            </a:graphic>
          </wp:anchor>
        </w:drawing>
      </w:r>
    </w:p>
    <w:p>
      <w:pPr>
        <w:sectPr>
          <w:pgSz w:w="11900" w:h="16838" w:orient="portrait"/>
          <w:cols w:equalWidth="0" w:num="1">
            <w:col w:w="11460"/>
          </w:cols>
          <w:pgMar w:left="240" w:top="401" w:right="199" w:bottom="144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1"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1262380</wp:posOffset>
            </wp:positionV>
            <wp:extent cx="7251700" cy="165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E77443-P18686-Z74321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41910</wp:posOffset>
            </wp:positionV>
            <wp:extent cx="7272655" cy="3585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2655" cy="358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40"/>
        <w:spacing w:after="0"/>
        <w:rPr>
          <w:sz w:val="20"/>
          <w:szCs w:val="20"/>
          <w:color w:val="auto"/>
        </w:rPr>
      </w:pPr>
      <w:r>
        <w:rPr>
          <w:rFonts w:ascii="Arial" w:cs="Arial" w:eastAsia="Arial" w:hAnsi="Arial"/>
          <w:sz w:val="21"/>
          <w:szCs w:val="21"/>
          <w:b w:val="1"/>
          <w:bCs w:val="1"/>
          <w:color w:val="auto"/>
        </w:rPr>
        <w:t>REGENERON PHARMACEUTICALS, INC.</w:t>
      </w:r>
    </w:p>
    <w:p>
      <w:pPr>
        <w:spacing w:after="0" w:line="11"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Annual Meeting of Shareholders</w:t>
      </w:r>
    </w:p>
    <w:p>
      <w:pPr>
        <w:ind w:left="4320"/>
        <w:spacing w:after="0" w:line="232" w:lineRule="auto"/>
        <w:rPr>
          <w:sz w:val="20"/>
          <w:szCs w:val="20"/>
          <w:color w:val="auto"/>
        </w:rPr>
      </w:pPr>
      <w:r>
        <w:rPr>
          <w:rFonts w:ascii="Arial" w:cs="Arial" w:eastAsia="Arial" w:hAnsi="Arial"/>
          <w:sz w:val="21"/>
          <w:szCs w:val="21"/>
          <w:b w:val="1"/>
          <w:bCs w:val="1"/>
          <w:color w:val="auto"/>
        </w:rPr>
        <w:t>June 14, 2019 10:30 AM</w:t>
      </w:r>
    </w:p>
    <w:p>
      <w:pPr>
        <w:ind w:left="3100"/>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154" w:lineRule="exact"/>
        <w:rPr>
          <w:sz w:val="20"/>
          <w:szCs w:val="20"/>
          <w:color w:val="auto"/>
        </w:rPr>
      </w:pPr>
    </w:p>
    <w:p>
      <w:pPr>
        <w:jc w:val="both"/>
        <w:ind w:right="220"/>
        <w:spacing w:after="0" w:line="242" w:lineRule="auto"/>
        <w:rPr>
          <w:sz w:val="20"/>
          <w:szCs w:val="20"/>
          <w:color w:val="auto"/>
        </w:rPr>
      </w:pPr>
      <w:r>
        <w:rPr>
          <w:rFonts w:ascii="Arial" w:cs="Arial" w:eastAsia="Arial" w:hAnsi="Arial"/>
          <w:sz w:val="17"/>
          <w:szCs w:val="17"/>
          <w:color w:val="auto"/>
        </w:rPr>
        <w:t>The undersigned hereby appoint(s) Leonard S. Schleifer, M.D., Ph.D. and Joseph J. LaRosa, and each of them individually, as lawful proxies, each with full power of substitution, to represent the undersigned, with all powers that the undersigned would possess if personally present, and to vote, as indicated on the reverse side of this card, all of the shares of Common Stock and Class A Stock of REGENERON PHARMACEUTICALS, INC. that the undersigned would be entitled to vote if personally present at the Annual Meeting of Shareholders of the Company to be held on June 14, 2019 or at any adjourned or postponed session thereof. This proxy revokes all prior proxies given by the undersigned.</w:t>
      </w:r>
    </w:p>
    <w:p>
      <w:pPr>
        <w:spacing w:after="0" w:line="160" w:lineRule="exact"/>
        <w:rPr>
          <w:sz w:val="20"/>
          <w:szCs w:val="20"/>
          <w:color w:val="auto"/>
        </w:rPr>
      </w:pPr>
    </w:p>
    <w:p>
      <w:pPr>
        <w:jc w:val="both"/>
        <w:ind w:right="200"/>
        <w:spacing w:after="0" w:line="247" w:lineRule="auto"/>
        <w:rPr>
          <w:sz w:val="20"/>
          <w:szCs w:val="20"/>
          <w:color w:val="auto"/>
        </w:rPr>
      </w:pPr>
      <w:r>
        <w:rPr>
          <w:rFonts w:ascii="Arial" w:cs="Arial" w:eastAsia="Arial" w:hAnsi="Arial"/>
          <w:sz w:val="17"/>
          <w:szCs w:val="17"/>
          <w:b w:val="1"/>
          <w:bCs w:val="1"/>
          <w:color w:val="auto"/>
        </w:rPr>
        <w:t>SHARES REPRESENTED BY THIS PROXY WILL BE VOTED AT THE MEETING AND AT ANY ADJOURNMENTS OR POSTPONEMENTS THEREOF IN ACCORDANCE WITH THE SHAREHOLDER’S SPECIFICATIONS ABOVE. IF YOU SIGN AND RETURN YOUR PROXY CARD IN A TIMELY MANNER, BUT DO NOT INDICATE HOW THESE SHARES ARE TO BE VOTED, THIS PROXY WILL BE VOTED FOR THE ELECTION OF THE NOMINEES NAMED ABOVE AS DIRECTORS AND FOR PROPOSAL 2. THIS PROXY ALSO CONFERS DISCRETIONARY AUTHORITY WITH RESPECT TO MATTERS NOT KNOWN OR DETERMINED AT THE TIME OF THE MAILING OF THE NOTICE OF THE ANNUAL MEETING OF SHAREHOLDERS TO THE UNDERSIGNED.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302895</wp:posOffset>
            </wp:positionV>
            <wp:extent cx="7251700" cy="330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1700" cy="33020"/>
                    </a:xfrm>
                    <a:prstGeom prst="rect">
                      <a:avLst/>
                    </a:prstGeom>
                    <a:noFill/>
                  </pic:spPr>
                </pic:pic>
              </a:graphicData>
            </a:graphic>
          </wp:anchor>
        </w:drawing>
      </w:r>
    </w:p>
    <w:sectPr>
      <w:pgSz w:w="11900" w:h="16838" w:orient="portrait"/>
      <w:cols w:equalWidth="0" w:num="1">
        <w:col w:w="11160"/>
      </w:cols>
      <w:pgMar w:left="50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o"/>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o"/>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o"/>
      <w:numFmt w:val="bullet"/>
      <w:start w:val="1"/>
    </w:lvl>
    <w:lvl w:ilvl="1">
      <w:lvlJc w:val="left"/>
      <w:lvlText w:val="%2)"/>
      <w:numFmt w:val="decimal"/>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1"/>
      <w:numFmt w:val="bullet"/>
      <w:start w:val="1"/>
    </w:lvl>
  </w:abstractNum>
  <w:abstractNum w:abstractNumId="7">
    <w:nsid w:val="1EBA5D23"/>
    <w:multiLevelType w:val="hybridMultilevel"/>
    <w:lvl w:ilvl="0">
      <w:lvlJc w:val="left"/>
      <w:lvlText w:val="2"/>
      <w:numFmt w:val="bullet"/>
      <w:start w:val="1"/>
    </w:lvl>
  </w:abstractNum>
  <w:abstractNum w:abstractNumId="8">
    <w:nsid w:val="661E3F1E"/>
    <w:multiLevelType w:val="hybridMultilevel"/>
    <w:lvl w:ilvl="0">
      <w:lvlJc w:val="left"/>
      <w:lvlText w:val="3"/>
      <w:numFmt w:val="bullet"/>
      <w:start w:val="1"/>
    </w:lvl>
  </w:abstractNum>
  <w:abstractNum w:abstractNumId="9">
    <w:nsid w:val="5DC79EA8"/>
    <w:multiLevelType w:val="hybridMultilevel"/>
    <w:lvl w:ilvl="0">
      <w:lvlJc w:val="left"/>
      <w:lvlText w:val="(%1)"/>
      <w:numFmt w:val="lowerRoman"/>
      <w:start w:val="3"/>
    </w:lvl>
  </w:abstractNum>
  <w:abstractNum w:abstractNumId="10">
    <w:nsid w:val="540A471C"/>
    <w:multiLevelType w:val="hybridMultilevel"/>
    <w:lvl w:ilvl="0">
      <w:lvlJc w:val="left"/>
      <w:lvlText w:val="1"/>
      <w:numFmt w:val="bullet"/>
      <w:start w:val="1"/>
    </w:lvl>
  </w:abstractNum>
  <w:abstractNum w:abstractNumId="11">
    <w:nsid w:val="7BD3EE7B"/>
    <w:multiLevelType w:val="hybridMultilevel"/>
    <w:lvl w:ilvl="0">
      <w:lvlJc w:val="left"/>
      <w:lvlText w:val="2"/>
      <w:numFmt w:val="bullet"/>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1"/>
      <w:numFmt w:val="bullet"/>
      <w:start w:val="1"/>
    </w:lvl>
  </w:abstractNum>
  <w:abstractNum w:abstractNumId="14">
    <w:nsid w:val="BF72B14"/>
    <w:multiLevelType w:val="hybridMultilevel"/>
    <w:lvl w:ilvl="0">
      <w:lvlJc w:val="left"/>
      <w:lvlText w:val="2"/>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1"/>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1)"/>
      <w:numFmt w:val="decimal"/>
      <w:start w:val="2"/>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emdash "/>
      <w:numFmt w:val="bullet"/>
      <w:start w:val="1"/>
    </w:lvl>
  </w:abstractNum>
  <w:abstractNum w:abstractNumId="33">
    <w:nsid w:val="94211F2"/>
    <w:multiLevelType w:val="hybridMultilevel"/>
    <w:lvl w:ilvl="0">
      <w:lvlJc w:val="left"/>
      <w:lvlText w:val="2"/>
      <w:numFmt w:val="bullet"/>
      <w:start w:val="1"/>
    </w:lvl>
  </w:abstractNum>
  <w:abstractNum w:abstractNumId="34">
    <w:nsid w:val="885E1B"/>
    <w:multiLevelType w:val="hybridMultilevel"/>
    <w:lvl w:ilvl="0">
      <w:lvlJc w:val="left"/>
      <w:lvlText w:val="1"/>
      <w:numFmt w:val="bullet"/>
      <w:start w:val="1"/>
    </w:lvl>
  </w:abstractNum>
  <w:abstractNum w:abstractNumId="35">
    <w:nsid w:val="76272110"/>
    <w:multiLevelType w:val="hybridMultilevel"/>
    <w:lvl w:ilvl="0">
      <w:lvlJc w:val="left"/>
      <w:lvlText w:val="2"/>
      <w:numFmt w:val="bullet"/>
      <w:start w:val="1"/>
    </w:lvl>
  </w:abstractNum>
  <w:abstractNum w:abstractNumId="36">
    <w:nsid w:val="4C04A8AF"/>
    <w:multiLevelType w:val="hybridMultilevel"/>
    <w:lvl w:ilvl="0">
      <w:lvlJc w:val="left"/>
      <w:lvlText w:val="3"/>
      <w:numFmt w:val="bullet"/>
      <w:start w:val="1"/>
    </w:lvl>
  </w:abstractNum>
  <w:abstractNum w:abstractNumId="37">
    <w:nsid w:val="1716703B"/>
    <w:multiLevelType w:val="hybridMultilevel"/>
    <w:lvl w:ilvl="0">
      <w:lvlJc w:val="left"/>
      <w:lvlText w:val="4"/>
      <w:numFmt w:val="bullet"/>
      <w:start w:val="1"/>
    </w:lvl>
  </w:abstractNum>
  <w:abstractNum w:abstractNumId="38">
    <w:nsid w:val="14E17E33"/>
    <w:multiLevelType w:val="hybridMultilevel"/>
    <w:lvl w:ilvl="0">
      <w:lvlJc w:val="left"/>
      <w:lvlText w:val="5"/>
      <w:numFmt w:val="bullet"/>
      <w:start w:val="1"/>
    </w:lvl>
  </w:abstractNum>
  <w:abstractNum w:abstractNumId="39">
    <w:nsid w:val="3222E7CD"/>
    <w:multiLevelType w:val="hybridMultilevel"/>
    <w:lvl w:ilvl="0">
      <w:lvlJc w:val="left"/>
      <w:lvlText w:val="6"/>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1"/>
      <w:numFmt w:val="bullet"/>
      <w:start w:val="1"/>
    </w:lvl>
  </w:abstractNum>
  <w:abstractNum w:abstractNumId="42">
    <w:nsid w:val="2DF6D648"/>
    <w:multiLevelType w:val="hybridMultilevel"/>
    <w:lvl w:ilvl="0">
      <w:lvlJc w:val="left"/>
      <w:lvlText w:val="1"/>
      <w:numFmt w:val="bullet"/>
      <w:start w:val="1"/>
    </w:lvl>
  </w:abstractNum>
  <w:abstractNum w:abstractNumId="43">
    <w:nsid w:val="46B7D447"/>
    <w:multiLevelType w:val="hybridMultilevel"/>
    <w:lvl w:ilvl="0">
      <w:lvlJc w:val="left"/>
      <w:lvlText w:val="(%1)"/>
      <w:numFmt w:val="lowerRoman"/>
      <w:start w:val="2"/>
    </w:lvl>
  </w:abstractNum>
  <w:abstractNum w:abstractNumId="44">
    <w:nsid w:val="4A2AC315"/>
    <w:multiLevelType w:val="hybridMultilevel"/>
    <w:lvl w:ilvl="0">
      <w:lvlJc w:val="left"/>
      <w:lvlText w:val="1"/>
      <w:numFmt w:val="bullet"/>
      <w:start w:val="1"/>
    </w:lvl>
  </w:abstractNum>
  <w:abstractNum w:abstractNumId="45">
    <w:nsid w:val="39EE015C"/>
    <w:multiLevelType w:val="hybridMultilevel"/>
    <w:lvl w:ilvl="0">
      <w:lvlJc w:val="left"/>
      <w:lvlText w:val="2"/>
      <w:numFmt w:val="bullet"/>
      <w:start w:val="1"/>
    </w:lvl>
  </w:abstractNum>
  <w:abstractNum w:abstractNumId="46">
    <w:nsid w:val="57FC4FBB"/>
    <w:multiLevelType w:val="hybridMultilevel"/>
    <w:lvl w:ilvl="0">
      <w:lvlJc w:val="left"/>
      <w:lvlText w:val="3"/>
      <w:numFmt w:val="bullet"/>
      <w:start w:val="1"/>
    </w:lvl>
  </w:abstractNum>
  <w:abstractNum w:abstractNumId="47">
    <w:nsid w:val="CC1016F"/>
    <w:multiLevelType w:val="hybridMultilevel"/>
    <w:lvl w:ilvl="0">
      <w:lvlJc w:val="left"/>
      <w:lvlText w:val="4"/>
      <w:numFmt w:val="bullet"/>
      <w:start w:val="1"/>
    </w:lvl>
  </w:abstractNum>
  <w:abstractNum w:abstractNumId="48">
    <w:nsid w:val="43F18422"/>
    <w:multiLevelType w:val="hybridMultilevel"/>
    <w:lvl w:ilvl="0">
      <w:lvlJc w:val="left"/>
      <w:lvlText w:val="5"/>
      <w:numFmt w:val="bullet"/>
      <w:start w:val="1"/>
    </w:lvl>
  </w:abstractNum>
  <w:abstractNum w:abstractNumId="49">
    <w:nsid w:val="60EF0119"/>
    <w:multiLevelType w:val="hybridMultilevel"/>
    <w:lvl w:ilvl="0">
      <w:lvlJc w:val="left"/>
      <w:lvlText w:val="6"/>
      <w:numFmt w:val="bullet"/>
      <w:start w:val="1"/>
    </w:lvl>
  </w:abstractNum>
  <w:abstractNum w:abstractNumId="50">
    <w:nsid w:val="26F324BA"/>
    <w:multiLevelType w:val="hybridMultilevel"/>
    <w:lvl w:ilvl="0">
      <w:lvlJc w:val="left"/>
      <w:lvlText w:val="7"/>
      <w:numFmt w:val="bullet"/>
      <w:start w:val="1"/>
    </w:lvl>
  </w:abstractNum>
  <w:abstractNum w:abstractNumId="51">
    <w:nsid w:val="7F01579B"/>
    <w:multiLevelType w:val="hybridMultilevel"/>
    <w:lvl w:ilvl="0">
      <w:lvlJc w:val="left"/>
      <w:lvlText w:val="9"/>
      <w:numFmt w:val="bullet"/>
      <w:start w:val="1"/>
    </w:lvl>
  </w:abstractNum>
  <w:abstractNum w:abstractNumId="52">
    <w:nsid w:val="49DA307D"/>
    <w:multiLevelType w:val="hybridMultilevel"/>
    <w:lvl w:ilvl="0">
      <w:lvlJc w:val="left"/>
      <w:lvlText w:val="%1"/>
      <w:numFmt w:val="decimal"/>
      <w:start w:val="10"/>
    </w:lvl>
  </w:abstractNum>
  <w:abstractNum w:abstractNumId="53">
    <w:nsid w:val="7055A5F5"/>
    <w:multiLevelType w:val="hybridMultilevel"/>
    <w:lvl w:ilvl="0">
      <w:lvlJc w:val="left"/>
      <w:lvlText w:val="%1"/>
      <w:numFmt w:val="decimal"/>
      <w:start w:val="20"/>
    </w:lvl>
    <w:lvl w:ilvl="1">
      <w:lvlJc w:val="left"/>
      <w:lvlText w:val="(%2)"/>
      <w:numFmt w:val="lowerRoman"/>
      <w:start w:val="5"/>
    </w:lvl>
  </w:abstractNum>
  <w:abstractNum w:abstractNumId="54">
    <w:nsid w:val="5FB8370B"/>
    <w:multiLevelType w:val="hybridMultilevel"/>
    <w:lvl w:ilvl="0">
      <w:lvlJc w:val="left"/>
      <w:lvlText w:val="%1"/>
      <w:numFmt w:val="decimal"/>
      <w:start w:val="1"/>
    </w:lvl>
    <w:lvl w:ilvl="1">
      <w:lvlJc w:val="left"/>
      <w:lvlText w:val="(%2)"/>
      <w:numFmt w:val="lowerRoman"/>
      <w:start w:val="3"/>
    </w:lvl>
  </w:abstractNum>
  <w:abstractNum w:abstractNumId="55">
    <w:nsid w:val="50801EE1"/>
    <w:multiLevelType w:val="hybridMultilevel"/>
    <w:lvl w:ilvl="0">
      <w:lvlJc w:val="left"/>
      <w:lvlText w:val="%1"/>
      <w:numFmt w:val="decimal"/>
      <w:start w:val="23"/>
    </w:lvl>
    <w:lvl w:ilvl="1">
      <w:lvlJc w:val="left"/>
      <w:lvlText w:val="%2"/>
      <w:numFmt w:val="lowerRoman"/>
      <w:start w:val="1"/>
    </w:lvl>
  </w:abstractNum>
  <w:abstractNum w:abstractNumId="56">
    <w:nsid w:val="488AC1A"/>
    <w:multiLevelType w:val="hybridMultilevel"/>
    <w:lvl w:ilvl="0">
      <w:lvlJc w:val="left"/>
      <w:lvlText w:val="1"/>
      <w:numFmt w:val="bullet"/>
      <w:start w:val="1"/>
    </w:lvl>
  </w:abstractNum>
  <w:abstractNum w:abstractNumId="57">
    <w:nsid w:val="5FB8011C"/>
    <w:multiLevelType w:val="hybridMultilevel"/>
    <w:lvl w:ilvl="0">
      <w:lvlJc w:val="left"/>
      <w:lvlText w:val="2"/>
      <w:numFmt w:val="bullet"/>
      <w:start w:val="1"/>
    </w:lvl>
  </w:abstractNum>
  <w:abstractNum w:abstractNumId="58">
    <w:nsid w:val="6AA78F7F"/>
    <w:multiLevelType w:val="hybridMultilevel"/>
    <w:lvl w:ilvl="0">
      <w:lvlJc w:val="left"/>
      <w:lvlText w:val="3"/>
      <w:numFmt w:val="bullet"/>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4"/>
      <w:numFmt w:val="bullet"/>
      <w:start w:val="1"/>
    </w:lvl>
  </w:abstractNum>
  <w:abstractNum w:abstractNumId="62">
    <w:nsid w:val="7D5E18F8"/>
    <w:multiLevelType w:val="hybridMultilevel"/>
    <w:lvl w:ilvl="0">
      <w:lvlJc w:val="left"/>
      <w:lvlText w:val="5"/>
      <w:numFmt w:val="bullet"/>
      <w:start w:val="1"/>
    </w:lvl>
  </w:abstractNum>
  <w:abstractNum w:abstractNumId="63">
    <w:nsid w:val="5F3534A4"/>
    <w:multiLevelType w:val="hybridMultilevel"/>
    <w:lvl w:ilvl="0">
      <w:lvlJc w:val="left"/>
      <w:lvlText w:val="1"/>
      <w:numFmt w:val="bullet"/>
      <w:start w:val="1"/>
    </w:lvl>
  </w:abstractNum>
  <w:abstractNum w:abstractNumId="64">
    <w:nsid w:val="73A1821B"/>
    <w:multiLevelType w:val="hybridMultilevel"/>
    <w:lvl w:ilvl="0">
      <w:lvlJc w:val="left"/>
      <w:lvlText w:val="2"/>
      <w:numFmt w:val="bullet"/>
      <w:start w:val="1"/>
    </w:lvl>
  </w:abstractNum>
  <w:abstractNum w:abstractNumId="65">
    <w:nsid w:val="7DE67713"/>
    <w:multiLevelType w:val="hybridMultilevel"/>
    <w:lvl w:ilvl="0">
      <w:lvlJc w:val="left"/>
      <w:lvlText w:val="3"/>
      <w:numFmt w:val="bullet"/>
      <w:start w:val="1"/>
    </w:lvl>
  </w:abstractNum>
  <w:abstractNum w:abstractNumId="66">
    <w:nsid w:val="555C55B5"/>
    <w:multiLevelType w:val="hybridMultilevel"/>
    <w:lvl w:ilvl="0">
      <w:lvlJc w:val="left"/>
      <w:lvlText w:val="4"/>
      <w:numFmt w:val="bullet"/>
      <w:start w:val="1"/>
    </w:lvl>
  </w:abstractNum>
  <w:abstractNum w:abstractNumId="67">
    <w:nsid w:val="3FA62ACA"/>
    <w:multiLevelType w:val="hybridMultilevel"/>
    <w:lvl w:ilvl="0">
      <w:lvlJc w:val="left"/>
      <w:lvlText w:val="5"/>
      <w:numFmt w:val="bullet"/>
      <w:start w:val="1"/>
    </w:lvl>
  </w:abstractNum>
  <w:abstractNum w:abstractNumId="68">
    <w:nsid w:val="14FCE74E"/>
    <w:multiLevelType w:val="hybridMultilevel"/>
    <w:lvl w:ilvl="0">
      <w:lvlJc w:val="left"/>
      <w:lvlText w:val="6"/>
      <w:numFmt w:val="bullet"/>
      <w:start w:val="1"/>
    </w:lvl>
  </w:abstractNum>
  <w:abstractNum w:abstractNumId="69">
    <w:nsid w:val="6A3DD3E8"/>
    <w:multiLevelType w:val="hybridMultilevel"/>
    <w:lvl w:ilvl="0">
      <w:lvlJc w:val="left"/>
      <w:lvlText w:val="7"/>
      <w:numFmt w:val="bullet"/>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1."/>
      <w:numFmt w:val="decimal"/>
      <w:start w:val="3"/>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1."/>
      <w:numFmt w:val="decimal"/>
      <w:start w:val="5"/>
    </w:lvl>
  </w:abstractNum>
  <w:abstractNum w:abstractNumId="75">
    <w:nsid w:val="1D545C4D"/>
    <w:multiLevelType w:val="hybridMultilevel"/>
    <w:lvl w:ilvl="0">
      <w:lvlJc w:val="left"/>
      <w:lvlText w:val="1"/>
      <w:numFmt w:val="bullet"/>
      <w:start w:val="1"/>
    </w:lvl>
  </w:abstractNum>
  <w:abstractNum w:abstractNumId="76">
    <w:nsid w:val="59ADEA3D"/>
    <w:multiLevelType w:val="hybridMultilevel"/>
    <w:lvl w:ilvl="0">
      <w:lvlJc w:val="left"/>
      <w:lvlText w:val="2"/>
      <w:numFmt w:val="bullet"/>
      <w:start w:val="1"/>
    </w:lvl>
  </w:abstractNum>
  <w:abstractNum w:abstractNumId="77">
    <w:nsid w:val="288F1A34"/>
    <w:multiLevelType w:val="hybridMultilevel"/>
    <w:lvl w:ilvl="0">
      <w:lvlJc w:val="left"/>
      <w:lvlText w:val="3"/>
      <w:numFmt w:val="bullet"/>
      <w:start w:val="1"/>
    </w:lvl>
  </w:abstractNum>
  <w:abstractNum w:abstractNumId="78">
    <w:nsid w:val="2A155DBC"/>
    <w:multiLevelType w:val="hybridMultilevel"/>
    <w:lvl w:ilvl="0">
      <w:lvlJc w:val="left"/>
      <w:lvlText w:val="%1."/>
      <w:numFmt w:val="decimal"/>
      <w:start w:val="1"/>
    </w:lvl>
    <w:lvl w:ilvl="1">
      <w:lvlJc w:val="left"/>
      <w:lvlText w:val="•"/>
      <w:numFmt w:val="bullet"/>
      <w:start w:val="1"/>
    </w:lvl>
  </w:abstractNum>
  <w:abstractNum w:abstractNumId="79">
    <w:nsid w:val="1D9F6E5F"/>
    <w:multiLevelType w:val="hybridMultilevel"/>
    <w:lvl w:ilvl="0">
      <w:lvlJc w:val="left"/>
      <w:lvlText w:val="%1."/>
      <w:numFmt w:val="decimal"/>
      <w:start w:val="6"/>
    </w:lvl>
    <w:lvl w:ilvl="1">
      <w:lvlJc w:val="left"/>
      <w:lvlText w:val="•"/>
      <w:numFmt w:val="bullet"/>
      <w:start w:val="1"/>
    </w:lvl>
  </w:abstractNum>
  <w:abstractNum w:abstractNumId="80">
    <w:nsid w:val="97E1B4E"/>
    <w:multiLevelType w:val="hybridMultilevel"/>
    <w:lvl w:ilvl="0">
      <w:lvlJc w:val="left"/>
      <w:lvlText w:val="1"/>
      <w:numFmt w:val="bullet"/>
      <w:start w:val="1"/>
    </w:lvl>
  </w:abstractNum>
  <w:abstractNum w:abstractNumId="81">
    <w:nsid w:val="51088277"/>
    <w:multiLevelType w:val="hybridMultilevel"/>
    <w:lvl w:ilvl="0">
      <w:lvlJc w:val="left"/>
      <w:lvlText w:val="2"/>
      <w:numFmt w:val="bullet"/>
      <w:start w:val="1"/>
    </w:lvl>
  </w:abstractNum>
  <w:abstractNum w:abstractNumId="82">
    <w:nsid w:val="1CA0C5FA"/>
    <w:multiLevelType w:val="hybridMultilevel"/>
    <w:lvl w:ilvl="0">
      <w:lvlJc w:val="left"/>
      <w:lvlText w:val="3"/>
      <w:numFmt w:val="bullet"/>
      <w:start w:val="1"/>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6"/>
      <w:numFmt w:val="bullet"/>
      <w:start w:val="1"/>
    </w:lvl>
  </w:abstractNum>
  <w:abstractNum w:abstractNumId="87">
    <w:nsid w:val="45E6D486"/>
    <w:multiLevelType w:val="hybridMultilevel"/>
    <w:lvl w:ilvl="0">
      <w:lvlJc w:val="left"/>
      <w:lvlText w:val="1"/>
      <w:numFmt w:val="bullet"/>
      <w:start w:val="1"/>
    </w:lvl>
  </w:abstractNum>
  <w:abstractNum w:abstractNumId="88">
    <w:nsid w:val="5C10FE21"/>
    <w:multiLevelType w:val="hybridMultilevel"/>
    <w:lvl w:ilvl="0">
      <w:lvlJc w:val="left"/>
      <w:lvlText w:val="2"/>
      <w:numFmt w:val="bullet"/>
      <w:start w:val="1"/>
    </w:lvl>
  </w:abstractNum>
  <w:abstractNum w:abstractNumId="89">
    <w:nsid w:val="E7FFA2B"/>
    <w:multiLevelType w:val="hybridMultilevel"/>
    <w:lvl w:ilvl="0">
      <w:lvlJc w:val="left"/>
      <w:lvlText w:val="3"/>
      <w:numFmt w:val="bullet"/>
      <w:start w:val="1"/>
    </w:lvl>
  </w:abstractNum>
  <w:abstractNum w:abstractNumId="90">
    <w:nsid w:val="3C5991AA"/>
    <w:multiLevelType w:val="hybridMultilevel"/>
    <w:lvl w:ilvl="0">
      <w:lvlJc w:val="left"/>
      <w:lvlText w:val="4"/>
      <w:numFmt w:val="bullet"/>
      <w:start w:val="1"/>
    </w:lvl>
  </w:abstractNum>
  <w:abstractNum w:abstractNumId="91">
    <w:nsid w:val="4BD8591A"/>
    <w:multiLevelType w:val="hybridMultilevel"/>
    <w:lvl w:ilvl="0">
      <w:lvlJc w:val="left"/>
      <w:lvlText w:val="•"/>
      <w:numFmt w:val="bullet"/>
      <w:start w:val="1"/>
    </w:lvl>
  </w:abstractNum>
  <w:abstractNum w:abstractNumId="92">
    <w:nsid w:val="78DF6A55"/>
    <w:multiLevelType w:val="hybridMultilevel"/>
    <w:lvl w:ilvl="0">
      <w:lvlJc w:val="left"/>
      <w:lvlText w:val="•"/>
      <w:numFmt w:val="bullet"/>
      <w:start w:val="1"/>
    </w:lvl>
  </w:abstractNum>
  <w:abstractNum w:abstractNumId="93">
    <w:nsid w:val="39B7AAA2"/>
    <w:multiLevelType w:val="hybridMultilevel"/>
    <w:lvl w:ilvl="0">
      <w:lvlJc w:val="left"/>
      <w:lvlText w:val="•"/>
      <w:numFmt w:val="bullet"/>
      <w:start w:val="1"/>
    </w:lvl>
  </w:abstractNum>
  <w:abstractNum w:abstractNumId="94">
    <w:nsid w:val="2B0D8DBE"/>
    <w:multiLevelType w:val="hybridMultilevel"/>
    <w:lvl w:ilvl="0">
      <w:lvlJc w:val="left"/>
      <w:lvlText w:val="1"/>
      <w:numFmt w:val="bullet"/>
      <w:start w:val="1"/>
    </w:lvl>
  </w:abstractNum>
  <w:abstractNum w:abstractNumId="95">
    <w:nsid w:val="6C80EC70"/>
    <w:multiLevelType w:val="hybridMultilevel"/>
    <w:lvl w:ilvl="0">
      <w:lvlJc w:val="left"/>
      <w:lvlText w:val="2"/>
      <w:numFmt w:val="bullet"/>
      <w:start w:val="1"/>
    </w:lvl>
  </w:abstractNum>
  <w:abstractNum w:abstractNumId="96">
    <w:nsid w:val="379E21B5"/>
    <w:multiLevelType w:val="hybridMultilevel"/>
    <w:lvl w:ilvl="0">
      <w:lvlJc w:val="left"/>
      <w:lvlText w:val="3"/>
      <w:numFmt w:val="bullet"/>
      <w:start w:val="1"/>
    </w:lvl>
  </w:abstractNum>
  <w:abstractNum w:abstractNumId="97">
    <w:nsid w:val="69E373"/>
    <w:multiLevelType w:val="hybridMultilevel"/>
    <w:lvl w:ilvl="0">
      <w:lvlJc w:val="left"/>
      <w:lvlText w:val="4"/>
      <w:numFmt w:val="bullet"/>
      <w:start w:val="1"/>
    </w:lvl>
  </w:abstractNum>
  <w:abstractNum w:abstractNumId="98">
    <w:nsid w:val="2C27173B"/>
    <w:multiLevelType w:val="hybridMultilevel"/>
    <w:lvl w:ilvl="0">
      <w:lvlJc w:val="left"/>
      <w:lvlText w:val="5"/>
      <w:numFmt w:val="bullet"/>
      <w:start w:val="1"/>
    </w:lvl>
  </w:abstractNum>
  <w:abstractNum w:abstractNumId="99">
    <w:nsid w:val="4C9B0904"/>
    <w:multiLevelType w:val="hybridMultilevel"/>
    <w:lvl w:ilvl="0">
      <w:lvlJc w:val="left"/>
      <w:lvlText w:val="6"/>
      <w:numFmt w:val="bullet"/>
      <w:start w:val="1"/>
    </w:lvl>
  </w:abstractNum>
  <w:abstractNum w:abstractNumId="100">
    <w:nsid w:val="6AA7B75C"/>
    <w:multiLevelType w:val="hybridMultilevel"/>
    <w:lvl w:ilvl="0">
      <w:lvlJc w:val="left"/>
      <w:lvlText w:val="7"/>
      <w:numFmt w:val="bullet"/>
      <w:start w:val="1"/>
    </w:lvl>
  </w:abstractNum>
  <w:abstractNum w:abstractNumId="101">
    <w:nsid w:val="1DF029D3"/>
    <w:multiLevelType w:val="hybridMultilevel"/>
    <w:lvl w:ilvl="0">
      <w:lvlJc w:val="left"/>
      <w:lvlText w:val="(%1)"/>
      <w:numFmt w:val="lowerRoman"/>
      <w:start w:val="2"/>
    </w:lvl>
  </w:abstractNum>
  <w:abstractNum w:abstractNumId="102">
    <w:nsid w:val="5675FF36"/>
    <w:multiLevelType w:val="hybridMultilevel"/>
    <w:lvl w:ilvl="0">
      <w:lvlJc w:val="left"/>
      <w:lvlText w:val="%1"/>
      <w:numFmt w:val="decimal"/>
      <w:start w:val="13"/>
    </w:lvl>
  </w:abstractNum>
  <w:abstractNum w:abstractNumId="103">
    <w:nsid w:val="3DD15094"/>
    <w:multiLevelType w:val="hybridMultilevel"/>
    <w:lvl w:ilvl="0">
      <w:lvlJc w:val="left"/>
      <w:lvlText w:val="1"/>
      <w:numFmt w:val="bullet"/>
      <w:start w:val="1"/>
    </w:lvl>
  </w:abstractNum>
  <w:abstractNum w:abstractNumId="104">
    <w:nsid w:val="3DB012B3"/>
    <w:multiLevelType w:val="hybridMultilevel"/>
    <w:lvl w:ilvl="0">
      <w:lvlJc w:val="left"/>
      <w:lvlText w:val="2"/>
      <w:numFmt w:val="bullet"/>
      <w:start w:val="1"/>
    </w:lvl>
  </w:abstractNum>
  <w:abstractNum w:abstractNumId="105">
    <w:nsid w:val="2708C9AF"/>
    <w:multiLevelType w:val="hybridMultilevel"/>
    <w:lvl w:ilvl="0">
      <w:lvlJc w:val="left"/>
      <w:lvlText w:val="3"/>
      <w:numFmt w:val="bullet"/>
      <w:start w:val="1"/>
    </w:lvl>
  </w:abstractNum>
  <w:abstractNum w:abstractNumId="106">
    <w:nsid w:val="5B25ACE2"/>
    <w:multiLevelType w:val="hybridMultilevel"/>
    <w:lvl w:ilvl="0">
      <w:lvlJc w:val="left"/>
      <w:lvlText w:val="4"/>
      <w:numFmt w:val="bullet"/>
      <w:start w:val="1"/>
    </w:lvl>
  </w:abstractNum>
  <w:abstractNum w:abstractNumId="107">
    <w:nsid w:val="175DFCF0"/>
    <w:multiLevelType w:val="hybridMultilevel"/>
    <w:lvl w:ilvl="0">
      <w:lvlJc w:val="left"/>
      <w:lvlText w:val="5"/>
      <w:numFmt w:val="bullet"/>
      <w:start w:val="1"/>
    </w:lvl>
  </w:abstractNum>
  <w:abstractNum w:abstractNumId="108">
    <w:nsid w:val="4F97E3E4"/>
    <w:multiLevelType w:val="hybridMultilevel"/>
    <w:lvl w:ilvl="0">
      <w:lvlJc w:val="left"/>
      <w:lvlText w:val="1"/>
      <w:numFmt w:val="bullet"/>
      <w:start w:val="1"/>
    </w:lvl>
  </w:abstractNum>
  <w:abstractNum w:abstractNumId="109">
    <w:nsid w:val="53B0A9E"/>
    <w:multiLevelType w:val="hybridMultilevel"/>
    <w:lvl w:ilvl="0">
      <w:lvlJc w:val="left"/>
      <w:lvlText w:val="5"/>
      <w:numFmt w:val="bullet"/>
      <w:start w:val="1"/>
    </w:lvl>
  </w:abstractNum>
  <w:abstractNum w:abstractNumId="110">
    <w:nsid w:val="34FD6B4F"/>
    <w:multiLevelType w:val="hybridMultilevel"/>
    <w:lvl w:ilvl="0">
      <w:lvlJc w:val="left"/>
      <w:lvlText w:val="6"/>
      <w:numFmt w:val="bullet"/>
      <w:start w:val="1"/>
    </w:lvl>
  </w:abstractNum>
  <w:abstractNum w:abstractNumId="111">
    <w:nsid w:val="5915FF32"/>
    <w:multiLevelType w:val="hybridMultilevel"/>
    <w:lvl w:ilvl="0">
      <w:lvlJc w:val="left"/>
      <w:lvlText w:val="7"/>
      <w:numFmt w:val="bullet"/>
      <w:start w:val="1"/>
    </w:lvl>
  </w:abstractNum>
  <w:abstractNum w:abstractNumId="112">
    <w:nsid w:val="56438D15"/>
    <w:multiLevelType w:val="hybridMultilevel"/>
    <w:lvl w:ilvl="0">
      <w:lvlJc w:val="left"/>
      <w:lvlText w:val="8"/>
      <w:numFmt w:val="bullet"/>
      <w:start w:val="1"/>
    </w:lvl>
  </w:abstractNum>
  <w:abstractNum w:abstractNumId="113">
    <w:nsid w:val="519E3149"/>
    <w:multiLevelType w:val="hybridMultilevel"/>
    <w:lvl w:ilvl="0">
      <w:lvlJc w:val="left"/>
      <w:lvlText w:val="1"/>
      <w:numFmt w:val="bullet"/>
      <w:start w:val="1"/>
    </w:lvl>
  </w:abstractNum>
  <w:abstractNum w:abstractNumId="114">
    <w:nsid w:val="2C6E4AFD"/>
    <w:multiLevelType w:val="hybridMultilevel"/>
    <w:lvl w:ilvl="0">
      <w:lvlJc w:val="left"/>
      <w:lvlText w:val="2"/>
      <w:numFmt w:val="bullet"/>
      <w:start w:val="1"/>
    </w:lvl>
  </w:abstractNum>
  <w:abstractNum w:abstractNumId="115">
    <w:nsid w:val="17A1B582"/>
    <w:multiLevelType w:val="hybridMultilevel"/>
    <w:lvl w:ilvl="0">
      <w:lvlJc w:val="left"/>
      <w:lvlText w:val="1"/>
      <w:numFmt w:val="bullet"/>
      <w:start w:val="1"/>
    </w:lvl>
  </w:abstractNum>
  <w:abstractNum w:abstractNumId="116">
    <w:nsid w:val="4DF72E4E"/>
    <w:multiLevelType w:val="hybridMultilevel"/>
    <w:lvl w:ilvl="0">
      <w:lvlJc w:val="left"/>
      <w:lvlText w:val="2"/>
      <w:numFmt w:val="bullet"/>
      <w:start w:val="1"/>
    </w:lvl>
  </w:abstractNum>
  <w:abstractNum w:abstractNumId="117">
    <w:nsid w:val="5046B5A9"/>
    <w:multiLevelType w:val="hybridMultilevel"/>
    <w:lvl w:ilvl="0">
      <w:lvlJc w:val="left"/>
      <w:lvlText w:val="3"/>
      <w:numFmt w:val="bullet"/>
      <w:start w:val="1"/>
    </w:lvl>
  </w:abstractNum>
  <w:abstractNum w:abstractNumId="118">
    <w:nsid w:val="5D888A08"/>
    <w:multiLevelType w:val="hybridMultilevel"/>
    <w:lvl w:ilvl="0">
      <w:lvlJc w:val="left"/>
      <w:lvlText w:val="5"/>
      <w:numFmt w:val="bullet"/>
      <w:start w:val="1"/>
    </w:lvl>
  </w:abstractNum>
  <w:abstractNum w:abstractNumId="119">
    <w:nsid w:val="2A082C70"/>
    <w:multiLevelType w:val="hybridMultilevel"/>
    <w:lvl w:ilvl="0">
      <w:lvlJc w:val="left"/>
      <w:lvlText w:val="6"/>
      <w:numFmt w:val="bullet"/>
      <w:start w:val="1"/>
    </w:lvl>
  </w:abstractNum>
  <w:abstractNum w:abstractNumId="120">
    <w:nsid w:val="5EC6AFD4"/>
    <w:multiLevelType w:val="hybridMultilevel"/>
    <w:lvl w:ilvl="0">
      <w:lvlJc w:val="left"/>
      <w:lvlText w:val="7"/>
      <w:numFmt w:val="bullet"/>
      <w:start w:val="1"/>
    </w:lvl>
  </w:abstractNum>
  <w:abstractNum w:abstractNumId="121">
    <w:nsid w:val="19E21BB2"/>
    <w:multiLevelType w:val="hybridMultilevel"/>
    <w:lvl w:ilvl="0">
      <w:lvlJc w:val="left"/>
      <w:lvlText w:val="8"/>
      <w:numFmt w:val="bullet"/>
      <w:start w:val="1"/>
    </w:lvl>
  </w:abstractNum>
  <w:abstractNum w:abstractNumId="122">
    <w:nsid w:val="75E0858A"/>
    <w:multiLevelType w:val="hybridMultilevel"/>
    <w:lvl w:ilvl="0">
      <w:lvlJc w:val="left"/>
      <w:lvlText w:val="9"/>
      <w:numFmt w:val="bullet"/>
      <w:start w:val="1"/>
    </w:lvl>
  </w:abstractNum>
  <w:abstractNum w:abstractNumId="123">
    <w:nsid w:val="57A61A29"/>
    <w:multiLevelType w:val="hybridMultilevel"/>
    <w:lvl w:ilvl="0">
      <w:lvlJc w:val="left"/>
      <w:lvlText w:val="%1"/>
      <w:numFmt w:val="decimal"/>
      <w:start w:val="10"/>
    </w:lvl>
  </w:abstractNum>
  <w:abstractNum w:abstractNumId="124">
    <w:nsid w:val="5399C654"/>
    <w:multiLevelType w:val="hybridMultilevel"/>
    <w:lvl w:ilvl="0">
      <w:lvlJc w:val="left"/>
      <w:lvlText w:val="1"/>
      <w:numFmt w:val="bullet"/>
      <w:start w:val="1"/>
    </w:lvl>
  </w:abstractNum>
  <w:abstractNum w:abstractNumId="125">
    <w:nsid w:val="20EE1348"/>
    <w:multiLevelType w:val="hybridMultilevel"/>
    <w:lvl w:ilvl="0">
      <w:lvlJc w:val="left"/>
      <w:lvlText w:val="2"/>
      <w:numFmt w:val="bullet"/>
      <w:start w:val="1"/>
    </w:lvl>
  </w:abstractNum>
  <w:abstractNum w:abstractNumId="126">
    <w:nsid w:val="4427069A"/>
    <w:multiLevelType w:val="hybridMultilevel"/>
    <w:lvl w:ilvl="0">
      <w:lvlJc w:val="left"/>
      <w:lvlText w:val="3"/>
      <w:numFmt w:val="bullet"/>
      <w:start w:val="1"/>
    </w:lvl>
  </w:abstractNum>
  <w:abstractNum w:abstractNumId="127">
    <w:nsid w:val="B37E80A"/>
    <w:multiLevelType w:val="hybridMultilevel"/>
    <w:lvl w:ilvl="0">
      <w:lvlJc w:val="left"/>
      <w:lvlText w:val="4"/>
      <w:numFmt w:val="bullet"/>
      <w:start w:val="1"/>
    </w:lvl>
  </w:abstractNum>
  <w:abstractNum w:abstractNumId="128">
    <w:nsid w:val="2157F6BC"/>
    <w:multiLevelType w:val="hybridMultilevel"/>
    <w:lvl w:ilvl="0">
      <w:lvlJc w:val="left"/>
      <w:lvlText w:val="5"/>
      <w:numFmt w:val="bullet"/>
      <w:start w:val="1"/>
    </w:lvl>
  </w:abstractNum>
  <w:abstractNum w:abstractNumId="129">
    <w:nsid w:val="704E1DD5"/>
    <w:multiLevelType w:val="hybridMultilevel"/>
    <w:lvl w:ilvl="0">
      <w:lvlJc w:val="left"/>
      <w:lvlText w:val="1"/>
      <w:numFmt w:val="bullet"/>
      <w:start w:val="1"/>
    </w:lvl>
  </w:abstractNum>
  <w:abstractNum w:abstractNumId="130">
    <w:nsid w:val="57D2F10E"/>
    <w:multiLevelType w:val="hybridMultilevel"/>
    <w:lvl w:ilvl="0">
      <w:lvlJc w:val="left"/>
      <w:lvlText w:val="2"/>
      <w:numFmt w:val="bullet"/>
      <w:start w:val="1"/>
    </w:lvl>
  </w:abstractNum>
  <w:abstractNum w:abstractNumId="131">
    <w:nsid w:val="BFFAE18"/>
    <w:multiLevelType w:val="hybridMultilevel"/>
    <w:lvl w:ilvl="0">
      <w:lvlJc w:val="left"/>
      <w:lvlText w:val="3"/>
      <w:numFmt w:val="bullet"/>
      <w:start w:val="1"/>
    </w:lvl>
  </w:abstractNum>
  <w:abstractNum w:abstractNumId="132">
    <w:nsid w:val="E3E47A8"/>
    <w:multiLevelType w:val="hybridMultilevel"/>
    <w:lvl w:ilvl="0">
      <w:lvlJc w:val="left"/>
      <w:lvlText w:val="1"/>
      <w:numFmt w:val="bullet"/>
      <w:start w:val="1"/>
    </w:lvl>
  </w:abstractNum>
  <w:abstractNum w:abstractNumId="133">
    <w:nsid w:val="2E48F044"/>
    <w:multiLevelType w:val="hybridMultilevel"/>
    <w:lvl w:ilvl="0">
      <w:lvlJc w:val="left"/>
      <w:lvlText w:val="2"/>
      <w:numFmt w:val="bullet"/>
      <w:start w:val="1"/>
    </w:lvl>
  </w:abstractNum>
  <w:abstractNum w:abstractNumId="134">
    <w:nsid w:val="49D0FEAC"/>
    <w:multiLevelType w:val="hybridMultilevel"/>
    <w:lvl w:ilvl="0">
      <w:lvlJc w:val="left"/>
      <w:lvlText w:val="3"/>
      <w:numFmt w:val="bullet"/>
      <w:start w:val="1"/>
    </w:lvl>
  </w:abstractNum>
  <w:abstractNum w:abstractNumId="135">
    <w:nsid w:val="4BEE5A5B"/>
    <w:multiLevelType w:val="hybridMultilevel"/>
    <w:lvl w:ilvl="0">
      <w:lvlJc w:val="left"/>
      <w:lvlText w:val="4"/>
      <w:numFmt w:val="bullet"/>
      <w:start w:val="1"/>
    </w:lvl>
  </w:abstractNum>
  <w:abstractNum w:abstractNumId="136">
    <w:nsid w:val="5551B9F3"/>
    <w:multiLevelType w:val="hybridMultilevel"/>
    <w:lvl w:ilvl="0">
      <w:lvlJc w:val="left"/>
      <w:lvlText w:val="5"/>
      <w:numFmt w:val="bullet"/>
      <w:start w:val="1"/>
    </w:lvl>
  </w:abstractNum>
  <w:abstractNum w:abstractNumId="137">
    <w:nsid w:val="24F6AB8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2019-12-03T02:59:14Z</dcterms:created>
  <dcterms:modified xsi:type="dcterms:W3CDTF">2019-12-03T02:59:14Z</dcterms:modified>
</cp:coreProperties>
</file>