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June 30, 2008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4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 (d) OF THE SECURITIES EXCHANGE ACT OF 1934</w:t>
      </w:r>
    </w:p>
    <w:p>
      <w:pPr>
        <w:spacing w:after="0" w:line="64" w:lineRule="exact"/>
        <w:rPr>
          <w:sz w:val="20"/>
          <w:szCs w:val="20"/>
          <w:color w:val="auto"/>
        </w:rPr>
      </w:pPr>
    </w:p>
    <w:p>
      <w:pPr>
        <w:ind w:left="1380"/>
        <w:spacing w:after="0"/>
        <w:tabs>
          <w:tab w:leader="none" w:pos="4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0-19034</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REGENERON PHARMACEUTICALS, INC.</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p>
        </w:tc>
        <w:tc>
          <w:tcPr>
            <w:tcW w:w="8460" w:type="dxa"/>
            <w:vAlign w:val="bottom"/>
            <w:tcBorders>
              <w:top w:val="single" w:sz="8" w:color="auto"/>
            </w:tcBorders>
            <w:gridSpan w:val="3"/>
          </w:tcPr>
          <w:p>
            <w:pPr>
              <w:ind w:left="2380"/>
              <w:spacing w:after="0"/>
              <w:rPr>
                <w:sz w:val="20"/>
                <w:szCs w:val="20"/>
                <w:color w:val="auto"/>
              </w:rPr>
            </w:pPr>
            <w:r>
              <w:rPr>
                <w:rFonts w:ascii="Arial" w:cs="Arial" w:eastAsia="Arial" w:hAnsi="Arial"/>
                <w:sz w:val="18"/>
                <w:szCs w:val="18"/>
                <w:color w:val="auto"/>
              </w:rPr>
              <w:t>(Exact name of registrant as specified in its charter)</w:t>
            </w:r>
          </w:p>
        </w:tc>
        <w:tc>
          <w:tcPr>
            <w:tcW w:w="1480" w:type="dxa"/>
            <w:vAlign w:val="bottom"/>
          </w:tcPr>
          <w:p>
            <w:pPr>
              <w:spacing w:after="0"/>
              <w:rPr>
                <w:sz w:val="20"/>
                <w:szCs w:val="20"/>
                <w:color w:val="auto"/>
              </w:rPr>
            </w:pPr>
          </w:p>
        </w:tc>
      </w:tr>
      <w:tr>
        <w:trPr>
          <w:trHeight w:val="411"/>
        </w:trPr>
        <w:tc>
          <w:tcPr>
            <w:tcW w:w="1480" w:type="dxa"/>
            <w:vAlign w:val="bottom"/>
          </w:tcPr>
          <w:p>
            <w:pPr>
              <w:spacing w:after="0"/>
              <w:rPr>
                <w:sz w:val="24"/>
                <w:szCs w:val="24"/>
                <w:color w:val="auto"/>
              </w:rPr>
            </w:pPr>
          </w:p>
        </w:tc>
        <w:tc>
          <w:tcPr>
            <w:tcW w:w="3940" w:type="dxa"/>
            <w:vAlign w:val="bottom"/>
          </w:tcPr>
          <w:p>
            <w:pPr>
              <w:jc w:val="center"/>
              <w:ind w:right="1390"/>
              <w:spacing w:after="0"/>
              <w:rPr>
                <w:sz w:val="20"/>
                <w:szCs w:val="20"/>
                <w:color w:val="auto"/>
              </w:rPr>
            </w:pPr>
            <w:r>
              <w:rPr>
                <w:rFonts w:ascii="Arial" w:cs="Arial" w:eastAsia="Arial" w:hAnsi="Arial"/>
                <w:sz w:val="18"/>
                <w:szCs w:val="18"/>
                <w:color w:val="auto"/>
                <w:w w:val="94"/>
              </w:rPr>
              <w:t>New York</w:t>
            </w:r>
          </w:p>
        </w:tc>
        <w:tc>
          <w:tcPr>
            <w:tcW w:w="4520" w:type="dxa"/>
            <w:vAlign w:val="bottom"/>
            <w:gridSpan w:val="2"/>
          </w:tcPr>
          <w:p>
            <w:pPr>
              <w:jc w:val="center"/>
              <w:ind w:left="1970"/>
              <w:spacing w:after="0"/>
              <w:rPr>
                <w:sz w:val="20"/>
                <w:szCs w:val="20"/>
                <w:color w:val="auto"/>
              </w:rPr>
            </w:pPr>
            <w:r>
              <w:rPr>
                <w:rFonts w:ascii="Arial" w:cs="Arial" w:eastAsia="Arial" w:hAnsi="Arial"/>
                <w:sz w:val="18"/>
                <w:szCs w:val="18"/>
                <w:color w:val="auto"/>
                <w:w w:val="89"/>
              </w:rPr>
              <w:t>13-3444607</w:t>
            </w:r>
          </w:p>
        </w:tc>
        <w:tc>
          <w:tcPr>
            <w:tcW w:w="1480" w:type="dxa"/>
            <w:vAlign w:val="bottom"/>
          </w:tcPr>
          <w:p>
            <w:pPr>
              <w:spacing w:after="0"/>
              <w:rPr>
                <w:sz w:val="24"/>
                <w:szCs w:val="24"/>
                <w:color w:val="auto"/>
              </w:rPr>
            </w:pPr>
          </w:p>
        </w:tc>
      </w:tr>
      <w:tr>
        <w:trPr>
          <w:trHeight w:val="209"/>
        </w:trPr>
        <w:tc>
          <w:tcPr>
            <w:tcW w:w="1480" w:type="dxa"/>
            <w:vAlign w:val="bottom"/>
            <w:tcBorders>
              <w:top w:val="single" w:sz="8" w:color="auto"/>
            </w:tcBorders>
          </w:tcPr>
          <w:p>
            <w:pPr>
              <w:spacing w:after="0"/>
              <w:rPr>
                <w:sz w:val="18"/>
                <w:szCs w:val="18"/>
                <w:color w:val="auto"/>
              </w:rPr>
            </w:pPr>
          </w:p>
        </w:tc>
        <w:tc>
          <w:tcPr>
            <w:tcW w:w="39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(State or other jurisdiction of</w:t>
            </w:r>
          </w:p>
        </w:tc>
        <w:tc>
          <w:tcPr>
            <w:tcW w:w="580" w:type="dxa"/>
            <w:vAlign w:val="bottom"/>
          </w:tcPr>
          <w:p>
            <w:pPr>
              <w:spacing w:after="0"/>
              <w:rPr>
                <w:sz w:val="18"/>
                <w:szCs w:val="18"/>
                <w:color w:val="auto"/>
              </w:rPr>
            </w:pPr>
          </w:p>
        </w:tc>
        <w:tc>
          <w:tcPr>
            <w:tcW w:w="54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1480" w:type="dxa"/>
            <w:vAlign w:val="bottom"/>
          </w:tcPr>
          <w:p>
            <w:pPr>
              <w:spacing w:after="0"/>
              <w:rPr>
                <w:sz w:val="20"/>
                <w:szCs w:val="20"/>
                <w:color w:val="auto"/>
              </w:rPr>
            </w:pPr>
          </w:p>
        </w:tc>
        <w:tc>
          <w:tcPr>
            <w:tcW w:w="3940" w:type="dxa"/>
            <w:vAlign w:val="bottom"/>
          </w:tcPr>
          <w:p>
            <w:pPr>
              <w:jc w:val="center"/>
              <w:ind w:right="1370"/>
              <w:spacing w:after="0"/>
              <w:rPr>
                <w:sz w:val="20"/>
                <w:szCs w:val="20"/>
                <w:color w:val="auto"/>
              </w:rPr>
            </w:pPr>
            <w:r>
              <w:rPr>
                <w:rFonts w:ascii="Arial" w:cs="Arial" w:eastAsia="Arial" w:hAnsi="Arial"/>
                <w:sz w:val="18"/>
                <w:szCs w:val="18"/>
                <w:color w:val="auto"/>
                <w:w w:val="92"/>
              </w:rPr>
              <w:t>incorporation or organization)</w:t>
            </w:r>
          </w:p>
        </w:tc>
        <w:tc>
          <w:tcPr>
            <w:tcW w:w="58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18"/>
        </w:trPr>
        <w:tc>
          <w:tcPr>
            <w:tcW w:w="1480" w:type="dxa"/>
            <w:vAlign w:val="bottom"/>
          </w:tcPr>
          <w:p>
            <w:pPr>
              <w:spacing w:after="0"/>
              <w:rPr>
                <w:sz w:val="24"/>
                <w:szCs w:val="24"/>
                <w:color w:val="auto"/>
              </w:rPr>
            </w:pPr>
          </w:p>
        </w:tc>
        <w:tc>
          <w:tcPr>
            <w:tcW w:w="3940" w:type="dxa"/>
            <w:vAlign w:val="bottom"/>
          </w:tcPr>
          <w:p>
            <w:pPr>
              <w:jc w:val="center"/>
              <w:ind w:right="1370"/>
              <w:spacing w:after="0"/>
              <w:rPr>
                <w:sz w:val="20"/>
                <w:szCs w:val="20"/>
                <w:color w:val="auto"/>
              </w:rPr>
            </w:pPr>
            <w:r>
              <w:rPr>
                <w:rFonts w:ascii="Arial" w:cs="Arial" w:eastAsia="Arial" w:hAnsi="Arial"/>
                <w:sz w:val="18"/>
                <w:szCs w:val="18"/>
                <w:color w:val="auto"/>
                <w:w w:val="93"/>
              </w:rPr>
              <w:t>777 Old Saw Mill River Road</w:t>
            </w:r>
          </w:p>
        </w:tc>
        <w:tc>
          <w:tcPr>
            <w:tcW w:w="5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0"/>
        </w:trPr>
        <w:tc>
          <w:tcPr>
            <w:tcW w:w="1480" w:type="dxa"/>
            <w:vAlign w:val="bottom"/>
          </w:tcPr>
          <w:p>
            <w:pPr>
              <w:spacing w:after="0"/>
              <w:rPr>
                <w:sz w:val="20"/>
                <w:szCs w:val="20"/>
                <w:color w:val="auto"/>
              </w:rPr>
            </w:pPr>
          </w:p>
        </w:tc>
        <w:tc>
          <w:tcPr>
            <w:tcW w:w="3940" w:type="dxa"/>
            <w:vAlign w:val="bottom"/>
          </w:tcPr>
          <w:p>
            <w:pPr>
              <w:jc w:val="center"/>
              <w:ind w:right="1390"/>
              <w:spacing w:after="0"/>
              <w:rPr>
                <w:sz w:val="20"/>
                <w:szCs w:val="20"/>
                <w:color w:val="auto"/>
              </w:rPr>
            </w:pPr>
            <w:r>
              <w:rPr>
                <w:rFonts w:ascii="Arial" w:cs="Arial" w:eastAsia="Arial" w:hAnsi="Arial"/>
                <w:sz w:val="18"/>
                <w:szCs w:val="18"/>
                <w:color w:val="auto"/>
                <w:w w:val="94"/>
              </w:rPr>
              <w:t>Tarrytown, New York</w:t>
            </w:r>
          </w:p>
        </w:tc>
        <w:tc>
          <w:tcPr>
            <w:tcW w:w="4520" w:type="dxa"/>
            <w:vAlign w:val="bottom"/>
            <w:gridSpan w:val="2"/>
          </w:tcPr>
          <w:p>
            <w:pPr>
              <w:jc w:val="center"/>
              <w:ind w:left="1970"/>
              <w:spacing w:after="0"/>
              <w:rPr>
                <w:sz w:val="20"/>
                <w:szCs w:val="20"/>
                <w:color w:val="auto"/>
              </w:rPr>
            </w:pPr>
            <w:r>
              <w:rPr>
                <w:rFonts w:ascii="Arial" w:cs="Arial" w:eastAsia="Arial" w:hAnsi="Arial"/>
                <w:sz w:val="18"/>
                <w:szCs w:val="18"/>
                <w:color w:val="auto"/>
                <w:w w:val="89"/>
              </w:rPr>
              <w:t>10591-6707</w:t>
            </w:r>
          </w:p>
        </w:tc>
        <w:tc>
          <w:tcPr>
            <w:tcW w:w="1480" w:type="dxa"/>
            <w:vAlign w:val="bottom"/>
          </w:tcPr>
          <w:p>
            <w:pPr>
              <w:spacing w:after="0"/>
              <w:rPr>
                <w:sz w:val="20"/>
                <w:szCs w:val="20"/>
                <w:color w:val="auto"/>
              </w:rPr>
            </w:pPr>
          </w:p>
        </w:tc>
      </w:tr>
      <w:tr>
        <w:trPr>
          <w:trHeight w:val="224"/>
        </w:trPr>
        <w:tc>
          <w:tcPr>
            <w:tcW w:w="54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580" w:type="dxa"/>
            <w:vAlign w:val="bottom"/>
          </w:tcPr>
          <w:p>
            <w:pPr>
              <w:spacing w:after="0"/>
              <w:rPr>
                <w:sz w:val="19"/>
                <w:szCs w:val="19"/>
                <w:color w:val="auto"/>
              </w:rPr>
            </w:pPr>
          </w:p>
        </w:tc>
        <w:tc>
          <w:tcPr>
            <w:tcW w:w="542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4"/>
              </w:rPr>
              <w:t>(Zip Code)</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(914) 347-7000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-130810</wp:posOffset>
            </wp:positionV>
            <wp:extent cx="24269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96" w:lineRule="exact"/>
        <w:rPr>
          <w:sz w:val="20"/>
          <w:szCs w:val="20"/>
          <w:color w:val="auto"/>
        </w:rPr>
      </w:pPr>
    </w:p>
    <w:p>
      <w:pPr>
        <w:ind w:right="48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spacing w:after="0" w:line="207" w:lineRule="exact"/>
        <w:tabs>
          <w:tab w:leader="none" w:pos="2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08" w:lineRule="exact"/>
        <w:rPr>
          <w:sz w:val="20"/>
          <w:szCs w:val="20"/>
          <w:color w:val="auto"/>
        </w:rPr>
      </w:pPr>
    </w:p>
    <w:p>
      <w:pPr>
        <w:ind w:right="120" w:firstLine="270"/>
        <w:spacing w:after="0" w:line="33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22" w:right="239" w:bottom="1440" w:gutter="0" w:footer="0" w:header="0"/>
        </w:sectPr>
      </w:pPr>
    </w:p>
    <w:p>
      <w:pPr>
        <w:spacing w:after="0" w:line="1" w:lineRule="exact"/>
        <w:rPr>
          <w:sz w:val="20"/>
          <w:szCs w:val="20"/>
          <w:color w:val="auto"/>
        </w:rPr>
      </w:pPr>
    </w:p>
    <w:p>
      <w:pPr>
        <w:ind w:left="1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56" w:lineRule="exact"/>
        <w:rPr>
          <w:sz w:val="20"/>
          <w:szCs w:val="20"/>
          <w:color w:val="auto"/>
        </w:rPr>
      </w:pPr>
    </w:p>
    <w:p>
      <w:pPr>
        <w:sectPr>
          <w:pgSz w:w="11900" w:h="16838" w:orient="portrait"/>
          <w:cols w:equalWidth="0" w:num="4">
            <w:col w:w="2060" w:space="720"/>
            <w:col w:w="1400" w:space="720"/>
            <w:col w:w="3380" w:space="720"/>
            <w:col w:w="2420"/>
          </w:cols>
          <w:pgMar w:left="240" w:top="122" w:right="239" w:bottom="1440" w:gutter="0" w:footer="0" w:header="0"/>
          <w:type w:val="continuous"/>
        </w:sect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46" w:lineRule="exact"/>
        <w:rPr>
          <w:sz w:val="20"/>
          <w:szCs w:val="20"/>
          <w:color w:val="auto"/>
        </w:rPr>
      </w:pPr>
    </w:p>
    <w:p>
      <w:pPr>
        <w:ind w:left="5160"/>
        <w:spacing w:after="0" w:line="207" w:lineRule="exact"/>
        <w:tabs>
          <w:tab w:leader="none" w:pos="582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ectPr>
          <w:pgSz w:w="11900" w:h="16838" w:orient="portrait"/>
          <w:cols w:equalWidth="0" w:num="1">
            <w:col w:w="11420"/>
          </w:cols>
          <w:pgMar w:left="240" w:top="122" w:right="239" w:bottom="1440" w:gutter="0" w:footer="0" w:header="0"/>
          <w:type w:val="continuous"/>
        </w:sectPr>
      </w:pP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outstanding of each of the registrant’s classes of common stock as of July 15, 2008: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Class of Common Stock</w:t>
            </w:r>
          </w:p>
        </w:tc>
        <w:tc>
          <w:tcPr>
            <w:tcW w:w="580" w:type="dxa"/>
            <w:vAlign w:val="bottom"/>
          </w:tcPr>
          <w:p>
            <w:pPr>
              <w:spacing w:after="0"/>
              <w:rPr>
                <w:sz w:val="20"/>
                <w:szCs w:val="20"/>
                <w:color w:val="auto"/>
              </w:rPr>
            </w:pPr>
          </w:p>
        </w:tc>
        <w:tc>
          <w:tcPr>
            <w:tcW w:w="5420" w:type="dxa"/>
            <w:vAlign w:val="bottom"/>
            <w:tcBorders>
              <w:bottom w:val="single" w:sz="8" w:color="auto"/>
            </w:tcBorders>
          </w:tcPr>
          <w:p>
            <w:pPr>
              <w:jc w:val="right"/>
              <w:ind w:right="1970"/>
              <w:spacing w:after="0"/>
              <w:rPr>
                <w:sz w:val="20"/>
                <w:szCs w:val="20"/>
                <w:color w:val="auto"/>
              </w:rPr>
            </w:pPr>
            <w:r>
              <w:rPr>
                <w:rFonts w:ascii="Arial" w:cs="Arial" w:eastAsia="Arial" w:hAnsi="Arial"/>
                <w:sz w:val="18"/>
                <w:szCs w:val="18"/>
                <w:color w:val="auto"/>
              </w:rPr>
              <w:t>Number of Shares</w:t>
            </w:r>
          </w:p>
        </w:tc>
      </w:tr>
      <w:tr>
        <w:trPr>
          <w:trHeight w:val="195"/>
        </w:trPr>
        <w:tc>
          <w:tcPr>
            <w:tcW w:w="5420" w:type="dxa"/>
            <w:vAlign w:val="bottom"/>
          </w:tcPr>
          <w:p>
            <w:pPr>
              <w:jc w:val="center"/>
              <w:spacing w:after="0" w:line="195" w:lineRule="exact"/>
              <w:rPr>
                <w:sz w:val="20"/>
                <w:szCs w:val="20"/>
                <w:color w:val="auto"/>
              </w:rPr>
            </w:pPr>
            <w:r>
              <w:rPr>
                <w:rFonts w:ascii="Arial" w:cs="Arial" w:eastAsia="Arial" w:hAnsi="Arial"/>
                <w:sz w:val="18"/>
                <w:szCs w:val="18"/>
                <w:color w:val="auto"/>
                <w:w w:val="89"/>
              </w:rPr>
              <w:t>Class A Stock, $0.001 par value</w:t>
            </w:r>
          </w:p>
        </w:tc>
        <w:tc>
          <w:tcPr>
            <w:tcW w:w="580" w:type="dxa"/>
            <w:vAlign w:val="bottom"/>
          </w:tcPr>
          <w:p>
            <w:pPr>
              <w:spacing w:after="0"/>
              <w:rPr>
                <w:sz w:val="16"/>
                <w:szCs w:val="16"/>
                <w:color w:val="auto"/>
              </w:rPr>
            </w:pPr>
          </w:p>
        </w:tc>
        <w:tc>
          <w:tcPr>
            <w:tcW w:w="5420" w:type="dxa"/>
            <w:vAlign w:val="bottom"/>
          </w:tcPr>
          <w:p>
            <w:pPr>
              <w:jc w:val="right"/>
              <w:ind w:right="2210"/>
              <w:spacing w:after="0" w:line="195" w:lineRule="exact"/>
              <w:rPr>
                <w:sz w:val="20"/>
                <w:szCs w:val="20"/>
                <w:color w:val="auto"/>
              </w:rPr>
            </w:pPr>
            <w:r>
              <w:rPr>
                <w:rFonts w:ascii="Arial" w:cs="Arial" w:eastAsia="Arial" w:hAnsi="Arial"/>
                <w:sz w:val="18"/>
                <w:szCs w:val="18"/>
                <w:color w:val="auto"/>
              </w:rPr>
              <w:t>2,257,698</w:t>
            </w:r>
          </w:p>
        </w:tc>
      </w:tr>
      <w:tr>
        <w:trPr>
          <w:trHeight w:val="230"/>
        </w:trPr>
        <w:tc>
          <w:tcPr>
            <w:tcW w:w="5420" w:type="dxa"/>
            <w:vAlign w:val="bottom"/>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6000" w:type="dxa"/>
            <w:vAlign w:val="bottom"/>
            <w:gridSpan w:val="2"/>
          </w:tcPr>
          <w:p>
            <w:pPr>
              <w:jc w:val="right"/>
              <w:ind w:right="2210"/>
              <w:spacing w:after="0"/>
              <w:rPr>
                <w:sz w:val="20"/>
                <w:szCs w:val="20"/>
                <w:color w:val="auto"/>
              </w:rPr>
            </w:pPr>
            <w:r>
              <w:rPr>
                <w:rFonts w:ascii="Arial" w:cs="Arial" w:eastAsia="Arial" w:hAnsi="Arial"/>
                <w:sz w:val="18"/>
                <w:szCs w:val="18"/>
                <w:color w:val="auto"/>
              </w:rPr>
              <w:t>77,005,564</w:t>
            </w:r>
          </w:p>
        </w:tc>
      </w:tr>
      <w:tr>
        <w:trPr>
          <w:trHeight w:val="237"/>
        </w:trPr>
        <w:tc>
          <w:tcPr>
            <w:tcW w:w="54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420" w:type="dxa"/>
            <w:vAlign w:val="bottom"/>
            <w:tcBorders>
              <w:bottom w:val="single" w:sz="8" w:color="auto"/>
            </w:tcBorders>
          </w:tcPr>
          <w:p>
            <w:pPr>
              <w:spacing w:after="0"/>
              <w:rPr>
                <w:sz w:val="20"/>
                <w:szCs w:val="20"/>
                <w:color w:val="auto"/>
              </w:rPr>
            </w:pPr>
          </w:p>
        </w:tc>
      </w:tr>
      <w:tr>
        <w:trPr>
          <w:trHeight w:val="631"/>
        </w:trPr>
        <w:tc>
          <w:tcPr>
            <w:tcW w:w="54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5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2008</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40" w:type="dxa"/>
            <w:vAlign w:val="bottom"/>
            <w:gridSpan w:val="10"/>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7460" w:type="dxa"/>
            <w:vAlign w:val="bottom"/>
            <w:gridSpan w:val="12"/>
            <w:vMerge w:val="restart"/>
          </w:tcPr>
          <w:p>
            <w:pPr>
              <w:spacing w:after="0"/>
              <w:rPr>
                <w:sz w:val="14"/>
                <w:szCs w:val="14"/>
                <w:color w:val="auto"/>
              </w:rPr>
            </w:pP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Page Numbers</w:t>
            </w:r>
          </w:p>
        </w:tc>
        <w:tc>
          <w:tcPr>
            <w:tcW w:w="0" w:type="dxa"/>
            <w:vAlign w:val="bottom"/>
          </w:tcPr>
          <w:p>
            <w:pPr>
              <w:spacing w:after="0"/>
              <w:rPr>
                <w:sz w:val="1"/>
                <w:szCs w:val="1"/>
                <w:color w:val="auto"/>
              </w:rPr>
            </w:pPr>
          </w:p>
        </w:tc>
      </w:tr>
      <w:tr>
        <w:trPr>
          <w:trHeight w:val="174"/>
        </w:trPr>
        <w:tc>
          <w:tcPr>
            <w:tcW w:w="3040" w:type="dxa"/>
            <w:vAlign w:val="bottom"/>
            <w:tcBorders>
              <w:bottom w:val="single" w:sz="8" w:color="0000EE"/>
            </w:tcBorders>
            <w:gridSpan w:val="10"/>
            <w:vMerge w:val="continue"/>
          </w:tcPr>
          <w:p>
            <w:pPr>
              <w:spacing w:after="0"/>
              <w:rPr>
                <w:sz w:val="14"/>
                <w:szCs w:val="14"/>
                <w:color w:val="auto"/>
              </w:rPr>
            </w:pPr>
          </w:p>
        </w:tc>
        <w:tc>
          <w:tcPr>
            <w:tcW w:w="7460" w:type="dxa"/>
            <w:vAlign w:val="bottom"/>
            <w:gridSpan w:val="12"/>
            <w:vMerge w:val="continue"/>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050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2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balance sheets (unaudited) at June 30, 2008 and December 31, 2007</w:t>
              </w:r>
            </w:hyperlink>
          </w:p>
        </w:tc>
        <w:tc>
          <w:tcPr>
            <w:tcW w:w="920" w:type="dxa"/>
            <w:vAlign w:val="bottom"/>
          </w:tcPr>
          <w:p>
            <w:pPr>
              <w:ind w:left="5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20" w:type="dxa"/>
            <w:vAlign w:val="bottom"/>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statements of operations (unaudited) for the three and six months ended June 30, 2008 and 2007</w:t>
              </w:r>
            </w:hyperlink>
          </w:p>
        </w:tc>
        <w:tc>
          <w:tcPr>
            <w:tcW w:w="920" w:type="dxa"/>
            <w:vAlign w:val="bottom"/>
          </w:tcPr>
          <w:p>
            <w:pPr>
              <w:ind w:left="5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760" w:type="dxa"/>
            <w:vAlign w:val="bottom"/>
            <w:tcBorders>
              <w:top w:val="single" w:sz="8" w:color="0000EE"/>
            </w:tcBorders>
            <w:gridSpan w:val="19"/>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Condensed statement of stockholders’ equity (unaudited) for the six months ended June 30, 2008</w:t>
              </w:r>
            </w:hyperlink>
          </w:p>
        </w:tc>
        <w:tc>
          <w:tcPr>
            <w:tcW w:w="2260" w:type="dxa"/>
            <w:vAlign w:val="bottom"/>
          </w:tcPr>
          <w:p>
            <w:pPr>
              <w:spacing w:after="0"/>
              <w:rPr>
                <w:sz w:val="24"/>
                <w:szCs w:val="24"/>
                <w:color w:val="auto"/>
              </w:rPr>
            </w:pPr>
          </w:p>
        </w:tc>
        <w:tc>
          <w:tcPr>
            <w:tcW w:w="920" w:type="dxa"/>
            <w:vAlign w:val="bottom"/>
          </w:tcPr>
          <w:p>
            <w:pPr>
              <w:ind w:left="5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20" w:type="dxa"/>
            <w:vAlign w:val="bottom"/>
            <w:gridSpan w:val="20"/>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statements of cash flows (unaudited) for the six months ended June 30, 2008 and 2007</w:t>
              </w:r>
            </w:hyperlink>
          </w:p>
        </w:tc>
        <w:tc>
          <w:tcPr>
            <w:tcW w:w="920" w:type="dxa"/>
            <w:vAlign w:val="bottom"/>
          </w:tcPr>
          <w:p>
            <w:pPr>
              <w:ind w:left="5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60" w:type="dxa"/>
            <w:vAlign w:val="bottom"/>
            <w:tcBorders>
              <w:top w:val="single" w:sz="8" w:color="0000EE"/>
            </w:tcBorders>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financial statements (unaudited)</w:t>
              </w:r>
            </w:hyperlink>
          </w:p>
        </w:tc>
        <w:tc>
          <w:tcPr>
            <w:tcW w:w="2960" w:type="dxa"/>
            <w:vAlign w:val="bottom"/>
            <w:gridSpan w:val="2"/>
          </w:tcPr>
          <w:p>
            <w:pPr>
              <w:spacing w:after="0"/>
              <w:rPr>
                <w:sz w:val="24"/>
                <w:szCs w:val="24"/>
                <w:color w:val="auto"/>
              </w:rPr>
            </w:pPr>
          </w:p>
        </w:tc>
        <w:tc>
          <w:tcPr>
            <w:tcW w:w="920" w:type="dxa"/>
            <w:vAlign w:val="bottom"/>
          </w:tcPr>
          <w:p>
            <w:pPr>
              <w:ind w:left="50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2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980" w:type="dxa"/>
            <w:vAlign w:val="bottom"/>
            <w:tcBorders>
              <w:bottom w:val="single" w:sz="8" w:color="0000EE"/>
            </w:tcBorders>
            <w:gridSpan w:val="18"/>
          </w:tcPr>
          <w:p>
            <w:pPr>
              <w:spacing w:after="0"/>
              <w:rPr>
                <w:rFonts w:ascii="Arial" w:cs="Arial" w:eastAsia="Arial" w:hAnsi="Arial"/>
                <w:sz w:val="18"/>
                <w:szCs w:val="18"/>
                <w:color w:val="0000EE"/>
                <w:w w:val="91"/>
              </w:rPr>
            </w:pPr>
            <w:hyperlink w:anchor="page17">
              <w:r>
                <w:rPr>
                  <w:rFonts w:ascii="Arial" w:cs="Arial" w:eastAsia="Arial" w:hAnsi="Arial"/>
                  <w:sz w:val="18"/>
                  <w:szCs w:val="18"/>
                  <w:color w:val="0000EE"/>
                  <w:w w:val="91"/>
                </w:rPr>
                <w:t>Item 2 Management’s Discussion and Analysis of Financial Condition and Results of Operations</w:t>
              </w:r>
            </w:hyperlink>
          </w:p>
        </w:tc>
        <w:tc>
          <w:tcPr>
            <w:tcW w:w="3520" w:type="dxa"/>
            <w:vAlign w:val="bottom"/>
            <w:gridSpan w:val="4"/>
          </w:tcPr>
          <w:p>
            <w:pPr>
              <w:spacing w:after="0"/>
              <w:rPr>
                <w:sz w:val="24"/>
                <w:szCs w:val="24"/>
                <w:color w:val="auto"/>
              </w:rPr>
            </w:pPr>
          </w:p>
        </w:tc>
        <w:tc>
          <w:tcPr>
            <w:tcW w:w="920" w:type="dxa"/>
            <w:vAlign w:val="bottom"/>
          </w:tcPr>
          <w:p>
            <w:pPr>
              <w:ind w:left="500"/>
              <w:spacing w:after="0"/>
              <w:rPr>
                <w:sz w:val="20"/>
                <w:szCs w:val="20"/>
                <w:color w:val="auto"/>
              </w:rPr>
            </w:pPr>
            <w:r>
              <w:rPr>
                <w:rFonts w:ascii="Arial" w:cs="Arial" w:eastAsia="Arial" w:hAnsi="Arial"/>
                <w:sz w:val="18"/>
                <w:szCs w:val="18"/>
                <w:color w:val="auto"/>
                <w:w w:val="86"/>
              </w:rPr>
              <w:t>16-43</w:t>
            </w:r>
          </w:p>
        </w:tc>
        <w:tc>
          <w:tcPr>
            <w:tcW w:w="0" w:type="dxa"/>
            <w:vAlign w:val="bottom"/>
          </w:tcPr>
          <w:p>
            <w:pPr>
              <w:spacing w:after="0"/>
              <w:rPr>
                <w:sz w:val="1"/>
                <w:szCs w:val="1"/>
                <w:color w:val="auto"/>
              </w:rPr>
            </w:pPr>
          </w:p>
        </w:tc>
      </w:tr>
      <w:tr>
        <w:trPr>
          <w:trHeight w:val="412"/>
        </w:trPr>
        <w:tc>
          <w:tcPr>
            <w:tcW w:w="488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45">
              <w:r>
                <w:rPr>
                  <w:rFonts w:ascii="Arial" w:cs="Arial" w:eastAsia="Arial" w:hAnsi="Arial"/>
                  <w:sz w:val="18"/>
                  <w:szCs w:val="18"/>
                  <w:color w:val="0000EE"/>
                  <w:w w:val="92"/>
                </w:rPr>
                <w:t>Item 3 Quantitative and Qualitative Disclosures About Market Risk</w:t>
              </w:r>
            </w:hyperlink>
          </w:p>
        </w:tc>
        <w:tc>
          <w:tcPr>
            <w:tcW w:w="5620" w:type="dxa"/>
            <w:vAlign w:val="bottom"/>
            <w:gridSpan w:val="8"/>
          </w:tcPr>
          <w:p>
            <w:pPr>
              <w:spacing w:after="0"/>
              <w:rPr>
                <w:sz w:val="24"/>
                <w:szCs w:val="24"/>
                <w:color w:val="auto"/>
              </w:rPr>
            </w:pPr>
          </w:p>
        </w:tc>
        <w:tc>
          <w:tcPr>
            <w:tcW w:w="920" w:type="dxa"/>
            <w:vAlign w:val="bottom"/>
          </w:tcPr>
          <w:p>
            <w:pPr>
              <w:ind w:left="5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412"/>
        </w:trPr>
        <w:tc>
          <w:tcPr>
            <w:tcW w:w="10500" w:type="dxa"/>
            <w:vAlign w:val="bottom"/>
            <w:gridSpan w:val="22"/>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4 Controls and Procedures</w:t>
              </w:r>
            </w:hyperlink>
          </w:p>
        </w:tc>
        <w:tc>
          <w:tcPr>
            <w:tcW w:w="920" w:type="dxa"/>
            <w:vAlign w:val="bottom"/>
          </w:tcPr>
          <w:p>
            <w:pPr>
              <w:ind w:left="5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500" w:type="dxa"/>
            <w:vAlign w:val="bottom"/>
            <w:gridSpan w:val="22"/>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PART II OTHER INFORMATION</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Item 1 Legal Proceedings</w:t>
              </w:r>
            </w:hyperlink>
          </w:p>
        </w:tc>
        <w:tc>
          <w:tcPr>
            <w:tcW w:w="860" w:type="dxa"/>
            <w:vAlign w:val="bottom"/>
            <w:tcBorders>
              <w:top w:val="single" w:sz="8" w:color="0000EE"/>
            </w:tcBorders>
            <w:gridSpan w:val="3"/>
          </w:tcPr>
          <w:p>
            <w:pPr>
              <w:spacing w:after="0"/>
              <w:rPr>
                <w:sz w:val="24"/>
                <w:szCs w:val="24"/>
                <w:color w:val="auto"/>
              </w:rPr>
            </w:pPr>
          </w:p>
        </w:tc>
        <w:tc>
          <w:tcPr>
            <w:tcW w:w="7780" w:type="dxa"/>
            <w:vAlign w:val="bottom"/>
            <w:gridSpan w:val="13"/>
          </w:tcPr>
          <w:p>
            <w:pPr>
              <w:spacing w:after="0"/>
              <w:rPr>
                <w:sz w:val="24"/>
                <w:szCs w:val="24"/>
                <w:color w:val="auto"/>
              </w:rPr>
            </w:pPr>
          </w:p>
        </w:tc>
        <w:tc>
          <w:tcPr>
            <w:tcW w:w="920" w:type="dxa"/>
            <w:vAlign w:val="bottom"/>
          </w:tcPr>
          <w:p>
            <w:pPr>
              <w:ind w:left="5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412"/>
        </w:trPr>
        <w:tc>
          <w:tcPr>
            <w:tcW w:w="156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46">
              <w:r>
                <w:rPr>
                  <w:rFonts w:ascii="Arial" w:cs="Arial" w:eastAsia="Arial" w:hAnsi="Arial"/>
                  <w:sz w:val="18"/>
                  <w:szCs w:val="18"/>
                  <w:color w:val="0000EE"/>
                  <w:w w:val="92"/>
                </w:rPr>
                <w:t>Item 1A Risk Factors</w:t>
              </w:r>
            </w:hyperlink>
          </w:p>
        </w:tc>
        <w:tc>
          <w:tcPr>
            <w:tcW w:w="8940" w:type="dxa"/>
            <w:vAlign w:val="bottom"/>
            <w:gridSpan w:val="18"/>
          </w:tcPr>
          <w:p>
            <w:pPr>
              <w:spacing w:after="0"/>
              <w:rPr>
                <w:sz w:val="24"/>
                <w:szCs w:val="24"/>
                <w:color w:val="auto"/>
              </w:rPr>
            </w:pPr>
          </w:p>
        </w:tc>
        <w:tc>
          <w:tcPr>
            <w:tcW w:w="920" w:type="dxa"/>
            <w:vAlign w:val="bottom"/>
          </w:tcPr>
          <w:p>
            <w:pPr>
              <w:ind w:left="500"/>
              <w:spacing w:after="0"/>
              <w:rPr>
                <w:sz w:val="20"/>
                <w:szCs w:val="20"/>
                <w:color w:val="auto"/>
              </w:rPr>
            </w:pPr>
            <w:r>
              <w:rPr>
                <w:rFonts w:ascii="Arial" w:cs="Arial" w:eastAsia="Arial" w:hAnsi="Arial"/>
                <w:sz w:val="18"/>
                <w:szCs w:val="18"/>
                <w:color w:val="auto"/>
                <w:w w:val="86"/>
              </w:rPr>
              <w:t>45-64</w:t>
            </w:r>
          </w:p>
        </w:tc>
        <w:tc>
          <w:tcPr>
            <w:tcW w:w="0" w:type="dxa"/>
            <w:vAlign w:val="bottom"/>
          </w:tcPr>
          <w:p>
            <w:pPr>
              <w:spacing w:after="0"/>
              <w:rPr>
                <w:sz w:val="1"/>
                <w:szCs w:val="1"/>
                <w:color w:val="auto"/>
              </w:rPr>
            </w:pPr>
          </w:p>
        </w:tc>
      </w:tr>
      <w:tr>
        <w:trPr>
          <w:trHeight w:val="412"/>
        </w:trPr>
        <w:tc>
          <w:tcPr>
            <w:tcW w:w="10500" w:type="dxa"/>
            <w:vAlign w:val="bottom"/>
            <w:gridSpan w:val="22"/>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Item 2 Unregistered Sales of Equity Securities and Use of Proceeds</w:t>
              </w:r>
            </w:hyperlink>
          </w:p>
        </w:tc>
        <w:tc>
          <w:tcPr>
            <w:tcW w:w="920" w:type="dxa"/>
            <w:vAlign w:val="bottom"/>
          </w:tcPr>
          <w:p>
            <w:pPr>
              <w:ind w:left="5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412"/>
        </w:trPr>
        <w:tc>
          <w:tcPr>
            <w:tcW w:w="4860" w:type="dxa"/>
            <w:vAlign w:val="bottom"/>
            <w:tcBorders>
              <w:top w:val="single" w:sz="8" w:color="0000EE"/>
            </w:tcBorders>
            <w:gridSpan w:val="13"/>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Item 4 Submission of Matters to a Vote of Security Holders</w:t>
              </w:r>
            </w:hyperlink>
          </w:p>
        </w:tc>
        <w:tc>
          <w:tcPr>
            <w:tcW w:w="5640" w:type="dxa"/>
            <w:vAlign w:val="bottom"/>
            <w:gridSpan w:val="9"/>
          </w:tcPr>
          <w:p>
            <w:pPr>
              <w:spacing w:after="0"/>
              <w:rPr>
                <w:sz w:val="24"/>
                <w:szCs w:val="24"/>
                <w:color w:val="auto"/>
              </w:rPr>
            </w:pPr>
          </w:p>
        </w:tc>
        <w:tc>
          <w:tcPr>
            <w:tcW w:w="920" w:type="dxa"/>
            <w:vAlign w:val="bottom"/>
          </w:tcPr>
          <w:p>
            <w:pPr>
              <w:ind w:left="500"/>
              <w:spacing w:after="0"/>
              <w:rPr>
                <w:sz w:val="20"/>
                <w:szCs w:val="20"/>
                <w:color w:val="auto"/>
              </w:rPr>
            </w:pPr>
            <w:r>
              <w:rPr>
                <w:rFonts w:ascii="Arial" w:cs="Arial" w:eastAsia="Arial" w:hAnsi="Arial"/>
                <w:sz w:val="18"/>
                <w:szCs w:val="18"/>
                <w:color w:val="auto"/>
                <w:w w:val="86"/>
              </w:rPr>
              <w:t>65-66</w:t>
            </w:r>
          </w:p>
        </w:tc>
        <w:tc>
          <w:tcPr>
            <w:tcW w:w="0" w:type="dxa"/>
            <w:vAlign w:val="bottom"/>
          </w:tcPr>
          <w:p>
            <w:pPr>
              <w:spacing w:after="0"/>
              <w:rPr>
                <w:sz w:val="1"/>
                <w:szCs w:val="1"/>
                <w:color w:val="auto"/>
              </w:rPr>
            </w:pPr>
          </w:p>
        </w:tc>
      </w:tr>
      <w:tr>
        <w:trPr>
          <w:trHeight w:val="412"/>
        </w:trPr>
        <w:tc>
          <w:tcPr>
            <w:tcW w:w="11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3"/>
              </w:rPr>
            </w:pPr>
            <w:hyperlink w:anchor="page67">
              <w:r>
                <w:rPr>
                  <w:rFonts w:ascii="Arial" w:cs="Arial" w:eastAsia="Arial" w:hAnsi="Arial"/>
                  <w:sz w:val="18"/>
                  <w:szCs w:val="18"/>
                  <w:color w:val="0000EE"/>
                  <w:w w:val="93"/>
                </w:rPr>
                <w:t>Item 6 Exhibits</w:t>
              </w:r>
            </w:hyperlink>
          </w:p>
        </w:tc>
        <w:tc>
          <w:tcPr>
            <w:tcW w:w="3160" w:type="dxa"/>
            <w:vAlign w:val="bottom"/>
            <w:tcBorders>
              <w:top w:val="single" w:sz="8" w:color="0000EE"/>
            </w:tcBorders>
            <w:gridSpan w:val="9"/>
          </w:tcPr>
          <w:p>
            <w:pPr>
              <w:spacing w:after="0"/>
              <w:rPr>
                <w:sz w:val="24"/>
                <w:szCs w:val="24"/>
                <w:color w:val="auto"/>
              </w:rPr>
            </w:pPr>
          </w:p>
        </w:tc>
        <w:tc>
          <w:tcPr>
            <w:tcW w:w="6220" w:type="dxa"/>
            <w:vAlign w:val="bottom"/>
            <w:gridSpan w:val="10"/>
          </w:tcPr>
          <w:p>
            <w:pPr>
              <w:spacing w:after="0"/>
              <w:rPr>
                <w:sz w:val="24"/>
                <w:szCs w:val="24"/>
                <w:color w:val="auto"/>
              </w:rPr>
            </w:pPr>
          </w:p>
        </w:tc>
        <w:tc>
          <w:tcPr>
            <w:tcW w:w="920" w:type="dxa"/>
            <w:vAlign w:val="bottom"/>
          </w:tcPr>
          <w:p>
            <w:pPr>
              <w:ind w:left="5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412"/>
        </w:trPr>
        <w:tc>
          <w:tcPr>
            <w:tcW w:w="1600" w:type="dxa"/>
            <w:vAlign w:val="bottom"/>
            <w:tcBorders>
              <w:bottom w:val="single" w:sz="8" w:color="0000EE"/>
            </w:tcBorders>
            <w:gridSpan w:val="5"/>
          </w:tcPr>
          <w:p>
            <w:pPr>
              <w:spacing w:after="0"/>
              <w:rPr>
                <w:rFonts w:ascii="Arial" w:cs="Arial" w:eastAsia="Arial" w:hAnsi="Arial"/>
                <w:sz w:val="18"/>
                <w:szCs w:val="18"/>
                <w:b w:val="1"/>
                <w:bCs w:val="1"/>
                <w:color w:val="0000EE"/>
                <w:w w:val="97"/>
              </w:rPr>
            </w:pPr>
            <w:hyperlink w:anchor="page68">
              <w:r>
                <w:rPr>
                  <w:rFonts w:ascii="Arial" w:cs="Arial" w:eastAsia="Arial" w:hAnsi="Arial"/>
                  <w:sz w:val="18"/>
                  <w:szCs w:val="18"/>
                  <w:b w:val="1"/>
                  <w:bCs w:val="1"/>
                  <w:color w:val="0000EE"/>
                  <w:w w:val="97"/>
                </w:rPr>
                <w:t>SIGNATURE PAGE</w:t>
              </w:r>
            </w:hyperlink>
          </w:p>
        </w:tc>
        <w:tc>
          <w:tcPr>
            <w:tcW w:w="8900" w:type="dxa"/>
            <w:vAlign w:val="bottom"/>
            <w:gridSpan w:val="17"/>
          </w:tcPr>
          <w:p>
            <w:pPr>
              <w:spacing w:after="0"/>
              <w:rPr>
                <w:sz w:val="24"/>
                <w:szCs w:val="24"/>
                <w:color w:val="auto"/>
              </w:rPr>
            </w:pPr>
          </w:p>
        </w:tc>
        <w:tc>
          <w:tcPr>
            <w:tcW w:w="920" w:type="dxa"/>
            <w:vAlign w:val="bottom"/>
          </w:tcPr>
          <w:p>
            <w:pPr>
              <w:ind w:left="5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440" w:type="dxa"/>
            <w:vAlign w:val="bottom"/>
            <w:gridSpan w:val="21"/>
          </w:tcPr>
          <w:p>
            <w:pPr>
              <w:spacing w:after="0" w:line="196" w:lineRule="exact"/>
              <w:rPr>
                <w:sz w:val="20"/>
                <w:szCs w:val="20"/>
                <w:color w:val="auto"/>
              </w:rPr>
            </w:pPr>
            <w:r>
              <w:rPr>
                <w:rFonts w:ascii="Arial" w:cs="Arial" w:eastAsia="Arial" w:hAnsi="Arial"/>
                <w:sz w:val="18"/>
                <w:szCs w:val="18"/>
                <w:color w:val="0000EE"/>
              </w:rPr>
              <w:t>EX-4.1: FORM OF CERTIFICATE OF SHARES OF COMMON STOCK</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20" w:type="dxa"/>
            <w:vAlign w:val="bottom"/>
            <w:gridSpan w:val="14"/>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440" w:type="dxa"/>
            <w:vAlign w:val="bottom"/>
            <w:gridSpan w:val="21"/>
          </w:tcPr>
          <w:p>
            <w:pPr>
              <w:spacing w:after="0" w:line="196" w:lineRule="exact"/>
              <w:rPr>
                <w:sz w:val="20"/>
                <w:szCs w:val="20"/>
                <w:color w:val="auto"/>
              </w:rPr>
            </w:pPr>
            <w:r>
              <w:rPr>
                <w:rFonts w:ascii="Arial" w:cs="Arial" w:eastAsia="Arial" w:hAnsi="Arial"/>
                <w:sz w:val="18"/>
                <w:szCs w:val="18"/>
                <w:color w:val="0000EE"/>
              </w:rPr>
              <w:t>EX-10.2: AMENDED AND RESTATED NON-EXCLUSIVE LICENSE AGREEMENT</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EX-10.3: SUBSCRIPTION AGREEMENT</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EX-12.1: STATEMENT RE: COMPUTATION OF RATIO OF EARNINGS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 CERTIFICATION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 CERTIFICATION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SHEETS AT JUNE 30, 2008 AND DECEMBER 31, 2007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6"/>
              </w:rPr>
              <w:t>June 30,</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ind w:left="416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292,129</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408,275</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267,532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from the sanofi-aventis Group</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30,438</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Accounts receivable — other</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2,400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13,052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2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742,393</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797,829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42,439</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78,222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 net of accumulated depreciation and amortization</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64,231</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851,225</w:t>
            </w: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vMerge w:val="restart"/>
          </w:tcPr>
          <w:p>
            <w:pPr>
              <w:ind w:left="228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38,289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39,232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 from sanofi-aventis, current portion</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18,855</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Deferred revenue — other, current portion</w:t>
            </w: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48,121</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Notes payable</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118,653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2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223,918</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283,664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from sanofi-aventis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117,004</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126,431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Deferred revenue — other</w:t>
            </w:r>
          </w:p>
        </w:tc>
        <w:tc>
          <w:tcPr>
            <w:tcW w:w="120" w:type="dxa"/>
            <w:vAlign w:val="bottom"/>
          </w:tcPr>
          <w:p>
            <w:pPr>
              <w:spacing w:after="0"/>
              <w:rPr>
                <w:sz w:val="19"/>
                <w:szCs w:val="19"/>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59,306</w:t>
            </w:r>
          </w:p>
        </w:tc>
        <w:tc>
          <w:tcPr>
            <w:tcW w:w="1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65,896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400,228</w:t>
            </w: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475,991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9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Preferred stock, $.01 par value; 30,000,000 shares authorized; issued and outstanding-none</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Class A Stock, convertible, $.001 par value; 40,000,000 shares authorized;</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shares issued and outstanding - 2,257,698 in 2008 and 2,260,266 in 2007</w:t>
            </w:r>
          </w:p>
        </w:tc>
        <w:tc>
          <w:tcPr>
            <w:tcW w:w="1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20" w:type="dxa"/>
            <w:vAlign w:val="bottom"/>
          </w:tcPr>
          <w:p>
            <w:pPr>
              <w:ind w:left="200"/>
              <w:spacing w:after="0" w:line="201" w:lineRule="exact"/>
              <w:rPr>
                <w:sz w:val="20"/>
                <w:szCs w:val="20"/>
                <w:color w:val="auto"/>
              </w:rPr>
            </w:pPr>
            <w:r>
              <w:rPr>
                <w:rFonts w:ascii="Arial" w:cs="Arial" w:eastAsia="Arial" w:hAnsi="Arial"/>
                <w:sz w:val="18"/>
                <w:szCs w:val="18"/>
                <w:color w:val="auto"/>
              </w:rPr>
              <w:t>Common Stock, $.001 par value; 160,000,000 shares authorized;</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tcPr>
          <w:p>
            <w:pPr>
              <w:ind w:left="400"/>
              <w:spacing w:after="0"/>
              <w:rPr>
                <w:sz w:val="20"/>
                <w:szCs w:val="20"/>
                <w:color w:val="auto"/>
              </w:rPr>
            </w:pPr>
            <w:r>
              <w:rPr>
                <w:rFonts w:ascii="Arial" w:cs="Arial" w:eastAsia="Arial" w:hAnsi="Arial"/>
                <w:sz w:val="18"/>
                <w:szCs w:val="18"/>
                <w:color w:val="auto"/>
              </w:rPr>
              <w:t>shares issued and outstanding - 77,003,565 in 2008 and 76,592,218 in 2007</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1,274,527</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1,253,235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w w:val="98"/>
              </w:rPr>
              <w:t>(823,294)</w:t>
            </w: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(793,217)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tcPr>
          <w:p>
            <w:pPr>
              <w:ind w:left="40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450,997</w:t>
            </w:r>
          </w:p>
        </w:tc>
        <w:tc>
          <w:tcPr>
            <w:tcW w:w="6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460,267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851,225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936,258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OPERATIONS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w w:val="90"/>
              </w:rPr>
              <w:t>Three months ended June 30,</w:t>
            </w:r>
          </w:p>
        </w:tc>
        <w:tc>
          <w:tcPr>
            <w:tcW w:w="100" w:type="dxa"/>
            <w:vAlign w:val="bottom"/>
          </w:tcPr>
          <w:p>
            <w:pPr>
              <w:spacing w:after="0"/>
              <w:rPr>
                <w:sz w:val="14"/>
                <w:szCs w:val="14"/>
                <w:color w:val="auto"/>
              </w:rPr>
            </w:pPr>
          </w:p>
        </w:tc>
        <w:tc>
          <w:tcPr>
            <w:tcW w:w="20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Contract research and development from sanofi-aventis</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w w:val="98"/>
              </w:rPr>
              <w:t>38,606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13,474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74,340</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contract research and development</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12,047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2,443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22,696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Technology licensing</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w w:val="98"/>
              </w:rPr>
              <w:t>10,000</w:t>
            </w: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6,278</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20,000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8,421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60,653</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22,195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117,036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37,983</w:t>
            </w:r>
          </w:p>
        </w:tc>
        <w:tc>
          <w:tcPr>
            <w:tcW w:w="0" w:type="dxa"/>
            <w:vAlign w:val="bottom"/>
          </w:tcPr>
          <w:p>
            <w:pPr>
              <w:spacing w:after="0"/>
              <w:rPr>
                <w:sz w:val="1"/>
                <w:szCs w:val="1"/>
                <w:color w:val="auto"/>
              </w:rPr>
            </w:pPr>
          </w:p>
        </w:tc>
      </w:tr>
      <w:tr>
        <w:trPr>
          <w:trHeight w:val="439"/>
        </w:trPr>
        <w:tc>
          <w:tcPr>
            <w:tcW w:w="536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66,577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43,864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127,847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w w:val="98"/>
              </w:rPr>
              <w:t>13,465</w:t>
            </w: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8,935</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24,489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17,137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80,042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52,799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152,336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102,236</w:t>
            </w:r>
          </w:p>
        </w:tc>
        <w:tc>
          <w:tcPr>
            <w:tcW w:w="0" w:type="dxa"/>
            <w:vAlign w:val="bottom"/>
          </w:tcPr>
          <w:p>
            <w:pPr>
              <w:spacing w:after="0"/>
              <w:rPr>
                <w:sz w:val="1"/>
                <w:szCs w:val="1"/>
                <w:color w:val="auto"/>
              </w:rPr>
            </w:pPr>
          </w:p>
        </w:tc>
      </w:tr>
      <w:tr>
        <w:trPr>
          <w:trHeight w:val="20"/>
        </w:trPr>
        <w:tc>
          <w:tcPr>
            <w:tcW w:w="53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3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w w:val="89"/>
              </w:rPr>
              <w:t>(19,389)</w:t>
            </w:r>
          </w:p>
        </w:tc>
        <w:tc>
          <w:tcPr>
            <w:tcW w:w="100" w:type="dxa"/>
            <w:vAlign w:val="bottom"/>
          </w:tcPr>
          <w:p>
            <w:pPr>
              <w:spacing w:after="0"/>
              <w:rPr>
                <w:sz w:val="24"/>
                <w:szCs w:val="24"/>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w w:val="92"/>
              </w:rPr>
              <w:t>(30,604)</w:t>
            </w:r>
          </w:p>
        </w:tc>
        <w:tc>
          <w:tcPr>
            <w:tcW w:w="100" w:type="dxa"/>
            <w:vAlign w:val="bottom"/>
          </w:tcPr>
          <w:p>
            <w:pPr>
              <w:spacing w:after="0"/>
              <w:rPr>
                <w:sz w:val="24"/>
                <w:szCs w:val="2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(35,300)</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(64,253)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Investment income</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4,535</w:t>
            </w: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6,841</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11,839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(2,674)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(3,011)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(5,685)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Loss on early extinguishment of debt</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(931)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930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3,830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5,223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7,562</w:t>
            </w:r>
          </w:p>
        </w:tc>
        <w:tc>
          <w:tcPr>
            <w:tcW w:w="0" w:type="dxa"/>
            <w:vAlign w:val="bottom"/>
          </w:tcPr>
          <w:p>
            <w:pPr>
              <w:spacing w:after="0"/>
              <w:rPr>
                <w:sz w:val="1"/>
                <w:szCs w:val="1"/>
                <w:color w:val="auto"/>
              </w:rPr>
            </w:pPr>
          </w:p>
        </w:tc>
      </w:tr>
      <w:tr>
        <w:trPr>
          <w:trHeight w:val="20"/>
        </w:trPr>
        <w:tc>
          <w:tcPr>
            <w:tcW w:w="53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3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w w:val="89"/>
              </w:rPr>
              <w:t>(18,459)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w w:val="92"/>
              </w:rPr>
              <w:t>(26,774)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(30,077)</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(56,691)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amounts, basic and diluted</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(0.38)</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432"/>
        </w:trPr>
        <w:tc>
          <w:tcPr>
            <w:tcW w:w="5360" w:type="dxa"/>
            <w:vAlign w:val="bottom"/>
            <w:gridSpan w:val="2"/>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w w:val="98"/>
              </w:rPr>
              <w:t>78,689</w:t>
            </w:r>
          </w:p>
        </w:tc>
        <w:tc>
          <w:tcPr>
            <w:tcW w:w="100" w:type="dxa"/>
            <w:vAlign w:val="bottom"/>
          </w:tcPr>
          <w:p>
            <w:pPr>
              <w:spacing w:after="0"/>
              <w:rPr>
                <w:sz w:val="24"/>
                <w:szCs w:val="24"/>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65,950</w:t>
            </w:r>
          </w:p>
        </w:tc>
        <w:tc>
          <w:tcPr>
            <w:tcW w:w="100" w:type="dxa"/>
            <w:vAlign w:val="bottom"/>
          </w:tcPr>
          <w:p>
            <w:pPr>
              <w:spacing w:after="0"/>
              <w:rPr>
                <w:sz w:val="24"/>
                <w:szCs w:val="2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78,591</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65,757</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 OF STOCKHOLDERS’ EQUITY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Additional</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110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w w:val="94"/>
              </w:rPr>
              <w:t>Class A Stock</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w w:val="91"/>
              </w:rPr>
              <w:t>Common Stock</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40" w:type="dxa"/>
            <w:vAlign w:val="bottom"/>
          </w:tcPr>
          <w:p>
            <w:pPr>
              <w:spacing w:after="0"/>
              <w:rPr>
                <w:sz w:val="13"/>
                <w:szCs w:val="13"/>
                <w:color w:val="auto"/>
              </w:rPr>
            </w:pPr>
          </w:p>
        </w:tc>
        <w:tc>
          <w:tcPr>
            <w:tcW w:w="1100" w:type="dxa"/>
            <w:vAlign w:val="bottom"/>
            <w:tcBorders>
              <w:bottom w:val="single" w:sz="8" w:color="auto"/>
            </w:tcBorders>
            <w:gridSpan w:val="4"/>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tcBorders>
              <w:bottom w:val="single" w:sz="8" w:color="auto"/>
            </w:tcBorders>
            <w:gridSpan w:val="3"/>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gridSpan w:val="2"/>
          </w:tcPr>
          <w:p>
            <w:pPr>
              <w:jc w:val="right"/>
              <w:ind w:right="560"/>
              <w:spacing w:after="0" w:line="158" w:lineRule="exact"/>
              <w:rPr>
                <w:sz w:val="20"/>
                <w:szCs w:val="20"/>
                <w:color w:val="auto"/>
              </w:rPr>
            </w:pPr>
            <w:r>
              <w:rPr>
                <w:rFonts w:ascii="Arial" w:cs="Arial" w:eastAsia="Arial" w:hAnsi="Arial"/>
                <w:sz w:val="14"/>
                <w:szCs w:val="14"/>
                <w:b w:val="1"/>
                <w:bCs w:val="1"/>
                <w:color w:val="auto"/>
              </w:rPr>
              <w:t>Paid-in</w:t>
            </w:r>
          </w:p>
        </w:tc>
        <w:tc>
          <w:tcPr>
            <w:tcW w:w="1020" w:type="dxa"/>
            <w:vAlign w:val="bottom"/>
            <w:gridSpan w:val="2"/>
          </w:tcPr>
          <w:p>
            <w:pPr>
              <w:jc w:val="right"/>
              <w:ind w:right="220"/>
              <w:spacing w:after="0" w:line="158" w:lineRule="exact"/>
              <w:rPr>
                <w:sz w:val="20"/>
                <w:szCs w:val="20"/>
                <w:color w:val="auto"/>
              </w:rPr>
            </w:pPr>
            <w:r>
              <w:rPr>
                <w:rFonts w:ascii="Arial" w:cs="Arial" w:eastAsia="Arial" w:hAnsi="Arial"/>
                <w:sz w:val="14"/>
                <w:szCs w:val="14"/>
                <w:b w:val="1"/>
                <w:bCs w:val="1"/>
                <w:color w:val="auto"/>
                <w:w w:val="88"/>
              </w:rPr>
              <w:t>Accumulated</w:t>
            </w:r>
          </w:p>
        </w:tc>
        <w:tc>
          <w:tcPr>
            <w:tcW w:w="1300" w:type="dxa"/>
            <w:vAlign w:val="bottom"/>
            <w:gridSpan w:val="4"/>
          </w:tcPr>
          <w:p>
            <w:pPr>
              <w:jc w:val="center"/>
              <w:ind w:right="60"/>
              <w:spacing w:after="0" w:line="158" w:lineRule="exact"/>
              <w:rPr>
                <w:sz w:val="20"/>
                <w:szCs w:val="20"/>
                <w:color w:val="auto"/>
              </w:rPr>
            </w:pPr>
            <w:r>
              <w:rPr>
                <w:rFonts w:ascii="Arial" w:cs="Arial" w:eastAsia="Arial" w:hAnsi="Arial"/>
                <w:sz w:val="14"/>
                <w:szCs w:val="14"/>
                <w:b w:val="1"/>
                <w:bCs w:val="1"/>
                <w:color w:val="auto"/>
                <w:w w:val="91"/>
              </w:rPr>
              <w:t>Comprehensive</w:t>
            </w:r>
          </w:p>
        </w:tc>
        <w:tc>
          <w:tcPr>
            <w:tcW w:w="1200" w:type="dxa"/>
            <w:vAlign w:val="bottom"/>
            <w:gridSpan w:val="4"/>
          </w:tcPr>
          <w:p>
            <w:pPr>
              <w:ind w:left="160"/>
              <w:spacing w:after="0" w:line="158" w:lineRule="exact"/>
              <w:rPr>
                <w:sz w:val="20"/>
                <w:szCs w:val="20"/>
                <w:color w:val="auto"/>
              </w:rPr>
            </w:pPr>
            <w:r>
              <w:rPr>
                <w:rFonts w:ascii="Arial" w:cs="Arial" w:eastAsia="Arial" w:hAnsi="Arial"/>
                <w:sz w:val="14"/>
                <w:szCs w:val="14"/>
                <w:b w:val="1"/>
                <w:bCs w:val="1"/>
                <w:color w:val="auto"/>
              </w:rPr>
              <w:t>Stockholders’</w:t>
            </w:r>
          </w:p>
        </w:tc>
        <w:tc>
          <w:tcPr>
            <w:tcW w:w="1200" w:type="dxa"/>
            <w:vAlign w:val="bottom"/>
            <w:gridSpan w:val="4"/>
          </w:tcPr>
          <w:p>
            <w:pPr>
              <w:ind w:left="160"/>
              <w:spacing w:after="0" w:line="158" w:lineRule="exact"/>
              <w:rPr>
                <w:sz w:val="20"/>
                <w:szCs w:val="20"/>
                <w:color w:val="auto"/>
              </w:rPr>
            </w:pPr>
            <w:r>
              <w:rPr>
                <w:rFonts w:ascii="Arial" w:cs="Arial" w:eastAsia="Arial" w:hAnsi="Arial"/>
                <w:sz w:val="14"/>
                <w:szCs w:val="14"/>
                <w:b w:val="1"/>
                <w:bCs w:val="1"/>
                <w:color w:val="auto"/>
                <w:w w:val="97"/>
              </w:rPr>
              <w:t>Comprehensive</w:t>
            </w:r>
          </w:p>
        </w:tc>
        <w:tc>
          <w:tcPr>
            <w:tcW w:w="0" w:type="dxa"/>
            <w:vAlign w:val="bottom"/>
          </w:tcPr>
          <w:p>
            <w:pPr>
              <w:spacing w:after="0"/>
              <w:rPr>
                <w:sz w:val="1"/>
                <w:szCs w:val="1"/>
                <w:color w:val="auto"/>
              </w:rPr>
            </w:pPr>
          </w:p>
        </w:tc>
      </w:tr>
      <w:tr>
        <w:trPr>
          <w:trHeight w:val="142"/>
        </w:trPr>
        <w:tc>
          <w:tcPr>
            <w:tcW w:w="2040" w:type="dxa"/>
            <w:vAlign w:val="bottom"/>
          </w:tcPr>
          <w:p>
            <w:pPr>
              <w:spacing w:after="0"/>
              <w:rPr>
                <w:sz w:val="12"/>
                <w:szCs w:val="12"/>
                <w:color w:val="auto"/>
              </w:rPr>
            </w:pPr>
          </w:p>
        </w:tc>
        <w:tc>
          <w:tcPr>
            <w:tcW w:w="64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94"/>
              </w:rPr>
              <w:t>Shares</w:t>
            </w:r>
          </w:p>
        </w:tc>
        <w:tc>
          <w:tcPr>
            <w:tcW w:w="60" w:type="dxa"/>
            <w:vAlign w:val="bottom"/>
          </w:tcPr>
          <w:p>
            <w:pPr>
              <w:spacing w:after="0"/>
              <w:rPr>
                <w:sz w:val="12"/>
                <w:szCs w:val="12"/>
                <w:color w:val="auto"/>
              </w:rPr>
            </w:pPr>
          </w:p>
        </w:tc>
        <w:tc>
          <w:tcPr>
            <w:tcW w:w="5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4"/>
              </w:rPr>
              <w:t>Amount</w:t>
            </w:r>
          </w:p>
        </w:tc>
        <w:tc>
          <w:tcPr>
            <w:tcW w:w="520" w:type="dxa"/>
            <w:vAlign w:val="bottom"/>
          </w:tcPr>
          <w:p>
            <w:pPr>
              <w:spacing w:after="0"/>
              <w:rPr>
                <w:sz w:val="12"/>
                <w:szCs w:val="12"/>
                <w:color w:val="auto"/>
              </w:rPr>
            </w:pPr>
          </w:p>
        </w:tc>
        <w:tc>
          <w:tcPr>
            <w:tcW w:w="78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Shares</w:t>
            </w:r>
          </w:p>
        </w:tc>
        <w:tc>
          <w:tcPr>
            <w:tcW w:w="5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4"/>
              </w:rPr>
              <w:t>Amount</w:t>
            </w:r>
          </w:p>
        </w:tc>
        <w:tc>
          <w:tcPr>
            <w:tcW w:w="380" w:type="dxa"/>
            <w:vAlign w:val="bottom"/>
          </w:tcPr>
          <w:p>
            <w:pPr>
              <w:spacing w:after="0"/>
              <w:rPr>
                <w:sz w:val="12"/>
                <w:szCs w:val="12"/>
                <w:color w:val="auto"/>
              </w:rPr>
            </w:pPr>
          </w:p>
        </w:tc>
        <w:tc>
          <w:tcPr>
            <w:tcW w:w="120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Capital</w:t>
            </w:r>
          </w:p>
        </w:tc>
        <w:tc>
          <w:tcPr>
            <w:tcW w:w="102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2"/>
                <w:szCs w:val="12"/>
                <w:color w:val="auto"/>
              </w:rPr>
            </w:pPr>
          </w:p>
        </w:tc>
        <w:tc>
          <w:tcPr>
            <w:tcW w:w="1160" w:type="dxa"/>
            <w:vAlign w:val="bottom"/>
            <w:gridSpan w:val="3"/>
          </w:tcPr>
          <w:p>
            <w:pPr>
              <w:jc w:val="center"/>
              <w:ind w:right="200"/>
              <w:spacing w:after="0" w:line="142" w:lineRule="exact"/>
              <w:rPr>
                <w:sz w:val="20"/>
                <w:szCs w:val="20"/>
                <w:color w:val="auto"/>
              </w:rPr>
            </w:pPr>
            <w:r>
              <w:rPr>
                <w:rFonts w:ascii="Arial" w:cs="Arial" w:eastAsia="Arial" w:hAnsi="Arial"/>
                <w:sz w:val="14"/>
                <w:szCs w:val="14"/>
                <w:b w:val="1"/>
                <w:bCs w:val="1"/>
                <w:color w:val="auto"/>
                <w:w w:val="92"/>
              </w:rPr>
              <w:t>Income (Loss)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191"/>
        </w:trPr>
        <w:tc>
          <w:tcPr>
            <w:tcW w:w="204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Balance, December 31,</w:t>
            </w:r>
          </w:p>
        </w:tc>
        <w:tc>
          <w:tcPr>
            <w:tcW w:w="5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2007</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1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76,592</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79"/>
              </w:rPr>
              <w:t>77</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$ 1,253,235</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 (793,217)</w:t>
            </w:r>
          </w:p>
        </w:tc>
        <w:tc>
          <w:tcPr>
            <w:tcW w:w="3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460,267</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40" w:type="dxa"/>
            <w:vAlign w:val="bottom"/>
          </w:tcPr>
          <w:p>
            <w:pPr>
              <w:spacing w:after="0" w:line="201" w:lineRule="exact"/>
              <w:rPr>
                <w:sz w:val="20"/>
                <w:szCs w:val="20"/>
                <w:color w:val="auto"/>
              </w:rPr>
            </w:pPr>
            <w:r>
              <w:rPr>
                <w:rFonts w:ascii="Arial" w:cs="Arial" w:eastAsia="Arial" w:hAnsi="Arial"/>
                <w:sz w:val="18"/>
                <w:szCs w:val="18"/>
                <w:color w:val="auto"/>
              </w:rPr>
              <w:t>Issuance of Common</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220"/>
              <w:spacing w:after="0"/>
              <w:rPr>
                <w:sz w:val="20"/>
                <w:szCs w:val="20"/>
                <w:color w:val="auto"/>
              </w:rPr>
            </w:pPr>
            <w:r>
              <w:rPr>
                <w:rFonts w:ascii="Arial" w:cs="Arial" w:eastAsia="Arial" w:hAnsi="Arial"/>
                <w:sz w:val="18"/>
                <w:szCs w:val="18"/>
                <w:color w:val="auto"/>
              </w:rPr>
              <w:t>Stock in connection</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220"/>
              <w:spacing w:after="0"/>
              <w:rPr>
                <w:sz w:val="20"/>
                <w:szCs w:val="20"/>
                <w:color w:val="auto"/>
              </w:rPr>
            </w:pPr>
            <w:r>
              <w:rPr>
                <w:rFonts w:ascii="Arial" w:cs="Arial" w:eastAsia="Arial" w:hAnsi="Arial"/>
                <w:sz w:val="18"/>
                <w:szCs w:val="18"/>
                <w:color w:val="auto"/>
              </w:rPr>
              <w:t>with exercise of stock</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220"/>
              <w:spacing w:after="0"/>
              <w:rPr>
                <w:sz w:val="20"/>
                <w:szCs w:val="20"/>
                <w:color w:val="auto"/>
              </w:rPr>
            </w:pPr>
            <w:r>
              <w:rPr>
                <w:rFonts w:ascii="Arial" w:cs="Arial" w:eastAsia="Arial" w:hAnsi="Arial"/>
                <w:sz w:val="18"/>
                <w:szCs w:val="18"/>
                <w:color w:val="auto"/>
              </w:rPr>
              <w:t>options, net of shares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tcPr>
          <w:p>
            <w:pPr>
              <w:ind w:left="220"/>
              <w:spacing w:after="0"/>
              <w:rPr>
                <w:sz w:val="20"/>
                <w:szCs w:val="20"/>
                <w:color w:val="auto"/>
              </w:rPr>
            </w:pPr>
            <w:r>
              <w:rPr>
                <w:rFonts w:ascii="Arial" w:cs="Arial" w:eastAsia="Arial" w:hAnsi="Arial"/>
                <w:sz w:val="18"/>
                <w:szCs w:val="18"/>
                <w:color w:val="auto"/>
              </w:rPr>
              <w:t>tendered</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350</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3,685</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3,685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in connection</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with Company 401(k)</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Savings Plan</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contribution</w:t>
            </w: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1,107</w:t>
            </w: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40" w:type="dxa"/>
            <w:vAlign w:val="bottom"/>
          </w:tcPr>
          <w:p>
            <w:pPr>
              <w:spacing w:after="0" w:line="201" w:lineRule="exact"/>
              <w:rPr>
                <w:sz w:val="20"/>
                <w:szCs w:val="20"/>
                <w:color w:val="auto"/>
              </w:rPr>
            </w:pPr>
            <w:r>
              <w:rPr>
                <w:rFonts w:ascii="Arial" w:cs="Arial" w:eastAsia="Arial" w:hAnsi="Arial"/>
                <w:sz w:val="18"/>
                <w:szCs w:val="18"/>
                <w:color w:val="auto"/>
              </w:rPr>
              <w:t>Conversion of Class A</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220"/>
              <w:spacing w:after="0"/>
              <w:rPr>
                <w:sz w:val="20"/>
                <w:szCs w:val="20"/>
                <w:color w:val="auto"/>
              </w:rPr>
            </w:pPr>
            <w:r>
              <w:rPr>
                <w:rFonts w:ascii="Arial" w:cs="Arial" w:eastAsia="Arial" w:hAnsi="Arial"/>
                <w:sz w:val="18"/>
                <w:szCs w:val="18"/>
                <w:color w:val="auto"/>
              </w:rPr>
              <w:t>Stock to Common</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tcPr>
          <w:p>
            <w:pPr>
              <w:ind w:left="220"/>
              <w:spacing w:after="0"/>
              <w:rPr>
                <w:sz w:val="20"/>
                <w:szCs w:val="20"/>
                <w:color w:val="auto"/>
              </w:rPr>
            </w:pPr>
            <w:r>
              <w:rPr>
                <w:rFonts w:ascii="Arial" w:cs="Arial" w:eastAsia="Arial" w:hAnsi="Arial"/>
                <w:sz w:val="18"/>
                <w:szCs w:val="18"/>
                <w:color w:val="auto"/>
              </w:rPr>
              <w:t>Stock</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compensation</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w:t>
            </w: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16,500</w:t>
            </w: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16,500</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Net loss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(30,077)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(30,077)</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(30,077)</w:t>
            </w:r>
          </w:p>
        </w:tc>
        <w:tc>
          <w:tcPr>
            <w:tcW w:w="0" w:type="dxa"/>
            <w:vAlign w:val="bottom"/>
          </w:tcPr>
          <w:p>
            <w:pPr>
              <w:spacing w:after="0"/>
              <w:rPr>
                <w:sz w:val="1"/>
                <w:szCs w:val="1"/>
                <w:color w:val="auto"/>
              </w:rPr>
            </w:pPr>
          </w:p>
        </w:tc>
      </w:tr>
      <w:tr>
        <w:trPr>
          <w:trHeight w:val="202"/>
        </w:trPr>
        <w:tc>
          <w:tcPr>
            <w:tcW w:w="2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net unrealized</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(loss) on</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marketable securities</w:t>
            </w: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(485)</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(485)</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Balance, June 30, 2008</w:t>
            </w: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40" w:type="dxa"/>
            <w:vAlign w:val="bottom"/>
            <w:vMerge w:val="continue"/>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2,258</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500"/>
              <w:spacing w:after="0"/>
              <w:rPr>
                <w:sz w:val="20"/>
                <w:szCs w:val="20"/>
                <w:color w:val="auto"/>
              </w:rPr>
            </w:pPr>
            <w:r>
              <w:rPr>
                <w:rFonts w:ascii="Arial" w:cs="Arial" w:eastAsia="Arial" w:hAnsi="Arial"/>
                <w:sz w:val="18"/>
                <w:szCs w:val="18"/>
                <w:color w:val="auto"/>
              </w:rPr>
              <w:t>2</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77,003</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w w:val="79"/>
              </w:rPr>
              <w:t>77</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$ 1,274,527</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 (823,294)</w:t>
            </w:r>
          </w:p>
        </w:tc>
        <w:tc>
          <w:tcPr>
            <w:tcW w:w="3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(315)</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450,997</w:t>
            </w:r>
          </w:p>
        </w:tc>
        <w:tc>
          <w:tcPr>
            <w:tcW w:w="200" w:type="dxa"/>
            <w:vAlign w:val="bottom"/>
          </w:tcPr>
          <w:p>
            <w:pPr>
              <w:spacing w:after="0"/>
              <w:rPr>
                <w:sz w:val="24"/>
                <w:szCs w:val="24"/>
                <w:color w:val="auto"/>
              </w:rPr>
            </w:pP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(30,562)</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CASH FLOWS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9"/>
              </w:rPr>
              <w:t>Six months ended 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(30,077)</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(56,691)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5,887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Non-cash compensation expense</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16,500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Loss on early extinguishment of debt</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931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Impairment charge on marketable securities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Changes in assets and liabilities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Increase in accounts receivable</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(14,518)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600"/>
              <w:spacing w:after="0"/>
              <w:rPr>
                <w:sz w:val="20"/>
                <w:szCs w:val="20"/>
                <w:color w:val="auto"/>
              </w:rPr>
            </w:pPr>
            <w:r>
              <w:rPr>
                <w:rFonts w:ascii="Arial" w:cs="Arial" w:eastAsia="Arial" w:hAnsi="Arial"/>
                <w:sz w:val="18"/>
                <w:szCs w:val="18"/>
                <w:color w:val="auto"/>
              </w:rPr>
              <w:t>Decrease (increase) in prepaid expenses and other assets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3,866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Increase in deferred revenue</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6,527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600"/>
              <w:spacing w:after="0"/>
              <w:rPr>
                <w:sz w:val="20"/>
                <w:szCs w:val="20"/>
                <w:color w:val="auto"/>
              </w:rPr>
            </w:pPr>
            <w:r>
              <w:rPr>
                <w:rFonts w:ascii="Arial" w:cs="Arial" w:eastAsia="Arial" w:hAnsi="Arial"/>
                <w:sz w:val="18"/>
                <w:szCs w:val="18"/>
                <w:color w:val="auto"/>
              </w:rPr>
              <w:t>(Decrease) increase in accounts payable, accrued expenses, and other liabilities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(1,346)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14,324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adjustments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18,377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800"/>
              <w:spacing w:after="0"/>
              <w:rPr>
                <w:sz w:val="20"/>
                <w:szCs w:val="20"/>
                <w:color w:val="auto"/>
              </w:rPr>
            </w:pPr>
            <w:r>
              <w:rPr>
                <w:rFonts w:ascii="Arial" w:cs="Arial" w:eastAsia="Arial" w:hAnsi="Arial"/>
                <w:sz w:val="18"/>
                <w:szCs w:val="18"/>
                <w:color w:val="auto"/>
              </w:rPr>
              <w:t>Net cash used in operating activities</w:t>
            </w:r>
          </w:p>
        </w:tc>
        <w:tc>
          <w:tcPr>
            <w:tcW w:w="1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(11,700)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(12,745)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7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Purchases of marketable securities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(346,647)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(371,007)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or maturities of marketable securities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239,853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253,719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(9,789)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restricted cash</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800"/>
              <w:spacing w:after="0"/>
              <w:rPr>
                <w:sz w:val="20"/>
                <w:szCs w:val="20"/>
                <w:color w:val="auto"/>
              </w:rPr>
            </w:pPr>
            <w:r>
              <w:rPr>
                <w:rFonts w:ascii="Arial" w:cs="Arial" w:eastAsia="Arial" w:hAnsi="Arial"/>
                <w:sz w:val="18"/>
                <w:szCs w:val="18"/>
                <w:color w:val="auto"/>
              </w:rPr>
              <w:t>Net cash used in investing activities</w:t>
            </w:r>
          </w:p>
        </w:tc>
        <w:tc>
          <w:tcPr>
            <w:tcW w:w="1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(116,633)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(120,312)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7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Extinguishment of long-term debt</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(82,148)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proceeds from the issuance of Common Stock</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3,685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800"/>
              <w:spacing w:after="0"/>
              <w:rPr>
                <w:sz w:val="20"/>
                <w:szCs w:val="20"/>
                <w:color w:val="auto"/>
              </w:rPr>
            </w:pPr>
            <w:r>
              <w:rPr>
                <w:rFonts w:ascii="Arial" w:cs="Arial" w:eastAsia="Arial" w:hAnsi="Arial"/>
                <w:sz w:val="18"/>
                <w:szCs w:val="18"/>
                <w:color w:val="auto"/>
              </w:rPr>
              <w:t>Net cash (used in) provided by financing activities</w:t>
            </w:r>
          </w:p>
        </w:tc>
        <w:tc>
          <w:tcPr>
            <w:tcW w:w="1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(78,463)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7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(206,796)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(128,233)</w:t>
            </w:r>
          </w:p>
        </w:tc>
        <w:tc>
          <w:tcPr>
            <w:tcW w:w="0" w:type="dxa"/>
            <w:vAlign w:val="bottom"/>
          </w:tcPr>
          <w:p>
            <w:pPr>
              <w:spacing w:after="0"/>
              <w:rPr>
                <w:sz w:val="1"/>
                <w:szCs w:val="1"/>
                <w:color w:val="auto"/>
              </w:rPr>
            </w:pPr>
          </w:p>
        </w:tc>
      </w:tr>
      <w:tr>
        <w:trPr>
          <w:trHeight w:val="432"/>
        </w:trPr>
        <w:tc>
          <w:tcPr>
            <w:tcW w:w="772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498,925</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237,876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7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292,129</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109,643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Statements</w:t>
      </w:r>
    </w:p>
    <w:p>
      <w:pPr>
        <w:spacing w:after="0" w:line="121"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interim Condensed Financial Statements of Regeneron Pharmaceuticals, Inc. (“Regeneron” or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adjustments, consisting only of normal recurring accruals, necessary for a fair presentation of the Company’s financial position, results of operations, and cash flows for such periods. The results of operations for any interim periods are not necessarily indicative of the results for the full year. The December 31, 2007 Condensed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2007.</w:t>
      </w:r>
    </w:p>
    <w:p>
      <w:pPr>
        <w:spacing w:after="0" w:line="74" w:lineRule="exact"/>
        <w:rPr>
          <w:sz w:val="20"/>
          <w:szCs w:val="20"/>
          <w:color w:val="auto"/>
        </w:rPr>
      </w:pPr>
    </w:p>
    <w:p>
      <w:pPr>
        <w:ind w:right="80" w:firstLine="225"/>
        <w:spacing w:after="0" w:line="291" w:lineRule="auto"/>
        <w:rPr>
          <w:sz w:val="20"/>
          <w:szCs w:val="20"/>
          <w:color w:val="auto"/>
        </w:rPr>
      </w:pPr>
      <w:r>
        <w:rPr>
          <w:rFonts w:ascii="Arial" w:cs="Arial" w:eastAsia="Arial" w:hAnsi="Arial"/>
          <w:sz w:val="16"/>
          <w:szCs w:val="16"/>
          <w:color w:val="auto"/>
        </w:rPr>
        <w:t>Included in research and development expenses is the Company’s share of VEGF Trap-Eye development expenses incurred by Bayer HealthCare LLC, including the Company’s share of Bayer HealthCare’s estimated VEGF Trap-Eye development expenses for the most recent interim fiscal quarter. Bayer HealthCare’s estimate is reconciled to their actual expenses for such quarter in the subsequent interim fiscal quarter and the Company’s share of VEGF Trap-Eye development expenses incurred by Bayer HealthCare is adjusted accordingly. During the three and six months ended June 30, 2008, the Company recognized cost sharing of Bayer HealthCare VEGF Trap-Eye development expenses of $8.8 million and $15.4 million, respectively. For the three months ended June 30, 2008, cost sharing of Bayer HealthCare development expenses consists of $12.5 million of estimated second quarter expense less a $3.7 million adjustment to reconcile Bayer HealthCare’s actual first quarter 2008 VEGF Trap-Eye development expenses to their prior estimate.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ARCALYST</w:t>
      </w:r>
      <w:r>
        <w:rPr>
          <w:rFonts w:ascii="Arial" w:cs="Arial" w:eastAsia="Arial" w:hAnsi="Arial"/>
          <w:sz w:val="26"/>
          <w:szCs w:val="26"/>
          <w:b w:val="1"/>
          <w:bCs w:val="1"/>
          <w:color w:val="auto"/>
          <w:vertAlign w:val="superscript"/>
        </w:rPr>
        <w:t>®</w:t>
      </w:r>
      <w:r>
        <w:rPr>
          <w:rFonts w:ascii="Arial" w:cs="Arial" w:eastAsia="Arial" w:hAnsi="Arial"/>
          <w:sz w:val="18"/>
          <w:szCs w:val="18"/>
          <w:b w:val="1"/>
          <w:bCs w:val="1"/>
          <w:color w:val="auto"/>
        </w:rPr>
        <w:t xml:space="preserve"> (rilonacept) Product Revenue and Inventory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01"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In March 2008, ARCALYST</w:t>
      </w:r>
      <w:r>
        <w:rPr>
          <w:rFonts w:ascii="Arial" w:cs="Arial" w:eastAsia="Arial" w:hAnsi="Arial"/>
          <w:sz w:val="14"/>
          <w:szCs w:val="14"/>
          <w:color w:val="auto"/>
        </w:rPr>
        <w:t>®</w:t>
      </w:r>
      <w:r>
        <w:rPr>
          <w:rFonts w:ascii="Arial" w:cs="Arial" w:eastAsia="Arial" w:hAnsi="Arial"/>
          <w:sz w:val="17"/>
          <w:szCs w:val="17"/>
          <w:color w:val="auto"/>
        </w:rPr>
        <w:t xml:space="preserve"> (rilonacept) became available for prescription in the United States for the treatment of Cryopyrin-Associated Periodic Syndromes (CAPS). During the second quarter and first half of 2008, the Company shipped $1.6 million and $2.4 million, respectively, of ARCALYST to its distributors. The Company will recognize revenue from product sales in accordance with Staff Accounting Bulletin No. 104,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(“SAB 104”). Revenue from product sales is recognized when persuasive evidence of an arrangement exists, title to product and associated risk of loss has passed to the customer, the price is fixed or determinable, collection from the customer is reasonably assured and the Company has no further performance obligations. When recognized, revenues from product sales will be recorded net of applicable provisions for prompt pay discounts, product returns, and estimated rebates. The Company will account for these reductions in accordance with Emerging</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03"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 xml:space="preserve">Issues Task Force Issue No. 01-9, </w:t>
      </w:r>
      <w:r>
        <w:rPr>
          <w:rFonts w:ascii="Arial" w:cs="Arial" w:eastAsia="Arial" w:hAnsi="Arial"/>
          <w:sz w:val="17"/>
          <w:szCs w:val="17"/>
          <w:i w:val="1"/>
          <w:iCs w:val="1"/>
          <w:color w:val="auto"/>
        </w:rPr>
        <w:t>Accounting for Consideration Given by a Vendor to a Customer (Including a Reseller of the Vendor’s Products)</w:t>
      </w:r>
      <w:r>
        <w:rPr>
          <w:rFonts w:ascii="Arial" w:cs="Arial" w:eastAsia="Arial" w:hAnsi="Arial"/>
          <w:sz w:val="17"/>
          <w:szCs w:val="17"/>
          <w:color w:val="auto"/>
        </w:rPr>
        <w:t xml:space="preserve"> (“EITF 01-9”), and Statement of Financial Accounting Standards No. (“SFAS”) 48, </w:t>
      </w:r>
      <w:r>
        <w:rPr>
          <w:rFonts w:ascii="Arial" w:cs="Arial" w:eastAsia="Arial" w:hAnsi="Arial"/>
          <w:sz w:val="17"/>
          <w:szCs w:val="17"/>
          <w:i w:val="1"/>
          <w:iCs w:val="1"/>
          <w:color w:val="auto"/>
        </w:rPr>
        <w:t>Revenue Recognition When Right of Return Exists</w:t>
      </w:r>
      <w:r>
        <w:rPr>
          <w:rFonts w:ascii="Arial" w:cs="Arial" w:eastAsia="Arial" w:hAnsi="Arial"/>
          <w:sz w:val="17"/>
          <w:szCs w:val="17"/>
          <w:color w:val="auto"/>
        </w:rPr>
        <w:t>, as applicable.</w:t>
      </w:r>
    </w:p>
    <w:p>
      <w:pPr>
        <w:spacing w:after="0" w:line="38"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Since the Company has no historical return or rebate experience for ARCALYST</w:t>
      </w:r>
      <w:r>
        <w:rPr>
          <w:rFonts w:ascii="Arial" w:cs="Arial" w:eastAsia="Arial" w:hAnsi="Arial"/>
          <w:sz w:val="15"/>
          <w:szCs w:val="15"/>
          <w:color w:val="auto"/>
        </w:rPr>
        <w:t>®</w:t>
      </w:r>
      <w:r>
        <w:rPr>
          <w:rFonts w:ascii="Arial" w:cs="Arial" w:eastAsia="Arial" w:hAnsi="Arial"/>
          <w:sz w:val="18"/>
          <w:szCs w:val="18"/>
          <w:color w:val="auto"/>
        </w:rPr>
        <w:t xml:space="preserve"> (rilonacept), no product sales revenue has been recognized in the first half of 2008, and revenue recognition has been fully deferred until the right of return no longer exists and rebates have been processed, or until the Company can reasonably estimate returns and rebates. At June 30, 2008, deferred revenue related to ARCALYST product sales, net of prompt pay discounts and distributor fees, totaled $2.3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jc w:val="both"/>
        <w:ind w:right="160" w:firstLine="222"/>
        <w:spacing w:after="0" w:line="302" w:lineRule="auto"/>
        <w:rPr>
          <w:sz w:val="20"/>
          <w:szCs w:val="20"/>
          <w:color w:val="auto"/>
        </w:rPr>
      </w:pPr>
      <w:r>
        <w:rPr>
          <w:rFonts w:ascii="Arial" w:cs="Arial" w:eastAsia="Arial" w:hAnsi="Arial"/>
          <w:sz w:val="16"/>
          <w:szCs w:val="16"/>
          <w:color w:val="auto"/>
        </w:rPr>
        <w:t>The Company began capitalizing inventory costs associated with commercial supplies of ARCALYST subsequent to receipt of marketing approval from the U.S. Food and Drug Administration (“FDA”) in February 2008. Costs for manufacturing supplies of ARCALYST prior to receipt of FDA approval were recognized as research and development expenses in the period that the costs were incurred. Therefore, these costs will not be included in cost of goods sold when revenue is recognized from the sale of those supplies of ARCALYST. At June 30, 2008, inventoried costs related to ARCALYST were insignificant.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Per Share Data</w:t>
      </w:r>
    </w:p>
    <w:p>
      <w:pPr>
        <w:spacing w:after="0" w:line="121" w:lineRule="exact"/>
        <w:rPr>
          <w:sz w:val="20"/>
          <w:szCs w:val="20"/>
          <w:color w:val="auto"/>
        </w:rPr>
      </w:pPr>
    </w:p>
    <w:p>
      <w:pPr>
        <w:ind w:right="240" w:firstLine="222"/>
        <w:spacing w:after="0" w:line="276" w:lineRule="auto"/>
        <w:rPr>
          <w:sz w:val="20"/>
          <w:szCs w:val="20"/>
          <w:color w:val="auto"/>
        </w:rPr>
      </w:pPr>
      <w:r>
        <w:rPr>
          <w:rFonts w:ascii="Arial" w:cs="Arial" w:eastAsia="Arial" w:hAnsi="Arial"/>
          <w:sz w:val="17"/>
          <w:szCs w:val="17"/>
          <w:color w:val="auto"/>
        </w:rPr>
        <w:t>The Company’s basic and diluted net loss per share amounts have been computed by dividing net loss by the weighted average number of shares of Common Stock and Class A Stock outstanding. Net loss per share is presented on a combined basis, inclusive of Common Stock and Class A Stock outstanding, as each class of stock has equivalent economic rights. For the three and six months ended June 30, 2008 and 2007, the Company reported net losses; therefore, no common stock equivalents were included in the computation of diluted net loss per share for these periods, since such inclusion would have been antidilutive. The calculations of basic and diluted net loss per share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color w:val="auto"/>
              </w:rPr>
              <w:t>Three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7"/>
              <w:spacing w:after="0" w:line="142" w:lineRule="exact"/>
              <w:rPr>
                <w:sz w:val="20"/>
                <w:szCs w:val="20"/>
                <w:color w:val="auto"/>
              </w:rPr>
            </w:pPr>
            <w:r>
              <w:rPr>
                <w:rFonts w:ascii="Arial" w:cs="Arial" w:eastAsia="Arial" w:hAnsi="Arial"/>
                <w:sz w:val="14"/>
                <w:szCs w:val="14"/>
                <w:color w:val="auto"/>
              </w:rPr>
              <w:t>2008</w:t>
            </w:r>
          </w:p>
        </w:tc>
        <w:tc>
          <w:tcPr>
            <w:tcW w:w="5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4"/>
              <w:spacing w:after="0" w:line="142" w:lineRule="exact"/>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loss (Numerator)</w:t>
            </w:r>
          </w:p>
        </w:tc>
        <w:tc>
          <w:tcPr>
            <w:tcW w:w="3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w w:val="89"/>
              </w:rPr>
              <w:t>(18,459)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89"/>
              </w:rPr>
              <w:t>(26,774)</w:t>
            </w:r>
          </w:p>
        </w:tc>
        <w:tc>
          <w:tcPr>
            <w:tcW w:w="0" w:type="dxa"/>
            <w:vAlign w:val="bottom"/>
          </w:tcPr>
          <w:p>
            <w:pPr>
              <w:spacing w:after="0"/>
              <w:rPr>
                <w:sz w:val="1"/>
                <w:szCs w:val="1"/>
                <w:color w:val="auto"/>
              </w:rPr>
            </w:pPr>
          </w:p>
        </w:tc>
      </w:tr>
      <w:tr>
        <w:trPr>
          <w:trHeight w:val="432"/>
        </w:trPr>
        <w:tc>
          <w:tcPr>
            <w:tcW w:w="4800" w:type="dxa"/>
            <w:vAlign w:val="bottom"/>
            <w:gridSpan w:val="2"/>
          </w:tcPr>
          <w:p>
            <w:pPr>
              <w:spacing w:after="0"/>
              <w:rPr>
                <w:sz w:val="20"/>
                <w:szCs w:val="20"/>
                <w:color w:val="auto"/>
              </w:rPr>
            </w:pPr>
            <w:r>
              <w:rPr>
                <w:rFonts w:ascii="Arial" w:cs="Arial" w:eastAsia="Arial" w:hAnsi="Arial"/>
                <w:sz w:val="18"/>
                <w:szCs w:val="18"/>
                <w:color w:val="auto"/>
              </w:rPr>
              <w:t>Weighted-average shares, in thousands (Denominator)</w:t>
            </w:r>
          </w:p>
        </w:tc>
        <w:tc>
          <w:tcPr>
            <w:tcW w:w="3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ind w:right="257"/>
              <w:spacing w:after="0"/>
              <w:rPr>
                <w:sz w:val="20"/>
                <w:szCs w:val="20"/>
                <w:color w:val="auto"/>
              </w:rPr>
            </w:pPr>
            <w:r>
              <w:rPr>
                <w:rFonts w:ascii="Arial" w:cs="Arial" w:eastAsia="Arial" w:hAnsi="Arial"/>
                <w:sz w:val="18"/>
                <w:szCs w:val="18"/>
                <w:color w:val="auto"/>
                <w:w w:val="98"/>
              </w:rPr>
              <w:t>78,689</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254"/>
              <w:spacing w:after="0"/>
              <w:rPr>
                <w:sz w:val="20"/>
                <w:szCs w:val="20"/>
                <w:color w:val="auto"/>
              </w:rPr>
            </w:pPr>
            <w:r>
              <w:rPr>
                <w:rFonts w:ascii="Arial" w:cs="Arial" w:eastAsia="Arial" w:hAnsi="Arial"/>
                <w:sz w:val="18"/>
                <w:szCs w:val="18"/>
                <w:color w:val="auto"/>
                <w:w w:val="98"/>
              </w:rPr>
              <w:t>65,950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3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(0.23)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560" w:type="dxa"/>
            <w:vAlign w:val="bottom"/>
          </w:tcPr>
          <w:p>
            <w:pPr>
              <w:jc w:val="right"/>
              <w:ind w:right="2510"/>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780" w:type="dxa"/>
            <w:vAlign w:val="bottom"/>
            <w:tcBorders>
              <w:bottom w:val="single" w:sz="8" w:color="808080"/>
            </w:tcBorders>
          </w:tcPr>
          <w:p>
            <w:pPr>
              <w:spacing w:after="0"/>
              <w:rPr>
                <w:sz w:val="19"/>
                <w:szCs w:val="19"/>
                <w:color w:val="auto"/>
              </w:rPr>
            </w:pPr>
          </w:p>
        </w:tc>
        <w:tc>
          <w:tcPr>
            <w:tcW w:w="35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7"/>
              <w:spacing w:after="0" w:line="142" w:lineRule="exact"/>
              <w:rPr>
                <w:sz w:val="20"/>
                <w:szCs w:val="20"/>
                <w:color w:val="auto"/>
              </w:rPr>
            </w:pPr>
            <w:r>
              <w:rPr>
                <w:rFonts w:ascii="Arial" w:cs="Arial" w:eastAsia="Arial" w:hAnsi="Arial"/>
                <w:sz w:val="14"/>
                <w:szCs w:val="14"/>
                <w:color w:val="auto"/>
              </w:rPr>
              <w:t>2008</w:t>
            </w:r>
          </w:p>
        </w:tc>
        <w:tc>
          <w:tcPr>
            <w:tcW w:w="5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4"/>
              <w:spacing w:after="0" w:line="142" w:lineRule="exact"/>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Net loss (Numerator)</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w w:val="89"/>
              </w:rPr>
              <w:t>(30,077)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89"/>
              </w:rPr>
              <w:t>(56,691)</w:t>
            </w:r>
          </w:p>
        </w:tc>
        <w:tc>
          <w:tcPr>
            <w:tcW w:w="0" w:type="dxa"/>
            <w:vAlign w:val="bottom"/>
          </w:tcPr>
          <w:p>
            <w:pPr>
              <w:spacing w:after="0"/>
              <w:rPr>
                <w:sz w:val="1"/>
                <w:szCs w:val="1"/>
                <w:color w:val="auto"/>
              </w:rPr>
            </w:pPr>
          </w:p>
        </w:tc>
      </w:tr>
      <w:tr>
        <w:trPr>
          <w:trHeight w:val="432"/>
        </w:trPr>
        <w:tc>
          <w:tcPr>
            <w:tcW w:w="8380" w:type="dxa"/>
            <w:vAlign w:val="bottom"/>
            <w:gridSpan w:val="2"/>
          </w:tcPr>
          <w:p>
            <w:pPr>
              <w:spacing w:after="0"/>
              <w:rPr>
                <w:sz w:val="20"/>
                <w:szCs w:val="20"/>
                <w:color w:val="auto"/>
              </w:rPr>
            </w:pPr>
            <w:r>
              <w:rPr>
                <w:rFonts w:ascii="Arial" w:cs="Arial" w:eastAsia="Arial" w:hAnsi="Arial"/>
                <w:sz w:val="18"/>
                <w:szCs w:val="18"/>
                <w:color w:val="auto"/>
              </w:rPr>
              <w:t>Weighted-average shares, in thousands (Denominator)</w:t>
            </w:r>
          </w:p>
        </w:tc>
        <w:tc>
          <w:tcPr>
            <w:tcW w:w="340" w:type="dxa"/>
            <w:vAlign w:val="bottom"/>
          </w:tcPr>
          <w:p>
            <w:pPr>
              <w:spacing w:after="0"/>
              <w:rPr>
                <w:sz w:val="24"/>
                <w:szCs w:val="24"/>
                <w:color w:val="auto"/>
              </w:rPr>
            </w:pPr>
          </w:p>
        </w:tc>
        <w:tc>
          <w:tcPr>
            <w:tcW w:w="900" w:type="dxa"/>
            <w:vAlign w:val="bottom"/>
          </w:tcPr>
          <w:p>
            <w:pPr>
              <w:jc w:val="right"/>
              <w:ind w:right="257"/>
              <w:spacing w:after="0"/>
              <w:rPr>
                <w:sz w:val="20"/>
                <w:szCs w:val="20"/>
                <w:color w:val="auto"/>
              </w:rPr>
            </w:pPr>
            <w:r>
              <w:rPr>
                <w:rFonts w:ascii="Arial" w:cs="Arial" w:eastAsia="Arial" w:hAnsi="Arial"/>
                <w:sz w:val="18"/>
                <w:szCs w:val="18"/>
                <w:color w:val="auto"/>
                <w:w w:val="98"/>
              </w:rPr>
              <w:t>78,591</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254"/>
              <w:spacing w:after="0"/>
              <w:rPr>
                <w:sz w:val="20"/>
                <w:szCs w:val="20"/>
                <w:color w:val="auto"/>
              </w:rPr>
            </w:pPr>
            <w:r>
              <w:rPr>
                <w:rFonts w:ascii="Arial" w:cs="Arial" w:eastAsia="Arial" w:hAnsi="Arial"/>
                <w:sz w:val="18"/>
                <w:szCs w:val="18"/>
                <w:color w:val="auto"/>
                <w:w w:val="98"/>
              </w:rPr>
              <w:t>65,757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(0.38)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00" w:firstLine="225"/>
        <w:spacing w:after="0" w:line="308" w:lineRule="auto"/>
        <w:rPr>
          <w:sz w:val="20"/>
          <w:szCs w:val="20"/>
          <w:color w:val="auto"/>
        </w:rPr>
      </w:pPr>
      <w:r>
        <w:rPr>
          <w:rFonts w:ascii="Arial" w:cs="Arial" w:eastAsia="Arial" w:hAnsi="Arial"/>
          <w:sz w:val="17"/>
          <w:szCs w:val="17"/>
          <w:color w:val="auto"/>
        </w:rPr>
        <w:t>Shares issuable upon the exercise of stock options, vesting of restricted stock awards, and conversion of convertible debt, which have been excluded from the June 30, 2008 and 2007 diluted per share amounts because their effect would have been antidilutive, include the following:</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4"/>
          </w:tcPr>
          <w:p>
            <w:pPr>
              <w:jc w:val="right"/>
              <w:ind w:right="134"/>
              <w:spacing w:after="0"/>
              <w:rPr>
                <w:sz w:val="20"/>
                <w:szCs w:val="20"/>
                <w:color w:val="auto"/>
              </w:rPr>
            </w:pPr>
            <w:r>
              <w:rPr>
                <w:rFonts w:ascii="Arial" w:cs="Arial" w:eastAsia="Arial" w:hAnsi="Arial"/>
                <w:sz w:val="14"/>
                <w:szCs w:val="14"/>
                <w:color w:val="auto"/>
                <w:w w:val="93"/>
              </w:rPr>
              <w:t>Three months ended June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rPr>
              <w:t>2008</w:t>
            </w: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4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Weighted average number, in thousands</w:t>
            </w:r>
          </w:p>
        </w:tc>
        <w:tc>
          <w:tcPr>
            <w:tcW w:w="4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5"/>
              <w:spacing w:after="0"/>
              <w:rPr>
                <w:sz w:val="20"/>
                <w:szCs w:val="20"/>
                <w:color w:val="auto"/>
              </w:rPr>
            </w:pPr>
            <w:r>
              <w:rPr>
                <w:rFonts w:ascii="Arial" w:cs="Arial" w:eastAsia="Arial" w:hAnsi="Arial"/>
                <w:sz w:val="18"/>
                <w:szCs w:val="18"/>
                <w:color w:val="auto"/>
                <w:w w:val="90"/>
              </w:rPr>
              <w:t>17,583</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w w:val="94"/>
              </w:rPr>
              <w:t>15,228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 average exercise price</w:t>
            </w:r>
          </w:p>
        </w:tc>
        <w:tc>
          <w:tcPr>
            <w:tcW w:w="5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17.24</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432"/>
        </w:trPr>
        <w:tc>
          <w:tcPr>
            <w:tcW w:w="4380" w:type="dxa"/>
            <w:vAlign w:val="bottom"/>
            <w:gridSpan w:val="2"/>
          </w:tcPr>
          <w:p>
            <w:pPr>
              <w:spacing w:after="0"/>
              <w:rPr>
                <w:sz w:val="20"/>
                <w:szCs w:val="20"/>
                <w:color w:val="auto"/>
              </w:rPr>
            </w:pPr>
            <w:r>
              <w:rPr>
                <w:rFonts w:ascii="Arial" w:cs="Arial" w:eastAsia="Arial" w:hAnsi="Arial"/>
                <w:sz w:val="18"/>
                <w:szCs w:val="18"/>
                <w:color w:val="auto"/>
              </w:rPr>
              <w:t>Restricted Stock:</w:t>
            </w:r>
          </w:p>
        </w:tc>
        <w:tc>
          <w:tcPr>
            <w:tcW w:w="4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 average number, in thousands</w:t>
            </w:r>
          </w:p>
        </w:tc>
        <w:tc>
          <w:tcPr>
            <w:tcW w:w="4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500</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380" w:type="dxa"/>
            <w:vAlign w:val="bottom"/>
            <w:gridSpan w:val="2"/>
          </w:tcPr>
          <w:p>
            <w:pPr>
              <w:spacing w:after="0"/>
              <w:rPr>
                <w:sz w:val="20"/>
                <w:szCs w:val="20"/>
                <w:color w:val="auto"/>
              </w:rPr>
            </w:pPr>
            <w:r>
              <w:rPr>
                <w:rFonts w:ascii="Arial" w:cs="Arial" w:eastAsia="Arial" w:hAnsi="Arial"/>
                <w:sz w:val="18"/>
                <w:szCs w:val="18"/>
                <w:color w:val="auto"/>
              </w:rPr>
              <w:t>Convertible Debt:</w:t>
            </w:r>
          </w:p>
        </w:tc>
        <w:tc>
          <w:tcPr>
            <w:tcW w:w="4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 average number, in thousands</w:t>
            </w:r>
          </w:p>
        </w:tc>
        <w:tc>
          <w:tcPr>
            <w:tcW w:w="4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5,848</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6,611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Conversion price</w:t>
            </w:r>
          </w:p>
        </w:tc>
        <w:tc>
          <w:tcPr>
            <w:tcW w:w="50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5"/>
              <w:spacing w:after="0"/>
              <w:rPr>
                <w:sz w:val="20"/>
                <w:szCs w:val="20"/>
                <w:color w:val="auto"/>
              </w:rPr>
            </w:pPr>
            <w:r>
              <w:rPr>
                <w:rFonts w:ascii="Arial" w:cs="Arial" w:eastAsia="Arial" w:hAnsi="Arial"/>
                <w:sz w:val="18"/>
                <w:szCs w:val="18"/>
                <w:color w:val="auto"/>
              </w:rPr>
              <w:t>30.25</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30.25</w:t>
            </w:r>
          </w:p>
        </w:tc>
        <w:tc>
          <w:tcPr>
            <w:tcW w:w="0" w:type="dxa"/>
            <w:vAlign w:val="bottom"/>
          </w:tcPr>
          <w:p>
            <w:pPr>
              <w:spacing w:after="0"/>
              <w:rPr>
                <w:sz w:val="1"/>
                <w:szCs w:val="1"/>
                <w:color w:val="auto"/>
              </w:rPr>
            </w:pPr>
          </w:p>
        </w:tc>
      </w:tr>
      <w:tr>
        <w:trPr>
          <w:trHeight w:val="332"/>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gridSpan w:val="4"/>
          </w:tcPr>
          <w:p>
            <w:pPr>
              <w:jc w:val="right"/>
              <w:ind w:right="214"/>
              <w:spacing w:after="0"/>
              <w:rPr>
                <w:sz w:val="20"/>
                <w:szCs w:val="20"/>
                <w:color w:val="auto"/>
              </w:rPr>
            </w:pPr>
            <w:r>
              <w:rPr>
                <w:rFonts w:ascii="Arial" w:cs="Arial" w:eastAsia="Arial" w:hAnsi="Arial"/>
                <w:sz w:val="14"/>
                <w:szCs w:val="14"/>
                <w:color w:val="auto"/>
                <w:w w:val="97"/>
              </w:rPr>
              <w:t>Six months ended June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rPr>
              <w:t>2008</w:t>
            </w: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4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Weighted average number, in thousands</w:t>
            </w:r>
          </w:p>
        </w:tc>
        <w:tc>
          <w:tcPr>
            <w:tcW w:w="4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5"/>
              <w:spacing w:after="0"/>
              <w:rPr>
                <w:sz w:val="20"/>
                <w:szCs w:val="20"/>
                <w:color w:val="auto"/>
              </w:rPr>
            </w:pPr>
            <w:r>
              <w:rPr>
                <w:rFonts w:ascii="Arial" w:cs="Arial" w:eastAsia="Arial" w:hAnsi="Arial"/>
                <w:sz w:val="18"/>
                <w:szCs w:val="18"/>
                <w:color w:val="auto"/>
                <w:w w:val="90"/>
              </w:rPr>
              <w:t>17,632</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w w:val="94"/>
              </w:rPr>
              <w:t>15,388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 average exercise price</w:t>
            </w:r>
          </w:p>
        </w:tc>
        <w:tc>
          <w:tcPr>
            <w:tcW w:w="5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17.20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432"/>
        </w:trPr>
        <w:tc>
          <w:tcPr>
            <w:tcW w:w="4380" w:type="dxa"/>
            <w:vAlign w:val="bottom"/>
            <w:gridSpan w:val="2"/>
          </w:tcPr>
          <w:p>
            <w:pPr>
              <w:spacing w:after="0"/>
              <w:rPr>
                <w:sz w:val="20"/>
                <w:szCs w:val="20"/>
                <w:color w:val="auto"/>
              </w:rPr>
            </w:pPr>
            <w:r>
              <w:rPr>
                <w:rFonts w:ascii="Arial" w:cs="Arial" w:eastAsia="Arial" w:hAnsi="Arial"/>
                <w:sz w:val="18"/>
                <w:szCs w:val="18"/>
                <w:color w:val="auto"/>
              </w:rPr>
              <w:t>Restricted Stock:</w:t>
            </w:r>
          </w:p>
        </w:tc>
        <w:tc>
          <w:tcPr>
            <w:tcW w:w="4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 average number, in thousands</w:t>
            </w:r>
          </w:p>
        </w:tc>
        <w:tc>
          <w:tcPr>
            <w:tcW w:w="4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500</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380" w:type="dxa"/>
            <w:vAlign w:val="bottom"/>
            <w:gridSpan w:val="2"/>
          </w:tcPr>
          <w:p>
            <w:pPr>
              <w:spacing w:after="0"/>
              <w:rPr>
                <w:sz w:val="20"/>
                <w:szCs w:val="20"/>
                <w:color w:val="auto"/>
              </w:rPr>
            </w:pPr>
            <w:r>
              <w:rPr>
                <w:rFonts w:ascii="Arial" w:cs="Arial" w:eastAsia="Arial" w:hAnsi="Arial"/>
                <w:sz w:val="18"/>
                <w:szCs w:val="18"/>
                <w:color w:val="auto"/>
              </w:rPr>
              <w:t>Convertible Debt:</w:t>
            </w:r>
          </w:p>
        </w:tc>
        <w:tc>
          <w:tcPr>
            <w:tcW w:w="4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 average number, in thousands</w:t>
            </w:r>
          </w:p>
        </w:tc>
        <w:tc>
          <w:tcPr>
            <w:tcW w:w="4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6,229</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6,611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Conversion price</w:t>
            </w:r>
          </w:p>
        </w:tc>
        <w:tc>
          <w:tcPr>
            <w:tcW w:w="50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5"/>
              <w:spacing w:after="0"/>
              <w:rPr>
                <w:sz w:val="20"/>
                <w:szCs w:val="20"/>
                <w:color w:val="auto"/>
              </w:rPr>
            </w:pPr>
            <w:r>
              <w:rPr>
                <w:rFonts w:ascii="Arial" w:cs="Arial" w:eastAsia="Arial" w:hAnsi="Arial"/>
                <w:sz w:val="18"/>
                <w:szCs w:val="18"/>
                <w:color w:val="auto"/>
              </w:rPr>
              <w:t>30.25</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30.25</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4900" w:type="dxa"/>
            <w:vAlign w:val="bottom"/>
          </w:tcPr>
          <w:p>
            <w:pPr>
              <w:jc w:val="right"/>
              <w:ind w:right="343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60" w:type="dxa"/>
            <w:vAlign w:val="bottom"/>
            <w:tcBorders>
              <w:bottom w:val="single" w:sz="8" w:color="808080"/>
            </w:tcBorders>
          </w:tcPr>
          <w:p>
            <w:pPr>
              <w:spacing w:after="0"/>
              <w:rPr>
                <w:sz w:val="19"/>
                <w:szCs w:val="19"/>
                <w:color w:val="auto"/>
              </w:rPr>
            </w:pPr>
          </w:p>
        </w:tc>
        <w:tc>
          <w:tcPr>
            <w:tcW w:w="4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Statement of Cash Flows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Supplemental disclosure of noncash investing and financing activities:</w:t>
      </w:r>
    </w:p>
    <w:p>
      <w:pPr>
        <w:spacing w:after="0" w:line="117"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color w:val="auto"/>
        </w:rPr>
        <w:t>In the first half of 2008, the Company recognized $1.1 million of compensation expense related to Restricted Stock awards, the fair value of which is expensed, on a pro rata basis, over the period that the restrictions on the shares lapse.</w:t>
      </w:r>
    </w:p>
    <w:p>
      <w:pPr>
        <w:spacing w:after="0" w:line="62"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Included in accounts payable and accrued expenses at June 30, 2008 and December 31, 2007 were $3.2 million and $1.7 million, respectively, of accrued capital expenditures. Included in accounts payable and accrued expenses at June 30, 2007 and December 31, 2006 were $1.3 million and $0.8 million, respectively, of accrued capital expenditures.</w:t>
      </w:r>
    </w:p>
    <w:p>
      <w:pPr>
        <w:spacing w:after="0" w:line="73"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Included in accounts payable and accrued expenses at December 31, 2007 and 2006 were $1.1 million and $1.4 million, respectively, of accrued Company 401(k) Savings Plan contribution expense. In the first quarter of 2008 and 2007, the Company contributed 58,575 and 64,532 shares, respectively, of Common Stock to the 401(k) Savings Plan in satisfaction of these obligations.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Included in marketable securities at June 30, 2008 and December 31, 2007 were $1.3 million and $2.2 million, respectively, of accrued interest income.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Included in marketable securities at June 30, 2007 and December 31, 2006 were $2.2 million and $1.5 million, respectively, of accrued interest income.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Statement of Financial Accounting Standards No. 157</w:t>
      </w:r>
    </w:p>
    <w:p>
      <w:pPr>
        <w:spacing w:after="0" w:line="117"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 xml:space="preserve">In September 2006, the Financial Accounting Standards Board (“FASB”) issued SFAS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SFAS 157 defines fair value, establishes a framework for measuring fair value in accordance with accounting principles generally accepted in the United States, and expands disclosures about fair value measurements. The Company adopted the provisions of SFAS 157 as of January 1, 2008, for financial instruments. Although the adoption of SFAS 157 did not materially impact the Company’s financial condition, results of operations, or cash flows, the Company is now required to provide additional disclosures as part of its financial statements.</w:t>
      </w:r>
    </w:p>
    <w:p>
      <w:pPr>
        <w:spacing w:after="0" w:line="80" w:lineRule="exact"/>
        <w:rPr>
          <w:sz w:val="20"/>
          <w:szCs w:val="20"/>
          <w:color w:val="auto"/>
        </w:rPr>
      </w:pPr>
    </w:p>
    <w:p>
      <w:pPr>
        <w:ind w:right="280" w:firstLine="225"/>
        <w:spacing w:after="0" w:line="259" w:lineRule="auto"/>
        <w:rPr>
          <w:sz w:val="20"/>
          <w:szCs w:val="20"/>
          <w:color w:val="auto"/>
        </w:rPr>
      </w:pPr>
      <w:r>
        <w:rPr>
          <w:rFonts w:ascii="Arial" w:cs="Arial" w:eastAsia="Arial" w:hAnsi="Arial"/>
          <w:sz w:val="18"/>
          <w:szCs w:val="18"/>
          <w:color w:val="auto"/>
        </w:rPr>
        <w:t>SFAS 157 establishes a three-tier fair value hierarchy, which prioritizes the inputs used in measuring fair value. The three tiers are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03"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The Company’s assets that are measured at fair value on a recurring basis, and subject to the disclosure requirements of SFAS 157 at June 30, 2008,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5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color w:val="auto"/>
                <w:w w:val="93"/>
              </w:rPr>
              <w:t>Fair Value Measurements at Reporting Date Using</w:t>
            </w:r>
          </w:p>
        </w:tc>
      </w:tr>
      <w:tr>
        <w:trPr>
          <w:trHeight w:val="123"/>
        </w:trPr>
        <w:tc>
          <w:tcPr>
            <w:tcW w:w="5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jc w:val="center"/>
              <w:spacing w:after="0" w:line="123" w:lineRule="exact"/>
              <w:rPr>
                <w:sz w:val="20"/>
                <w:szCs w:val="20"/>
                <w:color w:val="auto"/>
              </w:rPr>
            </w:pPr>
            <w:r>
              <w:rPr>
                <w:rFonts w:ascii="Arial" w:cs="Arial" w:eastAsia="Arial" w:hAnsi="Arial"/>
                <w:sz w:val="14"/>
                <w:szCs w:val="14"/>
                <w:color w:val="auto"/>
                <w:w w:val="99"/>
              </w:rPr>
              <w:t>Significant</w:t>
            </w: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149"/>
        </w:trPr>
        <w:tc>
          <w:tcPr>
            <w:tcW w:w="5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Quoted Prices in</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1"/>
              </w:rPr>
              <w:t>Other</w:t>
            </w: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9"/>
              </w:rPr>
              <w:t>Significant</w:t>
            </w:r>
          </w:p>
        </w:tc>
      </w:tr>
      <w:tr>
        <w:trPr>
          <w:trHeight w:val="149"/>
        </w:trPr>
        <w:tc>
          <w:tcPr>
            <w:tcW w:w="5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Active Markets for</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2"/>
              </w:rPr>
              <w:t>Observable</w:t>
            </w: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2"/>
              </w:rPr>
              <w:t>Unobservable</w:t>
            </w:r>
          </w:p>
        </w:tc>
      </w:tr>
      <w:tr>
        <w:trPr>
          <w:trHeight w:val="149"/>
        </w:trPr>
        <w:tc>
          <w:tcPr>
            <w:tcW w:w="5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Fair Value at</w:t>
            </w: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Identical Assets</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4"/>
              </w:rPr>
              <w:t>Inputs</w:t>
            </w: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4"/>
              </w:rPr>
              <w:t>Inputs</w:t>
            </w:r>
          </w:p>
        </w:tc>
      </w:tr>
      <w:tr>
        <w:trPr>
          <w:trHeight w:val="167"/>
        </w:trPr>
        <w:tc>
          <w:tcPr>
            <w:tcW w:w="5580" w:type="dxa"/>
            <w:vAlign w:val="bottom"/>
          </w:tcPr>
          <w:p>
            <w:pPr>
              <w:spacing w:after="0"/>
              <w:rPr>
                <w:sz w:val="20"/>
                <w:szCs w:val="20"/>
                <w:color w:val="auto"/>
              </w:rPr>
            </w:pPr>
            <w:r>
              <w:rPr>
                <w:rFonts w:ascii="Arial" w:cs="Arial" w:eastAsia="Arial" w:hAnsi="Arial"/>
                <w:sz w:val="14"/>
                <w:szCs w:val="14"/>
                <w:color w:val="auto"/>
              </w:rPr>
              <w:t>Description</w:t>
            </w:r>
          </w:p>
        </w:tc>
        <w:tc>
          <w:tcPr>
            <w:tcW w:w="500" w:type="dxa"/>
            <w:vAlign w:val="bottom"/>
          </w:tcPr>
          <w:p>
            <w:pPr>
              <w:spacing w:after="0"/>
              <w:rPr>
                <w:sz w:val="14"/>
                <w:szCs w:val="14"/>
                <w:color w:val="auto"/>
              </w:rPr>
            </w:pPr>
          </w:p>
        </w:tc>
        <w:tc>
          <w:tcPr>
            <w:tcW w:w="1780" w:type="dxa"/>
            <w:vAlign w:val="bottom"/>
            <w:gridSpan w:val="2"/>
          </w:tcPr>
          <w:p>
            <w:pPr>
              <w:ind w:left="240"/>
              <w:spacing w:after="0"/>
              <w:rPr>
                <w:sz w:val="20"/>
                <w:szCs w:val="20"/>
                <w:color w:val="auto"/>
              </w:rPr>
            </w:pPr>
            <w:r>
              <w:rPr>
                <w:rFonts w:ascii="Arial" w:cs="Arial" w:eastAsia="Arial" w:hAnsi="Arial"/>
                <w:sz w:val="14"/>
                <w:szCs w:val="14"/>
                <w:color w:val="auto"/>
              </w:rPr>
              <w:t>June 30, 2008</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(Level 1)</w:t>
            </w:r>
          </w:p>
        </w:tc>
        <w:tc>
          <w:tcPr>
            <w:tcW w:w="1180" w:type="dxa"/>
            <w:vAlign w:val="bottom"/>
          </w:tcPr>
          <w:p>
            <w:pPr>
              <w:jc w:val="center"/>
              <w:spacing w:after="0"/>
              <w:rPr>
                <w:sz w:val="20"/>
                <w:szCs w:val="20"/>
                <w:color w:val="auto"/>
              </w:rPr>
            </w:pPr>
            <w:r>
              <w:rPr>
                <w:rFonts w:ascii="Arial" w:cs="Arial" w:eastAsia="Arial" w:hAnsi="Arial"/>
                <w:sz w:val="14"/>
                <w:szCs w:val="14"/>
                <w:color w:val="auto"/>
                <w:w w:val="95"/>
              </w:rPr>
              <w:t>(Level 2)</w:t>
            </w:r>
          </w:p>
        </w:tc>
        <w:tc>
          <w:tcPr>
            <w:tcW w:w="1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5"/>
              </w:rPr>
              <w:t>(Level 3)</w:t>
            </w:r>
          </w:p>
        </w:tc>
      </w:tr>
      <w:tr>
        <w:trPr>
          <w:trHeight w:val="224"/>
        </w:trPr>
        <w:tc>
          <w:tcPr>
            <w:tcW w:w="5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Available-for-sale marketable securities</w:t>
            </w:r>
          </w:p>
        </w:tc>
        <w:tc>
          <w:tcPr>
            <w:tcW w:w="500" w:type="dxa"/>
            <w:vAlign w:val="bottom"/>
          </w:tcPr>
          <w:p>
            <w:pPr>
              <w:spacing w:after="0"/>
              <w:rPr>
                <w:sz w:val="19"/>
                <w:szCs w:val="19"/>
                <w:color w:val="auto"/>
              </w:rPr>
            </w:pPr>
          </w:p>
        </w:tc>
        <w:tc>
          <w:tcPr>
            <w:tcW w:w="128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$450,714</w:t>
            </w:r>
          </w:p>
        </w:tc>
        <w:tc>
          <w:tcPr>
            <w:tcW w:w="50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Borders>
              <w:top w:val="single" w:sz="8" w:color="auto"/>
            </w:tcBorders>
          </w:tcPr>
          <w:p>
            <w:pPr>
              <w:jc w:val="right"/>
              <w:ind w:right="225"/>
              <w:spacing w:after="0"/>
              <w:rPr>
                <w:sz w:val="20"/>
                <w:szCs w:val="20"/>
                <w:color w:val="auto"/>
              </w:rPr>
            </w:pPr>
            <w:r>
              <w:rPr>
                <w:rFonts w:ascii="Arial" w:cs="Arial" w:eastAsia="Arial" w:hAnsi="Arial"/>
                <w:sz w:val="18"/>
                <w:szCs w:val="18"/>
                <w:color w:val="auto"/>
              </w:rPr>
              <w:t>$445,719</w:t>
            </w:r>
          </w:p>
        </w:tc>
        <w:tc>
          <w:tcPr>
            <w:tcW w:w="100" w:type="dxa"/>
            <w:vAlign w:val="bottom"/>
          </w:tcPr>
          <w:p>
            <w:pPr>
              <w:spacing w:after="0"/>
              <w:rPr>
                <w:sz w:val="19"/>
                <w:szCs w:val="19"/>
                <w:color w:val="auto"/>
              </w:rPr>
            </w:pPr>
          </w:p>
        </w:tc>
        <w:tc>
          <w:tcPr>
            <w:tcW w:w="1080" w:type="dxa"/>
            <w:vAlign w:val="bottom"/>
            <w:tcBorders>
              <w:top w:val="single" w:sz="8" w:color="auto"/>
            </w:tcBorders>
          </w:tcPr>
          <w:p>
            <w:pPr>
              <w:jc w:val="right"/>
              <w:ind w:right="264"/>
              <w:spacing w:after="0"/>
              <w:rPr>
                <w:sz w:val="20"/>
                <w:szCs w:val="20"/>
                <w:color w:val="auto"/>
              </w:rPr>
            </w:pPr>
            <w:r>
              <w:rPr>
                <w:rFonts w:ascii="Arial" w:cs="Arial" w:eastAsia="Arial" w:hAnsi="Arial"/>
                <w:sz w:val="18"/>
                <w:szCs w:val="18"/>
                <w:color w:val="auto"/>
              </w:rPr>
              <w:t>$4,995</w:t>
            </w:r>
          </w:p>
        </w:tc>
      </w:tr>
    </w:tbl>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held no Level 1 marketable securities during the three or six months ended June 30, 2008.</w:t>
      </w:r>
    </w:p>
    <w:p>
      <w:pPr>
        <w:spacing w:after="0" w:line="117" w:lineRule="exact"/>
        <w:rPr>
          <w:sz w:val="20"/>
          <w:szCs w:val="20"/>
          <w:color w:val="auto"/>
        </w:rPr>
      </w:pPr>
    </w:p>
    <w:p>
      <w:pPr>
        <w:jc w:val="both"/>
        <w:ind w:right="120" w:firstLine="225"/>
        <w:spacing w:after="0" w:line="277" w:lineRule="auto"/>
        <w:rPr>
          <w:sz w:val="20"/>
          <w:szCs w:val="20"/>
          <w:color w:val="auto"/>
        </w:rPr>
      </w:pPr>
      <w:r>
        <w:rPr>
          <w:rFonts w:ascii="Arial" w:cs="Arial" w:eastAsia="Arial" w:hAnsi="Arial"/>
          <w:sz w:val="18"/>
          <w:szCs w:val="18"/>
          <w:color w:val="auto"/>
        </w:rPr>
        <w:t>Marketable securities included in Level 2 above were valued using a market approach utilizing prices and other relevant information generated by market transactions involving identical or comparable assets.</w:t>
      </w:r>
    </w:p>
    <w:p>
      <w:pPr>
        <w:spacing w:after="0" w:line="62" w:lineRule="exact"/>
        <w:rPr>
          <w:sz w:val="20"/>
          <w:szCs w:val="20"/>
          <w:color w:val="auto"/>
        </w:rPr>
      </w:pPr>
    </w:p>
    <w:p>
      <w:pPr>
        <w:ind w:right="120" w:firstLine="225"/>
        <w:spacing w:after="0" w:line="302" w:lineRule="auto"/>
        <w:rPr>
          <w:sz w:val="20"/>
          <w:szCs w:val="20"/>
          <w:color w:val="auto"/>
        </w:rPr>
      </w:pPr>
      <w:r>
        <w:rPr>
          <w:rFonts w:ascii="Arial" w:cs="Arial" w:eastAsia="Arial" w:hAnsi="Arial"/>
          <w:sz w:val="16"/>
          <w:szCs w:val="16"/>
          <w:color w:val="auto"/>
        </w:rPr>
        <w:t>Marketable securities included in Level 3 above were valued using information provided by the Company’s investment advisors, including quoted bid prices which take into consideration the securities’ current lack of liquidity. During the second quarter of 2008, further deterioration in the credit quality of a marketable security from one issuer has subjected the Company to the risk of not being able to recover the security’s $0.8 million carrying value. As a result, the Company recognized a $0.5 million charge related to this marketable security, which the Company considered to be other than temporarily impaired.</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Changes in marketable securities included in Level 3 above during the three and six months ended June 30, 2008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4"/>
                <w:szCs w:val="14"/>
                <w:color w:val="auto"/>
                <w:w w:val="97"/>
              </w:rPr>
              <w:t>Level 3</w:t>
            </w:r>
          </w:p>
        </w:tc>
      </w:tr>
      <w:tr>
        <w:trPr>
          <w:trHeight w:val="149"/>
        </w:trPr>
        <w:tc>
          <w:tcPr>
            <w:tcW w:w="10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4"/>
          </w:tcPr>
          <w:p>
            <w:pPr>
              <w:spacing w:after="0" w:line="149" w:lineRule="exact"/>
              <w:rPr>
                <w:sz w:val="20"/>
                <w:szCs w:val="20"/>
                <w:color w:val="auto"/>
              </w:rPr>
            </w:pPr>
            <w:r>
              <w:rPr>
                <w:rFonts w:ascii="Arial" w:cs="Arial" w:eastAsia="Arial" w:hAnsi="Arial"/>
                <w:sz w:val="14"/>
                <w:szCs w:val="14"/>
                <w:color w:val="auto"/>
              </w:rPr>
              <w:t>marketable</w:t>
            </w:r>
          </w:p>
        </w:tc>
      </w:tr>
      <w:tr>
        <w:trPr>
          <w:trHeight w:val="167"/>
        </w:trPr>
        <w:tc>
          <w:tcPr>
            <w:tcW w:w="10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4"/>
              </w:rPr>
              <w:t>securities</w:t>
            </w:r>
          </w:p>
        </w:tc>
        <w:tc>
          <w:tcPr>
            <w:tcW w:w="100" w:type="dxa"/>
            <w:vAlign w:val="bottom"/>
            <w:gridSpan w:val="2"/>
          </w:tcPr>
          <w:p>
            <w:pPr>
              <w:spacing w:after="0"/>
              <w:rPr>
                <w:sz w:val="14"/>
                <w:szCs w:val="14"/>
                <w:color w:val="auto"/>
              </w:rPr>
            </w:pPr>
          </w:p>
        </w:tc>
      </w:tr>
      <w:tr>
        <w:trPr>
          <w:trHeight w:val="210"/>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and April 1, 2008</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7,950</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Settlements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(2,425)</w:t>
            </w: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Impairments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(530)</w:t>
            </w:r>
          </w:p>
        </w:tc>
      </w:tr>
      <w:tr>
        <w:trPr>
          <w:trHeight w:val="223"/>
        </w:trPr>
        <w:tc>
          <w:tcPr>
            <w:tcW w:w="10640" w:type="dxa"/>
            <w:vAlign w:val="bottom"/>
          </w:tcPr>
          <w:p>
            <w:pPr>
              <w:spacing w:after="0"/>
              <w:rPr>
                <w:sz w:val="20"/>
                <w:szCs w:val="20"/>
                <w:color w:val="auto"/>
              </w:rPr>
            </w:pPr>
            <w:r>
              <w:rPr>
                <w:rFonts w:ascii="Arial" w:cs="Arial" w:eastAsia="Arial" w:hAnsi="Arial"/>
                <w:sz w:val="18"/>
                <w:szCs w:val="18"/>
                <w:color w:val="auto"/>
              </w:rPr>
              <w:t>Balance, June 30, 2008</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20" w:firstLine="222"/>
        <w:spacing w:after="0" w:line="264" w:lineRule="auto"/>
        <w:rPr>
          <w:sz w:val="20"/>
          <w:szCs w:val="20"/>
          <w:color w:val="auto"/>
        </w:rPr>
      </w:pPr>
      <w:r>
        <w:rPr>
          <w:rFonts w:ascii="Arial" w:cs="Arial" w:eastAsia="Arial" w:hAnsi="Arial"/>
          <w:sz w:val="18"/>
          <w:szCs w:val="18"/>
          <w:color w:val="auto"/>
        </w:rPr>
        <w:t>There were no unrealized gains or losses related to the Company’s Level 3 marketable securities for the three and six months ended June 30, 2008. In addition, there were no purchases of Level 3 marketable securities and no transfers of marketable securities between the Level 2 and Level 3 classifications during the three and six months ended June 30, 2008.</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Accounts Receivable</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Accounts receivable as of June 30, 2008 and December 31, 2007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4"/>
                <w:szCs w:val="14"/>
                <w:color w:val="auto"/>
                <w:w w:val="89"/>
              </w:rPr>
              <w:t>June 30,</w:t>
            </w:r>
          </w:p>
        </w:tc>
        <w:tc>
          <w:tcPr>
            <w:tcW w:w="3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8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2008</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the sanofi-aventis Group</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30,438</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14,244</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Receivable from Bayer HealthCare</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2,797</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2,400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23"/>
        </w:trPr>
        <w:tc>
          <w:tcPr>
            <w:tcW w:w="8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32,838</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40" w:type="dxa"/>
            <w:vAlign w:val="bottom"/>
            <w:vMerge w:val="restart"/>
          </w:tcPr>
          <w:p>
            <w:pPr>
              <w:spacing w:after="0"/>
              <w:rPr>
                <w:sz w:val="20"/>
                <w:szCs w:val="20"/>
                <w:color w:val="auto"/>
              </w:rPr>
            </w:pPr>
            <w:r>
              <w:rPr>
                <w:rFonts w:ascii="Arial" w:cs="Arial" w:eastAsia="Arial" w:hAnsi="Arial"/>
                <w:sz w:val="18"/>
                <w:szCs w:val="18"/>
                <w:b w:val="1"/>
                <w:bCs w:val="1"/>
                <w:color w:val="auto"/>
              </w:rPr>
              <w:t>7. Accounts Payable and Accrued Expenses</w:t>
            </w: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6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40" w:type="dxa"/>
            <w:vAlign w:val="bottom"/>
          </w:tcPr>
          <w:p>
            <w:pPr>
              <w:ind w:left="220"/>
              <w:spacing w:after="0"/>
              <w:rPr>
                <w:sz w:val="20"/>
                <w:szCs w:val="20"/>
                <w:color w:val="auto"/>
              </w:rPr>
            </w:pPr>
            <w:r>
              <w:rPr>
                <w:rFonts w:ascii="Arial" w:cs="Arial" w:eastAsia="Arial" w:hAnsi="Arial"/>
                <w:sz w:val="18"/>
                <w:szCs w:val="18"/>
                <w:color w:val="auto"/>
                <w:w w:val="95"/>
              </w:rPr>
              <w:t>Accounts payable and accrued expenses as of June 30, 2008 and December 31, 2007 consist of the following:</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8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4"/>
                <w:szCs w:val="14"/>
                <w:color w:val="auto"/>
                <w:w w:val="89"/>
              </w:rPr>
              <w:t>June 30,</w:t>
            </w:r>
          </w:p>
        </w:tc>
        <w:tc>
          <w:tcPr>
            <w:tcW w:w="34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8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2008</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10,436</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8,128</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Payable to Bayer HealthCare</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5,634</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4,892</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related costs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10,639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14,514</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Accrued clinical trial expense</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4,334</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5,609</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other</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5,886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3,797</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Interest payable on convertible notes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1,360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2,292</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38,289</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39,232</w:t>
            </w: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Repurchases of Convertible Debt</w:t>
      </w:r>
    </w:p>
    <w:p>
      <w:pPr>
        <w:spacing w:after="0" w:line="121" w:lineRule="exact"/>
        <w:rPr>
          <w:sz w:val="20"/>
          <w:szCs w:val="20"/>
          <w:color w:val="auto"/>
        </w:rPr>
      </w:pPr>
    </w:p>
    <w:p>
      <w:pPr>
        <w:ind w:right="340" w:firstLine="225"/>
        <w:spacing w:after="0" w:line="259" w:lineRule="auto"/>
        <w:rPr>
          <w:sz w:val="20"/>
          <w:szCs w:val="20"/>
          <w:color w:val="auto"/>
        </w:rPr>
      </w:pPr>
      <w:r>
        <w:rPr>
          <w:rFonts w:ascii="Arial" w:cs="Arial" w:eastAsia="Arial" w:hAnsi="Arial"/>
          <w:sz w:val="18"/>
          <w:szCs w:val="18"/>
          <w:color w:val="auto"/>
        </w:rPr>
        <w:t>In the second quarter of 2008, the Company repurchased $81.3 million in principal amount of its 5.5% Convertible Senior Subordinated Notes due October 17, 2008 (the “Notes”) for $82.1 million. In connection with the repurchases of the Notes, the Company recognized a $0.9 million loss on early extinguishment of debt, representing the premium paid on the Notes plus related unamortized debt issuance costs. At June 30, 2008, $118.7 million of the Notes remained outstanding.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Comprehensive Loss</w:t>
      </w:r>
    </w:p>
    <w:p>
      <w:pPr>
        <w:spacing w:after="0" w:line="121" w:lineRule="exact"/>
        <w:rPr>
          <w:sz w:val="20"/>
          <w:szCs w:val="20"/>
          <w:color w:val="auto"/>
        </w:rPr>
      </w:pPr>
    </w:p>
    <w:p>
      <w:pPr>
        <w:ind w:right="280" w:firstLine="222"/>
        <w:spacing w:after="0" w:line="286" w:lineRule="auto"/>
        <w:rPr>
          <w:sz w:val="20"/>
          <w:szCs w:val="20"/>
          <w:color w:val="auto"/>
        </w:rPr>
      </w:pPr>
      <w:r>
        <w:rPr>
          <w:rFonts w:ascii="Arial" w:cs="Arial" w:eastAsia="Arial" w:hAnsi="Arial"/>
          <w:sz w:val="17"/>
          <w:szCs w:val="17"/>
          <w:color w:val="auto"/>
        </w:rPr>
        <w:t xml:space="preserve">The Company presents comprehensive income (loss) in accordance with SFAS 130, </w:t>
      </w:r>
      <w:r>
        <w:rPr>
          <w:rFonts w:ascii="Arial" w:cs="Arial" w:eastAsia="Arial" w:hAnsi="Arial"/>
          <w:sz w:val="17"/>
          <w:szCs w:val="17"/>
          <w:i w:val="1"/>
          <w:iCs w:val="1"/>
          <w:color w:val="auto"/>
        </w:rPr>
        <w:t>Reporting Comprehensive Income</w:t>
      </w:r>
      <w:r>
        <w:rPr>
          <w:rFonts w:ascii="Arial" w:cs="Arial" w:eastAsia="Arial" w:hAnsi="Arial"/>
          <w:sz w:val="17"/>
          <w:szCs w:val="17"/>
          <w:color w:val="auto"/>
        </w:rPr>
        <w:t>. Comprehensive loss of the Company includes net loss adjusted for the change in net unrealized gain (loss) on marketable securities. The net effect of income taxes on comprehensive loss is immaterial. For the three and six months ended June 30, 2008 and 2007, the components of comprehensive loss are: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8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140" w:type="dxa"/>
            <w:vAlign w:val="bottom"/>
            <w:gridSpan w:val="5"/>
          </w:tcPr>
          <w:p>
            <w:pPr>
              <w:jc w:val="right"/>
              <w:ind w:right="280"/>
              <w:spacing w:after="0"/>
              <w:rPr>
                <w:sz w:val="20"/>
                <w:szCs w:val="20"/>
                <w:color w:val="auto"/>
              </w:rPr>
            </w:pPr>
            <w:r>
              <w:rPr>
                <w:rFonts w:ascii="Arial" w:cs="Arial" w:eastAsia="Arial" w:hAnsi="Arial"/>
                <w:sz w:val="14"/>
                <w:szCs w:val="14"/>
                <w:color w:val="auto"/>
                <w:w w:val="98"/>
              </w:rPr>
              <w:t>Three months ended June 30,</w:t>
            </w:r>
          </w:p>
        </w:tc>
      </w:tr>
      <w:tr>
        <w:trPr>
          <w:trHeight w:val="142"/>
        </w:trPr>
        <w:tc>
          <w:tcPr>
            <w:tcW w:w="68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color w:val="auto"/>
              </w:rPr>
              <w:t>2008</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2007</w:t>
            </w:r>
          </w:p>
        </w:tc>
        <w:tc>
          <w:tcPr>
            <w:tcW w:w="100" w:type="dxa"/>
            <w:vAlign w:val="bottom"/>
          </w:tcPr>
          <w:p>
            <w:pPr>
              <w:spacing w:after="0"/>
              <w:rPr>
                <w:sz w:val="12"/>
                <w:szCs w:val="12"/>
                <w:color w:val="auto"/>
              </w:rPr>
            </w:pP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(18,459)</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(26,774)</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Change in net unrealized gain (loss) on marketable securities</w:t>
            </w:r>
          </w:p>
        </w:tc>
        <w:tc>
          <w:tcPr>
            <w:tcW w:w="24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(1,143)</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(357)</w:t>
            </w:r>
          </w:p>
        </w:tc>
      </w:tr>
      <w:tr>
        <w:trPr>
          <w:trHeight w:val="27"/>
        </w:trPr>
        <w:tc>
          <w:tcPr>
            <w:tcW w:w="68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comprehensive loss</w:t>
            </w:r>
          </w:p>
        </w:tc>
        <w:tc>
          <w:tcPr>
            <w:tcW w:w="3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(19,602)</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(27,131)</w:t>
            </w:r>
          </w:p>
        </w:tc>
      </w:tr>
      <w:tr>
        <w:trPr>
          <w:trHeight w:val="20"/>
        </w:trPr>
        <w:tc>
          <w:tcPr>
            <w:tcW w:w="68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68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140" w:type="dxa"/>
            <w:vAlign w:val="bottom"/>
            <w:gridSpan w:val="5"/>
          </w:tcPr>
          <w:p>
            <w:pPr>
              <w:jc w:val="right"/>
              <w:ind w:right="360"/>
              <w:spacing w:after="0"/>
              <w:rPr>
                <w:sz w:val="20"/>
                <w:szCs w:val="20"/>
                <w:color w:val="auto"/>
              </w:rPr>
            </w:pPr>
            <w:r>
              <w:rPr>
                <w:rFonts w:ascii="Arial" w:cs="Arial" w:eastAsia="Arial" w:hAnsi="Arial"/>
                <w:sz w:val="14"/>
                <w:szCs w:val="14"/>
                <w:color w:val="auto"/>
              </w:rPr>
              <w:t>Six months ended June 30,</w:t>
            </w:r>
          </w:p>
        </w:tc>
      </w:tr>
      <w:tr>
        <w:trPr>
          <w:trHeight w:val="142"/>
        </w:trPr>
        <w:tc>
          <w:tcPr>
            <w:tcW w:w="68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color w:val="auto"/>
              </w:rPr>
              <w:t>2008</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2007</w:t>
            </w:r>
          </w:p>
        </w:tc>
        <w:tc>
          <w:tcPr>
            <w:tcW w:w="100" w:type="dxa"/>
            <w:vAlign w:val="bottom"/>
          </w:tcPr>
          <w:p>
            <w:pPr>
              <w:spacing w:after="0"/>
              <w:rPr>
                <w:sz w:val="12"/>
                <w:szCs w:val="12"/>
                <w:color w:val="auto"/>
              </w:rPr>
            </w:pP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(30,077)</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(56,691)</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Change in net unrealized gain (loss) on marketable securities</w:t>
            </w:r>
          </w:p>
        </w:tc>
        <w:tc>
          <w:tcPr>
            <w:tcW w:w="244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(485)</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(285)</w:t>
            </w:r>
          </w:p>
        </w:tc>
      </w:tr>
      <w:tr>
        <w:trPr>
          <w:trHeight w:val="27"/>
        </w:trPr>
        <w:tc>
          <w:tcPr>
            <w:tcW w:w="68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comprehensive loss</w:t>
            </w:r>
          </w:p>
        </w:tc>
        <w:tc>
          <w:tcPr>
            <w:tcW w:w="3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(30,562)</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(56,976)</w:t>
            </w:r>
          </w:p>
        </w:tc>
      </w:tr>
      <w:tr>
        <w:trPr>
          <w:trHeight w:val="20"/>
        </w:trPr>
        <w:tc>
          <w:tcPr>
            <w:tcW w:w="68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License Agreement with Cellectis</w:t>
      </w:r>
    </w:p>
    <w:p>
      <w:pPr>
        <w:spacing w:after="0" w:line="121"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 xml:space="preserve">In July 2008, the Company and Cellectis S.A. (“Cellectis”) entered into an Amended and Restated Non-Exclusive License Agreement (the “License Agreement”). The License Agreement resolves a dispute between the parties related to the interpretation of a license agreement entered into by the parties in December 2003 pursuant to which the Company licensed certain patents and patent applications from Cellectis. Pursuant to the License Agreement, in July 2008, the Company made a non-refundable $12.5 million payment to Cellectis (the “License Payment”) and agreed to pay Cellectis a low single-digit royalty based on revenue received by the Company from any future licenses or sales of the Company’s </w:t>
      </w:r>
      <w:r>
        <w:rPr>
          <w:rFonts w:ascii="Arial" w:cs="Arial" w:eastAsia="Arial" w:hAnsi="Arial"/>
          <w:sz w:val="17"/>
          <w:szCs w:val="17"/>
          <w:i w:val="1"/>
          <w:iCs w:val="1"/>
          <w:color w:val="auto"/>
        </w:rPr>
        <w:t>VelociGene</w:t>
      </w:r>
      <w:r>
        <w:rPr>
          <w:rFonts w:ascii="Arial" w:cs="Arial" w:eastAsia="Arial" w:hAnsi="Arial"/>
          <w:sz w:val="14"/>
          <w:szCs w:val="14"/>
          <w:color w:val="auto"/>
        </w:rPr>
        <w:t>®</w:t>
      </w:r>
      <w:r>
        <w:rPr>
          <w:rFonts w:ascii="Arial" w:cs="Arial" w:eastAsia="Arial" w:hAnsi="Arial"/>
          <w:sz w:val="17"/>
          <w:szCs w:val="17"/>
          <w:color w:val="auto"/>
        </w:rPr>
        <w:t xml:space="preserve"> or </w:t>
      </w:r>
      <w:r>
        <w:rPr>
          <w:rFonts w:ascii="Arial" w:cs="Arial" w:eastAsia="Arial" w:hAnsi="Arial"/>
          <w:sz w:val="17"/>
          <w:szCs w:val="17"/>
          <w:i w:val="1"/>
          <w:iCs w:val="1"/>
          <w:color w:val="auto"/>
        </w:rPr>
        <w:t>VelocImmune</w:t>
      </w:r>
      <w:r>
        <w:rPr>
          <w:rFonts w:ascii="Arial" w:cs="Arial" w:eastAsia="Arial" w:hAnsi="Arial"/>
          <w:sz w:val="14"/>
          <w:szCs w:val="14"/>
          <w:color w:val="auto"/>
        </w:rPr>
        <w:t>®</w:t>
      </w:r>
      <w:r>
        <w:rPr>
          <w:rFonts w:ascii="Arial" w:cs="Arial" w:eastAsia="Arial" w:hAnsi="Arial"/>
          <w:sz w:val="17"/>
          <w:szCs w:val="17"/>
          <w:color w:val="auto"/>
        </w:rPr>
        <w:t xml:space="preserve"> products and services. No royalties are payable with respect to the Company’s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license agreements with AstraZeneca UK Limited (“AstraZeneca”) and Astellas Pharma Inc. (“Astellas”) or the Company’s November 2007 collaboration with sanofi-aventis. Moreover, no royalties are payable on any revenue from commercial sales of antibodies from the Company’s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w:t>
      </w:r>
    </w:p>
    <w:p>
      <w:pPr>
        <w:spacing w:after="0" w:line="71" w:lineRule="exact"/>
        <w:rPr>
          <w:sz w:val="20"/>
          <w:szCs w:val="20"/>
          <w:color w:val="auto"/>
        </w:rPr>
      </w:pPr>
    </w:p>
    <w:p>
      <w:pPr>
        <w:ind w:right="360" w:firstLine="222"/>
        <w:spacing w:after="0" w:line="259" w:lineRule="auto"/>
        <w:rPr>
          <w:sz w:val="20"/>
          <w:szCs w:val="20"/>
          <w:color w:val="auto"/>
        </w:rPr>
      </w:pPr>
      <w:r>
        <w:rPr>
          <w:rFonts w:ascii="Arial" w:cs="Arial" w:eastAsia="Arial" w:hAnsi="Arial"/>
          <w:sz w:val="18"/>
          <w:szCs w:val="18"/>
          <w:color w:val="auto"/>
        </w:rPr>
        <w:t>The Company began amortizing the License Payment in the second quarter of 2008 in proportion to past and future anticipated revenues under the Company’s license agreements with AstraZeneca and Astellas and the Discovery and Preclinical Development Agreement under the Company’s November 2007 collaboration with sanofi-aventis. The Company recognized $1.6 million of expense in connection with the License Payment, which was accrued at June 30, 2008.</w:t>
      </w:r>
    </w:p>
    <w:p>
      <w:pPr>
        <w:spacing w:after="0" w:line="79" w:lineRule="exact"/>
        <w:rPr>
          <w:sz w:val="20"/>
          <w:szCs w:val="20"/>
          <w:color w:val="auto"/>
        </w:rPr>
      </w:pPr>
    </w:p>
    <w:p>
      <w:pPr>
        <w:ind w:right="280" w:firstLine="225"/>
        <w:spacing w:after="0" w:line="259" w:lineRule="auto"/>
        <w:rPr>
          <w:sz w:val="20"/>
          <w:szCs w:val="20"/>
          <w:color w:val="auto"/>
        </w:rPr>
      </w:pPr>
      <w:r>
        <w:rPr>
          <w:rFonts w:ascii="Arial" w:cs="Arial" w:eastAsia="Arial" w:hAnsi="Arial"/>
          <w:sz w:val="18"/>
          <w:szCs w:val="18"/>
          <w:color w:val="auto"/>
        </w:rPr>
        <w:t>In July 2008, the Company and Cellectis also entered into a Subscription Agreement pursuant to which the Company has agreed to purchase 368,301 ordinary shares of Cellectis at a price of EUR 8.63 per share (which is equivalent to $13.59 at the June 30 EUR exchange rate). The purchase is contingent upon approval by the board of directors of Cellectis and by the shareholders of Cellectis at an extraordinary general meeting to be held no later than October 30, 2008.</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Legal Matters</w:t>
      </w:r>
    </w:p>
    <w:p>
      <w:pPr>
        <w:spacing w:after="0" w:line="121" w:lineRule="exact"/>
        <w:rPr>
          <w:sz w:val="20"/>
          <w:szCs w:val="20"/>
          <w:color w:val="auto"/>
        </w:rPr>
      </w:pPr>
    </w:p>
    <w:p>
      <w:pPr>
        <w:ind w:right="680" w:firstLine="225"/>
        <w:spacing w:after="0" w:line="277" w:lineRule="auto"/>
        <w:rPr>
          <w:sz w:val="20"/>
          <w:szCs w:val="20"/>
          <w:color w:val="auto"/>
        </w:rPr>
      </w:pPr>
      <w:r>
        <w:rPr>
          <w:rFonts w:ascii="Arial" w:cs="Arial" w:eastAsia="Arial" w:hAnsi="Arial"/>
          <w:sz w:val="18"/>
          <w:szCs w:val="18"/>
          <w:color w:val="auto"/>
        </w:rPr>
        <w:t>From time to time, the Company is a party to legal proceedings in the course of its business. The Company does not expect any such current legal proceedings to have a material adverse effect on the Company’s business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Future Impact of Recently Issued Accounting Standards</w:t>
      </w:r>
    </w:p>
    <w:p>
      <w:pPr>
        <w:spacing w:after="0" w:line="121"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 xml:space="preserve">In November 2007, the Emerging Issues Task Force issued Statement No. 07-1, </w:t>
      </w:r>
      <w:r>
        <w:rPr>
          <w:rFonts w:ascii="Arial" w:cs="Arial" w:eastAsia="Arial" w:hAnsi="Arial"/>
          <w:sz w:val="17"/>
          <w:szCs w:val="17"/>
          <w:i w:val="1"/>
          <w:iCs w:val="1"/>
          <w:color w:val="auto"/>
        </w:rPr>
        <w:t>Accounting for Collaborative Arrangements</w:t>
      </w:r>
      <w:r>
        <w:rPr>
          <w:rFonts w:ascii="Arial" w:cs="Arial" w:eastAsia="Arial" w:hAnsi="Arial"/>
          <w:sz w:val="17"/>
          <w:szCs w:val="17"/>
          <w:color w:val="auto"/>
        </w:rPr>
        <w:t xml:space="preserve"> (“EITF 07-1”). EITF 07-01 defines collaborative arrangements and establishes reporting requirements for transactions between participants in a collaborative arrangement and between participants in the arrangement and third parties. EITF 07-1 also establishes the appropriate income statement presentation and classification for joint operating activities and payments between participants, as well as the sufficiency of the disclosures related to these arrangements. EITF 07-1 is effective for fiscal years beginning after December 15, 2008, and will be applied retrospectively as a change in accounting principle for collaborative arrangements existing at the effective date. The Company is required to adopt EITF 07-1 for the fiscal year beginning January 1, 2009. Management does not anticipate that the adoption of EITF 07-1 will have a material impact on the Company’s financial statements.</w:t>
      </w:r>
    </w:p>
    <w:p>
      <w:pPr>
        <w:spacing w:after="0" w:line="70" w:lineRule="exact"/>
        <w:rPr>
          <w:sz w:val="20"/>
          <w:szCs w:val="20"/>
          <w:color w:val="auto"/>
        </w:rPr>
      </w:pPr>
    </w:p>
    <w:p>
      <w:pPr>
        <w:ind w:right="100" w:firstLine="225"/>
        <w:spacing w:after="0" w:line="255" w:lineRule="auto"/>
        <w:rPr>
          <w:sz w:val="20"/>
          <w:szCs w:val="20"/>
          <w:color w:val="auto"/>
        </w:rPr>
      </w:pPr>
      <w:r>
        <w:rPr>
          <w:rFonts w:ascii="Arial" w:cs="Arial" w:eastAsia="Arial" w:hAnsi="Arial"/>
          <w:sz w:val="18"/>
          <w:szCs w:val="18"/>
          <w:color w:val="auto"/>
        </w:rPr>
        <w:t xml:space="preserve">In March 2008, the FASB issued SFAS 161, </w:t>
      </w:r>
      <w:r>
        <w:rPr>
          <w:rFonts w:ascii="Arial" w:cs="Arial" w:eastAsia="Arial" w:hAnsi="Arial"/>
          <w:sz w:val="18"/>
          <w:szCs w:val="18"/>
          <w:i w:val="1"/>
          <w:iCs w:val="1"/>
          <w:color w:val="auto"/>
        </w:rPr>
        <w:t>Disclosures about Derivative Instruments and Hedging Activities — an Amendment of FASB Statement 133</w:t>
      </w:r>
      <w:r>
        <w:rPr>
          <w:rFonts w:ascii="Arial" w:cs="Arial" w:eastAsia="Arial" w:hAnsi="Arial"/>
          <w:sz w:val="18"/>
          <w:szCs w:val="18"/>
          <w:color w:val="auto"/>
        </w:rPr>
        <w:t xml:space="preserve">. SFAS 161 enhances required disclosures regarding derivatives and hedging activities, including enhanced disclosures regarding how (a) an entity uses derivative instruments, (b) derivative instruments and related hedged items are accounted for under SFAS 133, </w:t>
      </w:r>
      <w:r>
        <w:rPr>
          <w:rFonts w:ascii="Arial" w:cs="Arial" w:eastAsia="Arial" w:hAnsi="Arial"/>
          <w:sz w:val="18"/>
          <w:szCs w:val="18"/>
          <w:i w:val="1"/>
          <w:iCs w:val="1"/>
          <w:color w:val="auto"/>
        </w:rPr>
        <w:t>Accounting for Derivative Instruments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Hedging Activities, </w:t>
      </w:r>
      <w:r>
        <w:rPr>
          <w:rFonts w:ascii="Arial" w:cs="Arial" w:eastAsia="Arial" w:hAnsi="Arial"/>
          <w:sz w:val="18"/>
          <w:szCs w:val="18"/>
          <w:color w:val="auto"/>
        </w:rPr>
        <w:t>and (c) derivative instruments and related hedged items affect an entity’s financial position, financial performance, and cash flows. SFAS</w:t>
      </w:r>
      <w:r>
        <w:rPr>
          <w:rFonts w:ascii="Arial" w:cs="Arial" w:eastAsia="Arial" w:hAnsi="Arial"/>
          <w:sz w:val="18"/>
          <w:szCs w:val="18"/>
          <w:i w:val="1"/>
          <w:iCs w:val="1"/>
          <w:color w:val="auto"/>
        </w:rPr>
        <w:t xml:space="preserve"> </w:t>
      </w:r>
      <w:r>
        <w:rPr>
          <w:rFonts w:ascii="Arial" w:cs="Arial" w:eastAsia="Arial" w:hAnsi="Arial"/>
          <w:sz w:val="18"/>
          <w:szCs w:val="18"/>
          <w:color w:val="auto"/>
        </w:rPr>
        <w:t>161 is effective for fiscal years and interim periods beginning after November 15, 2008. The Company is required to adopt SFAS 161 for the fiscal year beginning January 1, 2009. Management does not anticipate that the adoption of SFAS 161 will have a material impact on the Company’s financial statements.</w:t>
      </w:r>
    </w:p>
    <w:p>
      <w:pPr>
        <w:spacing w:after="0" w:line="81"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 xml:space="preserve">In April 2008, the FASB issued FASB Staff Position (“FSP”) FAS 142-3, </w:t>
      </w:r>
      <w:r>
        <w:rPr>
          <w:rFonts w:ascii="Arial" w:cs="Arial" w:eastAsia="Arial" w:hAnsi="Arial"/>
          <w:sz w:val="18"/>
          <w:szCs w:val="18"/>
          <w:i w:val="1"/>
          <w:iCs w:val="1"/>
          <w:color w:val="auto"/>
        </w:rPr>
        <w:t>Determination of the Useful Life of Intangible Assets</w:t>
      </w:r>
      <w:r>
        <w:rPr>
          <w:rFonts w:ascii="Arial" w:cs="Arial" w:eastAsia="Arial" w:hAnsi="Arial"/>
          <w:sz w:val="18"/>
          <w:szCs w:val="18"/>
          <w:color w:val="auto"/>
        </w:rPr>
        <w:t xml:space="preserve">. This FSP amends the factors that should be considered in developing renewal or extension assumptions used to determine the useful life of a recognized intangible asset under SFAS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The intent of this FSP is to improve the consistency between the useful life of a recognized intangible asset under SFAS 142 and the period of expected cash flows used to measure the fair value of the asset under SFAS 141R, and other generally accepted accounting principles (“GAAP”). This FSP is effective for fiscal years beginning after December 15, 2008. Early adoption is prohibited. The Company is required to adopt FSP FAS 142-3 for the fiscal year beginning January 1, 2009. Management does not anticipate that the adoption of this FSP will have a material impact on the Company’s financial statements.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103"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In May 2008, the FASB issued SFAS 162, </w:t>
      </w:r>
      <w:r>
        <w:rPr>
          <w:rFonts w:ascii="Arial" w:cs="Arial" w:eastAsia="Arial" w:hAnsi="Arial"/>
          <w:sz w:val="18"/>
          <w:szCs w:val="18"/>
          <w:i w:val="1"/>
          <w:iCs w:val="1"/>
          <w:color w:val="auto"/>
        </w:rPr>
        <w:t>The Hierarchy of Generally Accepted Accounting Principles</w:t>
      </w:r>
      <w:r>
        <w:rPr>
          <w:rFonts w:ascii="Arial" w:cs="Arial" w:eastAsia="Arial" w:hAnsi="Arial"/>
          <w:sz w:val="18"/>
          <w:szCs w:val="18"/>
          <w:color w:val="auto"/>
        </w:rPr>
        <w:t xml:space="preserve">. SFAS 162 identifies the sources of accounting principles and the framework for selecting the principles used in the preparation of financial statements of nongovernmental entities that are presented in conformity with GAAP in the United States. Any effect of applying the provisions of SFAS 162 shall be reported as a change in accounting principle in accordance with SFAS 154, </w:t>
      </w:r>
      <w:r>
        <w:rPr>
          <w:rFonts w:ascii="Arial" w:cs="Arial" w:eastAsia="Arial" w:hAnsi="Arial"/>
          <w:sz w:val="18"/>
          <w:szCs w:val="18"/>
          <w:i w:val="1"/>
          <w:iCs w:val="1"/>
          <w:color w:val="auto"/>
        </w:rPr>
        <w:t>Accounting Changes and Error Corrections</w:t>
      </w:r>
      <w:r>
        <w:rPr>
          <w:rFonts w:ascii="Arial" w:cs="Arial" w:eastAsia="Arial" w:hAnsi="Arial"/>
          <w:sz w:val="18"/>
          <w:szCs w:val="18"/>
          <w:color w:val="auto"/>
        </w:rPr>
        <w:t xml:space="preserve">. SFAS 162 is effective 60 days following approval by the Securities and Exchange Commission of the Public Company Accounting Oversight Board amendments to AU Section 411, </w:t>
      </w:r>
      <w:r>
        <w:rPr>
          <w:rFonts w:ascii="Arial" w:cs="Arial" w:eastAsia="Arial" w:hAnsi="Arial"/>
          <w:sz w:val="18"/>
          <w:szCs w:val="18"/>
          <w:i w:val="1"/>
          <w:iCs w:val="1"/>
          <w:color w:val="auto"/>
        </w:rPr>
        <w:t>The Meaning of Present Fairly in Conformity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Generally Accepted Accounting Principles. </w:t>
      </w:r>
      <w:r>
        <w:rPr>
          <w:rFonts w:ascii="Arial" w:cs="Arial" w:eastAsia="Arial" w:hAnsi="Arial"/>
          <w:sz w:val="18"/>
          <w:szCs w:val="18"/>
          <w:color w:val="auto"/>
        </w:rPr>
        <w:t>Management does not anticipate that the adoption of SFAS 162 will have a material impact on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w:t>
      </w:r>
    </w:p>
    <w:p>
      <w:pPr>
        <w:spacing w:after="0" w:line="16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41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40" w:firstLine="225"/>
        <w:spacing w:after="0" w:line="254" w:lineRule="auto"/>
        <w:rPr>
          <w:sz w:val="20"/>
          <w:szCs w:val="20"/>
          <w:color w:val="auto"/>
        </w:rPr>
      </w:pPr>
      <w:r>
        <w:rPr>
          <w:rFonts w:ascii="Arial" w:cs="Arial" w:eastAsia="Arial" w:hAnsi="Arial"/>
          <w:sz w:val="18"/>
          <w:szCs w:val="18"/>
          <w:i w:val="1"/>
          <w:iCs w:val="1"/>
          <w:color w:val="auto"/>
        </w:rPr>
        <w:t>The discussion below contains forward-looking statements that involve risks and uncertainties relating to future events and the future financial performance of Regeneron Pharmaceuticals, Inc., and actual events or results may differ materially. These statements concern, among other things, the possible success and therapeutic applications of our product candidates and research programs, the timing and nature of the clinical and research programs now underway or planned, and the future sources and uses of capital and our financial needs. These statements are made by us based on management’s current beliefs and judgment. In evaluating such statements, stockholders and potential investors should specifically consider the various factors identified under the caption “Risk Factors” which could cause actual events or results to differ materially from those indicated by such forward-looking statements. We do not undertake any obligation to update publicly any forward-looking statement, whether as a result of new information, future events, or otherwise, except as required by law.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Regeneron Pharmaceuticals, Inc. is a biopharmaceutical company that discovers, develops, and commercializes pharmaceutical products for the treatment of serious medical conditions. We currently have one marketed product: ARCALYST</w:t>
      </w:r>
      <w:r>
        <w:rPr>
          <w:rFonts w:ascii="Arial" w:cs="Arial" w:eastAsia="Arial" w:hAnsi="Arial"/>
          <w:sz w:val="13"/>
          <w:szCs w:val="13"/>
          <w:color w:val="auto"/>
        </w:rPr>
        <w:t>®</w:t>
      </w:r>
      <w:r>
        <w:rPr>
          <w:rFonts w:ascii="Arial" w:cs="Arial" w:eastAsia="Arial" w:hAnsi="Arial"/>
          <w:sz w:val="16"/>
          <w:szCs w:val="16"/>
          <w:color w:val="auto"/>
        </w:rPr>
        <w:t xml:space="preserve"> (rilonacept) Injection for Subcutaneous Use, which is now available for prescription in the United States for the treatment of Cryopyrin-Associated Periodic Syndromes (CAPS), including Familial Cold Auto-inflammatory Syndrome (FCAS) and Muckle-Wells Syndrome (MWS) in adults and children 12 and older. We also have four clinical development programs, including two late-stage clinical programs. The late stage programs are aflibercept (VEGF Trap), which is being developed in oncology in collaboration with the sanofi-aventis Group and VEGF Trap-Eye, which is being developed in eye diseases using intraocular delivery in collaboration with Bayer HealthCare LLC. ARCALYST</w:t>
      </w:r>
      <w:r>
        <w:rPr>
          <w:rFonts w:ascii="Arial" w:cs="Arial" w:eastAsia="Arial" w:hAnsi="Arial"/>
          <w:sz w:val="13"/>
          <w:szCs w:val="13"/>
          <w:color w:val="auto"/>
        </w:rPr>
        <w:t>®</w:t>
      </w:r>
      <w:r>
        <w:rPr>
          <w:rFonts w:ascii="Arial" w:cs="Arial" w:eastAsia="Arial" w:hAnsi="Arial"/>
          <w:sz w:val="16"/>
          <w:szCs w:val="16"/>
          <w:color w:val="auto"/>
        </w:rPr>
        <w:t xml:space="preserve"> (rilonacept; also known as IL-1 Trap) is also in a Phase 2 safety and efficacy trial for the prevention of gout flares induced by the initiation of uric acid-lowering drug therapy used to control gout. Our fourth clinical development program is REGN88, an antibody to the interleukin-6 receptor (IL-6R) that is being developed with sanofi-aventis. REGN88 entered clinical development in patients with rheumatoid arthritis in the fourth quarter of 2007.</w:t>
      </w:r>
    </w:p>
    <w:p>
      <w:pPr>
        <w:spacing w:after="0" w:line="59" w:lineRule="exact"/>
        <w:rPr>
          <w:sz w:val="20"/>
          <w:szCs w:val="20"/>
          <w:color w:val="auto"/>
        </w:rPr>
      </w:pPr>
    </w:p>
    <w:p>
      <w:pPr>
        <w:ind w:right="80" w:firstLine="222"/>
        <w:spacing w:after="0" w:line="279" w:lineRule="auto"/>
        <w:rPr>
          <w:sz w:val="20"/>
          <w:szCs w:val="20"/>
          <w:color w:val="auto"/>
        </w:rPr>
      </w:pPr>
      <w:r>
        <w:rPr>
          <w:rFonts w:ascii="Arial" w:cs="Arial" w:eastAsia="Arial" w:hAnsi="Arial"/>
          <w:sz w:val="17"/>
          <w:szCs w:val="17"/>
          <w:color w:val="auto"/>
        </w:rPr>
        <w:t>We expect that our next generation of product candidates will be based on our proprietary technologies for developing human monoclonal antibodies. Our antibody program is being conducted in collaboration with sanofi-aventis. Our preclinical research programs are in the areas of oncology and angiogenesis, ophthalmology, metabolic and related diseases, muscle diseases and disorders, inflammation and immune diseases, bone and cartilage, pain, and cardiovascular diseases. Developing and commercializing new medicines entails significant risk and expense.</w:t>
      </w:r>
    </w:p>
    <w:p>
      <w:pPr>
        <w:spacing w:after="0" w:line="63" w:lineRule="exact"/>
        <w:rPr>
          <w:sz w:val="20"/>
          <w:szCs w:val="20"/>
          <w:color w:val="auto"/>
        </w:rPr>
      </w:pPr>
    </w:p>
    <w:p>
      <w:pPr>
        <w:ind w:right="160" w:firstLine="225"/>
        <w:spacing w:after="0" w:line="312" w:lineRule="auto"/>
        <w:rPr>
          <w:sz w:val="20"/>
          <w:szCs w:val="20"/>
          <w:color w:val="auto"/>
        </w:rPr>
      </w:pPr>
      <w:r>
        <w:rPr>
          <w:rFonts w:ascii="Arial" w:cs="Arial" w:eastAsia="Arial" w:hAnsi="Arial"/>
          <w:sz w:val="16"/>
          <w:szCs w:val="16"/>
          <w:color w:val="auto"/>
        </w:rPr>
        <w:t>Our core business strategy is to maintain a strong foundation in basic scientific research and discovery-enabling technology and combine that foundation with our manufacturing and clinical development capabilities to build a successful, integrated biopharmaceutical company. We believe that our ability to develop product candidates is enhanced by the application of our technology platforms. Our discovery platforms are designed to identify specific genes of</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therapeutic interest for a particular disease or cell type and validate targets through high-throughput production of mammalian models. Our human monoclonal antibody technology (</w:t>
      </w:r>
      <w:r>
        <w:rPr>
          <w:rFonts w:ascii="Arial" w:cs="Arial" w:eastAsia="Arial" w:hAnsi="Arial"/>
          <w:sz w:val="17"/>
          <w:szCs w:val="17"/>
          <w:i w:val="1"/>
          <w:iCs w:val="1"/>
          <w:color w:val="auto"/>
        </w:rPr>
        <w:t>VelocImmune</w:t>
      </w:r>
      <w:r>
        <w:rPr>
          <w:rFonts w:ascii="Arial" w:cs="Arial" w:eastAsia="Arial" w:hAnsi="Arial"/>
          <w:sz w:val="25"/>
          <w:szCs w:val="25"/>
          <w:b w:val="1"/>
          <w:bCs w:val="1"/>
          <w:i w:val="1"/>
          <w:iCs w:val="1"/>
          <w:color w:val="auto"/>
          <w:vertAlign w:val="superscript"/>
        </w:rPr>
        <w:t>®</w:t>
      </w:r>
      <w:r>
        <w:rPr>
          <w:rFonts w:ascii="Arial" w:cs="Arial" w:eastAsia="Arial" w:hAnsi="Arial"/>
          <w:sz w:val="17"/>
          <w:szCs w:val="17"/>
          <w:color w:val="auto"/>
        </w:rPr>
        <w:t xml:space="preserve">) and cell line expression technologies may then be utilized to design and produce new product candidates directed against the disease target. Based on the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platform which we believe, in conjunction with our other proprietary technologies, can accelerate the development of fully human monoclonal antibodies, we moved our first antibody product candidate (REGN88) into clinical trials in 2007. We plan to file Investigational New Drug Applications (INDs) for an antibody to Delta-like ligand-4 (Dll4) and one additional antibody product candidate by the end of 2008. We plan to advance two to three antibody product candidates into clinical development each year. We continue to invest in the development of enabling technologies to assist in our efforts to identify, develop, and commercialize new product candidates.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Commercial Product: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ARCALYST</w:t>
      </w:r>
      <w:r>
        <w:rPr>
          <w:rFonts w:ascii="Arial" w:cs="Arial" w:eastAsia="Arial" w:hAnsi="Arial"/>
          <w:sz w:val="26"/>
          <w:szCs w:val="26"/>
          <w:b w:val="1"/>
          <w:bCs w:val="1"/>
          <w:color w:val="auto"/>
          <w:vertAlign w:val="superscript"/>
        </w:rPr>
        <w:t>®</w:t>
      </w:r>
      <w:r>
        <w:rPr>
          <w:rFonts w:ascii="Arial" w:cs="Arial" w:eastAsia="Arial" w:hAnsi="Arial"/>
          <w:sz w:val="18"/>
          <w:szCs w:val="18"/>
          <w:b w:val="1"/>
          <w:bCs w:val="1"/>
          <w:i w:val="1"/>
          <w:iCs w:val="1"/>
          <w:color w:val="auto"/>
        </w:rPr>
        <w:t xml:space="preserve"> (rilonacept) — Cryopyrin-Associated Periodic Syndromes (CAPS)</w:t>
      </w:r>
    </w:p>
    <w:p>
      <w:pPr>
        <w:spacing w:after="0" w:line="41" w:lineRule="exact"/>
        <w:rPr>
          <w:sz w:val="20"/>
          <w:szCs w:val="20"/>
          <w:color w:val="auto"/>
        </w:rPr>
      </w:pPr>
    </w:p>
    <w:p>
      <w:pPr>
        <w:ind w:right="40" w:firstLine="225"/>
        <w:spacing w:after="0" w:line="270" w:lineRule="auto"/>
        <w:rPr>
          <w:sz w:val="20"/>
          <w:szCs w:val="20"/>
          <w:color w:val="auto"/>
        </w:rPr>
      </w:pPr>
      <w:r>
        <w:rPr>
          <w:rFonts w:ascii="Arial" w:cs="Arial" w:eastAsia="Arial" w:hAnsi="Arial"/>
          <w:sz w:val="16"/>
          <w:szCs w:val="16"/>
          <w:color w:val="auto"/>
        </w:rPr>
        <w:t>In February 2008, we received marketing approval from the U.S. Food and Drug Administration (FDA) for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(rilonacept) Injection for Subcutaneous Use for the treatment of Cryopyrin-Associated Periodic Syndromes (CAPS), including Familial Cold Auto-inflammatory Syndrome (FCAS) and Muckle-Wells Syndrome (MWS) in adults and children 12 and older. In March 2008, ARCALYST became available for prescription in the United States and we began making shipments to our distributors. Since ARCALYST became available for commercial sale, we have been transitioning the patients who participated in the CAPS pivotal study from clinical study drug to commercial quantities of ARCALYST. We expect this transition process to be completed this year and currently project shipments of ARCALYST to our distributors to total approximately $10 million in 2008. During the second quarter and first half of 2008, we shipped $1.6 million and $2.4 million, respectively, of ARCALYST to our distributors. In July 2008, we submitted a Marketing Authorization Application (MAA) with the European Medicines Agency (EMEA) for ARCALYST for the treatment of CAPS in the European Union.</w:t>
      </w:r>
    </w:p>
    <w:p>
      <w:pPr>
        <w:spacing w:after="0" w:line="76" w:lineRule="exact"/>
        <w:rPr>
          <w:sz w:val="20"/>
          <w:szCs w:val="20"/>
          <w:color w:val="auto"/>
        </w:rPr>
      </w:pPr>
    </w:p>
    <w:p>
      <w:pPr>
        <w:ind w:firstLine="215"/>
        <w:spacing w:after="0" w:line="273" w:lineRule="auto"/>
        <w:rPr>
          <w:sz w:val="20"/>
          <w:szCs w:val="20"/>
          <w:color w:val="auto"/>
        </w:rPr>
      </w:pPr>
      <w:r>
        <w:rPr>
          <w:rFonts w:ascii="Arial" w:cs="Arial" w:eastAsia="Arial" w:hAnsi="Arial"/>
          <w:sz w:val="17"/>
          <w:szCs w:val="17"/>
          <w:color w:val="auto"/>
        </w:rPr>
        <w:t xml:space="preserve">ARCALYST is a protein-based product designed to bind the interleukin-1 (called IL-1) cytokine and prevent its interaction with cell surface receptors. ARCALYST is the only therapy approved for patients with CAPS, a group of rare, inherited, auto-inflammatory conditions characterized by life-long, recurrent symptoms of rash, fever/chills, joint pain, eye redness/pain, and fatigue. Intermittent, disruptive exacerbations or flares can be triggered at any time by exposure to cooling temperatures, stress, exercise, or other unknown stimuli. CAPS is caused by a range of mutations in the gene NLRP3 (formerly known as </w:t>
      </w:r>
      <w:r>
        <w:rPr>
          <w:rFonts w:ascii="Arial" w:cs="Arial" w:eastAsia="Arial" w:hAnsi="Arial"/>
          <w:sz w:val="17"/>
          <w:szCs w:val="17"/>
          <w:i w:val="1"/>
          <w:iCs w:val="1"/>
          <w:color w:val="auto"/>
        </w:rPr>
        <w:t>CIAS1</w:t>
      </w:r>
      <w:r>
        <w:rPr>
          <w:rFonts w:ascii="Arial" w:cs="Arial" w:eastAsia="Arial" w:hAnsi="Arial"/>
          <w:sz w:val="17"/>
          <w:szCs w:val="17"/>
          <w:color w:val="auto"/>
        </w:rPr>
        <w:t>) which encodes a protein named cryopyrin. In addition to FCAS and MWS, CAPS includes Neonatal Onset Multisystem Inflammatory Disease (NOMID). ARCALYST has not been studied for the treatment of NOMID.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Late-Stage Clinical Programs: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Below is a summary of the status of our late-stage clinical candidates: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Aflibercept (VEGF Trap) — Oncology</w:t>
      </w:r>
    </w:p>
    <w:p>
      <w:pPr>
        <w:spacing w:after="0" w:line="117" w:lineRule="exact"/>
        <w:rPr>
          <w:sz w:val="20"/>
          <w:szCs w:val="20"/>
          <w:color w:val="auto"/>
        </w:rPr>
      </w:pPr>
    </w:p>
    <w:p>
      <w:pPr>
        <w:ind w:right="20" w:firstLine="215"/>
        <w:spacing w:after="0" w:line="259" w:lineRule="auto"/>
        <w:rPr>
          <w:sz w:val="20"/>
          <w:szCs w:val="20"/>
          <w:color w:val="auto"/>
        </w:rPr>
      </w:pPr>
      <w:r>
        <w:rPr>
          <w:rFonts w:ascii="Arial" w:cs="Arial" w:eastAsia="Arial" w:hAnsi="Arial"/>
          <w:sz w:val="18"/>
          <w:szCs w:val="18"/>
          <w:color w:val="auto"/>
        </w:rPr>
        <w:t>Aflibercept is a protein-based product candidate designed to bind all forms of Vascular Endothelial Growth Factor-A (called VEGF-A, also known as Vascular Permeability Factor or VPF) and the related Placental Growth Factor (called PlGF), and prevent their interaction with cell surface receptors. VEGF-A (and to a less validated degree, PlGF) is required for the growth of new blood vessels (a process known as angiogenesis) that are needed for tumors to grow and is a potent regulator of vascular permeability and leakage.</w:t>
      </w:r>
    </w:p>
    <w:p>
      <w:pPr>
        <w:spacing w:after="0" w:line="79" w:lineRule="exact"/>
        <w:rPr>
          <w:sz w:val="20"/>
          <w:szCs w:val="20"/>
          <w:color w:val="auto"/>
        </w:rPr>
      </w:pPr>
    </w:p>
    <w:p>
      <w:pPr>
        <w:ind w:right="20" w:firstLine="215"/>
        <w:spacing w:after="0" w:line="271" w:lineRule="auto"/>
        <w:rPr>
          <w:sz w:val="20"/>
          <w:szCs w:val="20"/>
          <w:color w:val="auto"/>
        </w:rPr>
      </w:pPr>
      <w:r>
        <w:rPr>
          <w:rFonts w:ascii="Arial" w:cs="Arial" w:eastAsia="Arial" w:hAnsi="Arial"/>
          <w:sz w:val="17"/>
          <w:szCs w:val="17"/>
          <w:color w:val="auto"/>
        </w:rPr>
        <w:t>Aflibercept is being developed in cancer indications in collaboration with sanofi-aventis. We and sanofi-aventis currently are enrolling patients in four Phase 3 trials that combine aflibercept with standard chemotherapy regimens. One trial is evaluating aflibercept as a 1</w:t>
      </w:r>
      <w:r>
        <w:rPr>
          <w:rFonts w:ascii="Arial" w:cs="Arial" w:eastAsia="Arial" w:hAnsi="Arial"/>
          <w:sz w:val="14"/>
          <w:szCs w:val="14"/>
          <w:color w:val="auto"/>
        </w:rPr>
        <w:t>st</w:t>
      </w:r>
      <w:r>
        <w:rPr>
          <w:rFonts w:ascii="Arial" w:cs="Arial" w:eastAsia="Arial" w:hAnsi="Arial"/>
          <w:sz w:val="17"/>
          <w:szCs w:val="17"/>
          <w:color w:val="auto"/>
        </w:rPr>
        <w:t xml:space="preserve"> line treatment for metastatic androgen independent prostate cancer in combination with docetaxel/prednisone. A second trial is evaluating aflibercept as a 2</w:t>
      </w:r>
      <w:r>
        <w:rPr>
          <w:rFonts w:ascii="Arial" w:cs="Arial" w:eastAsia="Arial" w:hAnsi="Arial"/>
          <w:sz w:val="14"/>
          <w:szCs w:val="14"/>
          <w:color w:val="auto"/>
        </w:rPr>
        <w:t>nd</w:t>
      </w:r>
      <w:r>
        <w:rPr>
          <w:rFonts w:ascii="Arial" w:cs="Arial" w:eastAsia="Arial" w:hAnsi="Arial"/>
          <w:sz w:val="17"/>
          <w:szCs w:val="17"/>
          <w:color w:val="auto"/>
        </w:rPr>
        <w:t xml:space="preserve"> line treatment for metastatic non-small cell lung cancer in combination with docetaxel. The third Phase 3 trial is evaluating aflibercept as a 1</w:t>
      </w:r>
      <w:r>
        <w:rPr>
          <w:rFonts w:ascii="Arial" w:cs="Arial" w:eastAsia="Arial" w:hAnsi="Arial"/>
          <w:sz w:val="14"/>
          <w:szCs w:val="14"/>
          <w:color w:val="auto"/>
        </w:rPr>
        <w:t>st</w:t>
      </w:r>
      <w:r>
        <w:rPr>
          <w:rFonts w:ascii="Arial" w:cs="Arial" w:eastAsia="Arial" w:hAnsi="Arial"/>
          <w:sz w:val="17"/>
          <w:szCs w:val="17"/>
          <w:color w:val="auto"/>
        </w:rPr>
        <w:t xml:space="preserve"> line treatment for metastatic pancreatic cancer in combination with gemcitabine. The fourth Phase 3 trial is evaluating aflibercept as a 2</w:t>
      </w:r>
      <w:r>
        <w:rPr>
          <w:rFonts w:ascii="Arial" w:cs="Arial" w:eastAsia="Arial" w:hAnsi="Arial"/>
          <w:sz w:val="14"/>
          <w:szCs w:val="14"/>
          <w:color w:val="auto"/>
        </w:rPr>
        <w:t>nd</w:t>
      </w:r>
      <w:r>
        <w:rPr>
          <w:rFonts w:ascii="Arial" w:cs="Arial" w:eastAsia="Arial" w:hAnsi="Arial"/>
          <w:sz w:val="17"/>
          <w:szCs w:val="17"/>
          <w:color w:val="auto"/>
        </w:rPr>
        <w:t xml:space="preserve"> line treatment for metastatic colorectal cancer in combination with FOLFIRI (Folinic Acid (leucovorin), 5-fluorouracil, and irinotecan). All four trials are studying the current standard of chemotherapy care for the cancer being studied with and without aflibercept. In addition, a Phase 2 study of aflibercept in 1st-line metastatic colorectal cancer in combination with Folinic Acid (leucovirin), 5-fluorouracil, and oxaliplatin is expected to begin later in 2008.</w:t>
      </w:r>
    </w:p>
    <w:p>
      <w:pPr>
        <w:spacing w:after="0" w:line="71" w:lineRule="exact"/>
        <w:rPr>
          <w:sz w:val="20"/>
          <w:szCs w:val="20"/>
          <w:color w:val="auto"/>
        </w:rPr>
      </w:pPr>
    </w:p>
    <w:p>
      <w:pPr>
        <w:ind w:right="80" w:firstLine="215"/>
        <w:spacing w:after="0" w:line="255" w:lineRule="auto"/>
        <w:rPr>
          <w:sz w:val="20"/>
          <w:szCs w:val="20"/>
          <w:color w:val="auto"/>
        </w:rPr>
      </w:pPr>
      <w:r>
        <w:rPr>
          <w:rFonts w:ascii="Arial" w:cs="Arial" w:eastAsia="Arial" w:hAnsi="Arial"/>
          <w:sz w:val="18"/>
          <w:szCs w:val="18"/>
          <w:color w:val="auto"/>
        </w:rPr>
        <w:t>Aflibercept is also being studied in a Phase 2 single-agent study in advanced ovarian cancer (AOC) patients with symptomatic malignant ascites (SMA). This trial is approximately three-fourths enrolled and patients continue to be enrolled in the study. In 2004, the FDA granted Fast Track designation to aflibercept for the treatment of SMA. In a separate non-blinded study of patients with AOC and SMA who were treated with aflibercept dosed 4 mg/kg every 2 weeks, 8 out of the 10 evaluable patients achieved the primary endpoint of the study, defined as at least a doubling of the time to repeat paracentesis compared to their baseline average. The results of this study were summarized in the published abstracts of the 2008 American Society of Clinical Oncology (ASCO) meeting.</w:t>
      </w:r>
    </w:p>
    <w:p>
      <w:pPr>
        <w:spacing w:after="0" w:line="85"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Sanofi-aventis has also expanded the development program to Japan, where they are conducting Phase 1 safety and tolerability studies in combination with standard chemotherapies in patients with advanced solid malignancies.</w:t>
      </w:r>
    </w:p>
    <w:p>
      <w:pPr>
        <w:spacing w:after="0" w:line="62"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In May 2008, we and sanofi-aventis reported results of a randomized, double-blind, Phase 2 study of 215 women with AOC who were treated with aflibercept as a single-agent at a dose of either 2 milligrams per kilogram (mg/kg) or 4 mg/kg every two weeks. The study did not achieve its primary endpoint of demonstrating that patients in either arm of the study achieved a RECIST (Response Evaluation Criteria in Solid Tumors) response rate as assessed by an independent review committee that was statistically significantly greater than 5 percent. Side effects of treatment with aflibercept were typical of this class of anti-angiogenic agents, with hypertension being the most common grade 3/4 adverse event. The results were consistent with the interim data of the same trial reported at the 2007 ASCO meeting.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In addition, more than 13 studies are currently underway or scheduled to begin that are being or will be conducted in conjunction with the National Cancer Institute (NCI) Cancer Therapy Evaluation Program (CTEP) evaluating aflibercept as a single agent or in combination with chemotherapy regimens in a variety of cancer indications. At the 2008 ASCO meeting, investigators reported preliminary results of a study of single-agent aflibercept in 48 patients with either relapsed or first recurrence temozolomide-resistant glioblastoma multiforme or anaplastic glioma. Responses were achieved in 50 percent of patients with anaplastic glioma and 30 percent of patients with glioblastoma. Grade 3 adverse events included fatigue, hypertension, hand-foot syndrome, lymphopenia, thrombosis, and proteinuria.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Aflibercept Collaboration with the sanofi-aventis Group</w:t>
      </w:r>
    </w:p>
    <w:p>
      <w:pPr>
        <w:spacing w:after="0" w:line="121"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In September 2003, we entered into a collaboration agreement with Aventis Pharmaceuticals, Inc. (predecessor to sanofi-aventis U.S.) to collaborate on the development and commercialization of aflibercept in all countries other than Japan, where we retained the exclusive right to develop and commercialize aflibercept. In January 2005, we and sanofi-aventis amended the collaboration agreement to exclude, from the scope of the collaboration, the development and commercialization of aflibercept for intraocular delivery to the eye. In December 2005, we and sanofi-aventis amended our collaboration agreement to expand the territory in which the companies are collaborating on the development of aflibercept to include Japan. Under the collaboration agreement, as amended, we and sanofi-aventis will share co-promotion rights and profits on sales, if any, of aflibercept outside of Japan for disease indications included in our collaboration. In Japan, we are entitled to a royalty of approximately 35% on annual sales of aflibercept, subject to certain potential adjustments. We may also receive up to $400.0 million in milestone payments upon receipt of specified marketing approvals. This total includes up to $360.0 million in milestone payments related to receipt of marketing approvals for up to eight aflibercept oncology and other indications in the United States or the European Union. Another $40.0 million of milestone payments relate to receipt of marketing approvals for up to five oncology indications in Japan.</w:t>
      </w:r>
    </w:p>
    <w:p>
      <w:pPr>
        <w:spacing w:after="0" w:line="61"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Under the aflibercept collaboration agreement, as amended, agreed upon worldwide development expenses incurred by both companies during the term of the agreement will be funded by sanofi-aventis. If the collaboration becomes profitable, we will be obligated to reimburse sanofi-aventis for 50% of aflibercept development expenses in accordance with a formula based on the amount of development expenses and our share of the collaboration profits and Japan royalties, or at a faster rate at our option.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VEGF Trap — Eye Diseases</w:t>
      </w:r>
    </w:p>
    <w:p>
      <w:pPr>
        <w:spacing w:after="0" w:line="117" w:lineRule="exact"/>
        <w:rPr>
          <w:sz w:val="20"/>
          <w:szCs w:val="20"/>
          <w:color w:val="auto"/>
        </w:rPr>
      </w:pPr>
    </w:p>
    <w:p>
      <w:pPr>
        <w:ind w:firstLine="222"/>
        <w:spacing w:after="0" w:line="297" w:lineRule="auto"/>
        <w:rPr>
          <w:sz w:val="20"/>
          <w:szCs w:val="20"/>
          <w:color w:val="auto"/>
        </w:rPr>
      </w:pPr>
      <w:r>
        <w:rPr>
          <w:rFonts w:ascii="Arial" w:cs="Arial" w:eastAsia="Arial" w:hAnsi="Arial"/>
          <w:sz w:val="16"/>
          <w:szCs w:val="16"/>
          <w:color w:val="auto"/>
        </w:rPr>
        <w:t>VEGF Trap-Eye is a form of the VEGF Trap that has been purified and formulated with excipients and at concentrations suitable for direct injection into the eye. We and Bayer HealthCare are currently testing VEGF Trap-Eye in a Phase 3 program in patients with the neovascular form of Age-related Macular Degeneration (wet AMD). We initiated the first Phase 3 trial in wet AMD in the third quarter of 2007, and in May 2008, we and Bayer HealthCare announced that Bayer Healthcare had initiated a second Phase 3 trial. These Phase 3 trials in wet AMD, known as VIEW 1 and VIEW 2 (</w:t>
      </w:r>
      <w:r>
        <w:rPr>
          <w:rFonts w:ascii="Arial" w:cs="Arial" w:eastAsia="Arial" w:hAnsi="Arial"/>
          <w:sz w:val="16"/>
          <w:szCs w:val="16"/>
          <w:u w:val="single" w:color="auto"/>
          <w:color w:val="auto"/>
        </w:rPr>
        <w:t>V</w:t>
      </w:r>
      <w:r>
        <w:rPr>
          <w:rFonts w:ascii="Arial" w:cs="Arial" w:eastAsia="Arial" w:hAnsi="Arial"/>
          <w:sz w:val="16"/>
          <w:szCs w:val="16"/>
          <w:color w:val="auto"/>
        </w:rPr>
        <w:t xml:space="preserve">EGF Trap: </w:t>
      </w:r>
      <w:r>
        <w:rPr>
          <w:rFonts w:ascii="Arial" w:cs="Arial" w:eastAsia="Arial" w:hAnsi="Arial"/>
          <w:sz w:val="16"/>
          <w:szCs w:val="16"/>
          <w:u w:val="single" w:color="auto"/>
          <w:color w:val="auto"/>
        </w:rPr>
        <w:t>I</w:t>
      </w:r>
      <w:r>
        <w:rPr>
          <w:rFonts w:ascii="Arial" w:cs="Arial" w:eastAsia="Arial" w:hAnsi="Arial"/>
          <w:sz w:val="16"/>
          <w:szCs w:val="16"/>
          <w:color w:val="auto"/>
        </w:rPr>
        <w:t xml:space="preserve">nvestigation of </w:t>
      </w:r>
      <w:r>
        <w:rPr>
          <w:rFonts w:ascii="Arial" w:cs="Arial" w:eastAsia="Arial" w:hAnsi="Arial"/>
          <w:sz w:val="16"/>
          <w:szCs w:val="16"/>
          <w:u w:val="single" w:color="auto"/>
          <w:color w:val="auto"/>
        </w:rPr>
        <w:t>E</w:t>
      </w:r>
      <w:r>
        <w:rPr>
          <w:rFonts w:ascii="Arial" w:cs="Arial" w:eastAsia="Arial" w:hAnsi="Arial"/>
          <w:sz w:val="16"/>
          <w:szCs w:val="16"/>
          <w:color w:val="auto"/>
        </w:rPr>
        <w:t xml:space="preserve">fficacy and Safety in </w:t>
      </w:r>
      <w:r>
        <w:rPr>
          <w:rFonts w:ascii="Arial" w:cs="Arial" w:eastAsia="Arial" w:hAnsi="Arial"/>
          <w:sz w:val="16"/>
          <w:szCs w:val="16"/>
          <w:u w:val="single" w:color="auto"/>
          <w:color w:val="auto"/>
        </w:rPr>
        <w:t>W</w:t>
      </w:r>
      <w:r>
        <w:rPr>
          <w:rFonts w:ascii="Arial" w:cs="Arial" w:eastAsia="Arial" w:hAnsi="Arial"/>
          <w:sz w:val="16"/>
          <w:szCs w:val="16"/>
          <w:color w:val="auto"/>
        </w:rPr>
        <w:t>et age-related macular degeneration), are comparing VEGF Trap-Eye and ranibizumab (Lucentis</w:t>
      </w:r>
      <w:r>
        <w:rPr>
          <w:rFonts w:ascii="Arial" w:cs="Arial" w:eastAsia="Arial" w:hAnsi="Arial"/>
          <w:sz w:val="13"/>
          <w:szCs w:val="13"/>
          <w:color w:val="auto"/>
        </w:rPr>
        <w:t>®</w:t>
      </w:r>
      <w:r>
        <w:rPr>
          <w:rFonts w:ascii="Arial" w:cs="Arial" w:eastAsia="Arial" w:hAnsi="Arial"/>
          <w:sz w:val="16"/>
          <w:szCs w:val="16"/>
          <w:color w:val="auto"/>
        </w:rPr>
        <w:t>, a registered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trademark of Genetech, Inc.), an anti-angiogenic agent approved for use in wet AMD. VIEW 1 is being conducted in North America and VIEW 2 is being conducted in Europe, Asia Pacific, Japan and Latin America. The VIEW 1 and VIEW 2 trials are both evaluating dosing intervals of four and eight weeks for VEGF Trap-Eye compared with ranibizumab dosed according to its U.S. label every four weeks over the first year.</w:t>
      </w:r>
    </w:p>
    <w:p>
      <w:pPr>
        <w:spacing w:after="0" w:line="73"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In April 2008, we and Bayer HealthCare announced the 32-week endpoint results of a Phase 2 study evaluating VEGF Trap-Eye in wet AMD, which were presented at the 2008 Association for Research in Vision and Ophthalmology (ARVO) meeting in Fort Lauderdale, Florida. The 32-week analysis showed that VEGF Trap-Eye dosed on a PRN (as-needed) dosing schedule maintained the statistically significant gain in visual acuity achieved after an initial 12-week fixed-dosing phase.</w:t>
      </w:r>
    </w:p>
    <w:p>
      <w:pPr>
        <w:spacing w:after="0" w:line="79" w:lineRule="exact"/>
        <w:rPr>
          <w:sz w:val="20"/>
          <w:szCs w:val="20"/>
          <w:color w:val="auto"/>
        </w:rPr>
      </w:pPr>
    </w:p>
    <w:p>
      <w:pPr>
        <w:ind w:right="180" w:firstLine="225"/>
        <w:spacing w:after="0" w:line="274" w:lineRule="auto"/>
        <w:rPr>
          <w:sz w:val="20"/>
          <w:szCs w:val="20"/>
          <w:color w:val="auto"/>
        </w:rPr>
      </w:pPr>
      <w:r>
        <w:rPr>
          <w:rFonts w:ascii="Arial" w:cs="Arial" w:eastAsia="Arial" w:hAnsi="Arial"/>
          <w:sz w:val="17"/>
          <w:szCs w:val="17"/>
          <w:color w:val="auto"/>
        </w:rPr>
        <w:t>Study results showed that across all dose groups in the study population the 6.6 mean letter gain in visual acuity achieved versus baseline at the week 16 evaluation visit, following 12 weeks of fixed dosing, was maintained out to week 32 (a 6.7 mean letter gain versus baseline;</w:t>
      </w:r>
    </w:p>
    <w:p>
      <w:pPr>
        <w:jc w:val="both"/>
        <w:ind w:right="140"/>
        <w:spacing w:after="0" w:line="255" w:lineRule="auto"/>
        <w:rPr>
          <w:sz w:val="20"/>
          <w:szCs w:val="20"/>
          <w:color w:val="auto"/>
        </w:rPr>
      </w:pPr>
      <w:r>
        <w:rPr>
          <w:rFonts w:ascii="Arial" w:cs="Arial" w:eastAsia="Arial" w:hAnsi="Arial"/>
          <w:sz w:val="18"/>
          <w:szCs w:val="18"/>
          <w:i w:val="1"/>
          <w:iCs w:val="1"/>
          <w:color w:val="auto"/>
        </w:rPr>
        <w:t>p</w:t>
      </w:r>
      <w:r>
        <w:rPr>
          <w:rFonts w:ascii="Arial" w:cs="Arial" w:eastAsia="Arial" w:hAnsi="Arial"/>
          <w:sz w:val="18"/>
          <w:szCs w:val="18"/>
          <w:color w:val="auto"/>
        </w:rPr>
        <w:t>&lt; 0.0001) using a PRN dosing schedule (where dosing frequency was determined by the physician’s assessment of pre-specified criteria). The decrease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retinal thickness, an anatomical measure of treatment effect, achieved with a fixed-dose schedule was also maintained for all dose groups combined at week 32 (a 137 micron mean decrease versus baseline, </w:t>
      </w:r>
      <w:r>
        <w:rPr>
          <w:rFonts w:ascii="Arial" w:cs="Arial" w:eastAsia="Arial" w:hAnsi="Arial"/>
          <w:sz w:val="18"/>
          <w:szCs w:val="18"/>
          <w:i w:val="1"/>
          <w:iCs w:val="1"/>
          <w:color w:val="auto"/>
        </w:rPr>
        <w:t>p</w:t>
      </w:r>
      <w:r>
        <w:rPr>
          <w:rFonts w:ascii="Arial" w:cs="Arial" w:eastAsia="Arial" w:hAnsi="Arial"/>
          <w:sz w:val="18"/>
          <w:szCs w:val="18"/>
          <w:color w:val="auto"/>
        </w:rPr>
        <w:t>&lt;0.0001).</w:t>
      </w:r>
    </w:p>
    <w:p>
      <w:pPr>
        <w:spacing w:after="0" w:line="82"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In this double-masked, prospective, randomized, multi-center Phase 2 trial, 157 patients were randomized to five dose groups and treated with VEGF Trap-Eye in one eye. Two groups initially received monthly doses of 0.5 or 2.0 milligrams (mg) of VEGF Trap-Eye for 12 weeks and three groups received quarterly doses of 0.5, 2.0, or 4.0 mg of VEGF Trap-Eye (at baseline and week 12). Following the initial 12-week fixed-dose phase of the trial, patients continued to receive therapy at the same dose on a PRN dosing schedule based upon the physician assessment of the need for re-treatment in accordance with pre-specified criteria. Patients were monitored for safety, retinal thickness, and visual acuity. These data represent the week 32 analysis from a 52-week study.</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Patients receiving monthly doses of VEGF Trap-Eye, either 0.5 or 2.0 mg, for 12 weeks followed by PRN dosing thereafter achieved mean improvements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 visual acuity of 8.0 (</w:t>
      </w:r>
      <w:r>
        <w:rPr>
          <w:rFonts w:ascii="Arial" w:cs="Arial" w:eastAsia="Arial" w:hAnsi="Arial"/>
          <w:sz w:val="16"/>
          <w:szCs w:val="16"/>
          <w:i w:val="1"/>
          <w:iCs w:val="1"/>
          <w:color w:val="auto"/>
        </w:rPr>
        <w:t>p</w:t>
      </w:r>
      <w:r>
        <w:rPr>
          <w:rFonts w:ascii="Arial" w:cs="Arial" w:eastAsia="Arial" w:hAnsi="Arial"/>
          <w:sz w:val="16"/>
          <w:szCs w:val="16"/>
          <w:color w:val="auto"/>
        </w:rPr>
        <w:t>&lt;0.01 versus baseline) and 10.1 letters (</w:t>
      </w:r>
      <w:r>
        <w:rPr>
          <w:rFonts w:ascii="Arial" w:cs="Arial" w:eastAsia="Arial" w:hAnsi="Arial"/>
          <w:sz w:val="16"/>
          <w:szCs w:val="16"/>
          <w:i w:val="1"/>
          <w:iCs w:val="1"/>
          <w:color w:val="auto"/>
        </w:rPr>
        <w:t>p</w:t>
      </w:r>
      <w:r>
        <w:rPr>
          <w:rFonts w:ascii="Arial" w:cs="Arial" w:eastAsia="Arial" w:hAnsi="Arial"/>
          <w:sz w:val="16"/>
          <w:szCs w:val="16"/>
          <w:color w:val="auto"/>
        </w:rPr>
        <w:t>&lt;0.0001 versus baseline), respectively, and mean decreases in retinal thickness of 141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w:t>
      </w:r>
      <w:r>
        <w:rPr>
          <w:rFonts w:ascii="Arial" w:cs="Arial" w:eastAsia="Arial" w:hAnsi="Arial"/>
          <w:sz w:val="16"/>
          <w:szCs w:val="16"/>
          <w:color w:val="auto"/>
        </w:rPr>
        <w:t>&lt;0.0001 versus baseline) and 162 microns (</w:t>
      </w:r>
      <w:r>
        <w:rPr>
          <w:rFonts w:ascii="Arial" w:cs="Arial" w:eastAsia="Arial" w:hAnsi="Arial"/>
          <w:sz w:val="16"/>
          <w:szCs w:val="16"/>
          <w:i w:val="1"/>
          <w:iCs w:val="1"/>
          <w:color w:val="auto"/>
        </w:rPr>
        <w:t>p</w:t>
      </w:r>
      <w:r>
        <w:rPr>
          <w:rFonts w:ascii="Arial" w:cs="Arial" w:eastAsia="Arial" w:hAnsi="Arial"/>
          <w:sz w:val="16"/>
          <w:szCs w:val="16"/>
          <w:color w:val="auto"/>
        </w:rPr>
        <w:t>&lt;0.0001 versus baseline) at week 32, respectively. While PRN dosing also maintained the improvements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retinal thickness and visual acuity achieved versus baseline following a fixed dosing regimen utilizing quarterly dosing at baseline and week 12, the results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achieved with a quarterly fixed dosing regimen were generally not as robust as obtained with initial fixed monthly dosing.</w:t>
      </w:r>
    </w:p>
    <w:p>
      <w:pPr>
        <w:spacing w:after="0" w:line="103" w:lineRule="exact"/>
        <w:rPr>
          <w:sz w:val="20"/>
          <w:szCs w:val="20"/>
          <w:color w:val="auto"/>
        </w:rPr>
      </w:pPr>
    </w:p>
    <w:p>
      <w:pPr>
        <w:ind w:right="200" w:firstLine="222"/>
        <w:spacing w:after="0" w:line="264" w:lineRule="auto"/>
        <w:rPr>
          <w:sz w:val="20"/>
          <w:szCs w:val="20"/>
          <w:color w:val="auto"/>
        </w:rPr>
      </w:pPr>
      <w:r>
        <w:rPr>
          <w:rFonts w:ascii="Arial" w:cs="Arial" w:eastAsia="Arial" w:hAnsi="Arial"/>
          <w:sz w:val="18"/>
          <w:szCs w:val="18"/>
          <w:color w:val="auto"/>
        </w:rPr>
        <w:t>VEGF Trap-Eye was generally safe and well-tolerated and there were no reported drug-related serious adverse events. There was one reported case of culture-negative endophthalmitis/uveitis in the study eye, which was deemed not to be drug-related. The most common adverse events were those typically associated with intravitreal injections.</w:t>
      </w:r>
    </w:p>
    <w:p>
      <w:pPr>
        <w:spacing w:after="0" w:line="73" w:lineRule="exact"/>
        <w:rPr>
          <w:sz w:val="20"/>
          <w:szCs w:val="20"/>
          <w:color w:val="auto"/>
        </w:rPr>
      </w:pPr>
    </w:p>
    <w:p>
      <w:pPr>
        <w:ind w:right="260" w:firstLine="215"/>
        <w:spacing w:after="0" w:line="277" w:lineRule="auto"/>
        <w:rPr>
          <w:sz w:val="20"/>
          <w:szCs w:val="20"/>
          <w:color w:val="auto"/>
        </w:rPr>
      </w:pPr>
      <w:r>
        <w:rPr>
          <w:rFonts w:ascii="Arial" w:cs="Arial" w:eastAsia="Arial" w:hAnsi="Arial"/>
          <w:sz w:val="18"/>
          <w:szCs w:val="18"/>
          <w:color w:val="auto"/>
        </w:rPr>
        <w:t>After the last fixed-dose administration at week 12, patients from all dose groups combined required, on average, only one additional injection over the following 20 weeks to maintain the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visual acuity gain established during the fixed-dosing period. Notably, 55% of the patients who received 2.0 mg monthly for 12 weeks did not require any additional treatment throughout the next 20-week PRN dosing period. Moreover, 97% of the patients who received 2.0 mg monthly for 12 weeks did not require re-dosing at the week 16 evaluation visit, indicating that an 8-week dosing schedule may be feasible.</w:t>
      </w:r>
    </w:p>
    <w:p>
      <w:pPr>
        <w:spacing w:after="0" w:line="73" w:lineRule="exact"/>
        <w:rPr>
          <w:sz w:val="20"/>
          <w:szCs w:val="20"/>
          <w:color w:val="auto"/>
        </w:rPr>
      </w:pPr>
    </w:p>
    <w:p>
      <w:pPr>
        <w:ind w:right="400" w:firstLine="222"/>
        <w:spacing w:after="0" w:line="277" w:lineRule="auto"/>
        <w:rPr>
          <w:sz w:val="20"/>
          <w:szCs w:val="20"/>
          <w:color w:val="auto"/>
        </w:rPr>
      </w:pPr>
      <w:r>
        <w:rPr>
          <w:rFonts w:ascii="Arial" w:cs="Arial" w:eastAsia="Arial" w:hAnsi="Arial"/>
          <w:sz w:val="18"/>
          <w:szCs w:val="18"/>
          <w:color w:val="auto"/>
        </w:rPr>
        <w:t>We and Bayer HealthCare are also developing VEGF Trap-Eye in diabetic macular edema (DME) and plan to initiate a Phase 2 study in patients with DME.</w:t>
      </w:r>
    </w:p>
    <w:p>
      <w:pPr>
        <w:spacing w:after="0" w:line="62" w:lineRule="exact"/>
        <w:rPr>
          <w:sz w:val="20"/>
          <w:szCs w:val="20"/>
          <w:color w:val="auto"/>
        </w:rPr>
      </w:pPr>
    </w:p>
    <w:p>
      <w:pPr>
        <w:ind w:right="40" w:firstLine="222"/>
        <w:spacing w:after="0" w:line="291" w:lineRule="auto"/>
        <w:rPr>
          <w:sz w:val="20"/>
          <w:szCs w:val="20"/>
          <w:color w:val="auto"/>
        </w:rPr>
      </w:pPr>
      <w:r>
        <w:rPr>
          <w:rFonts w:ascii="Arial" w:cs="Arial" w:eastAsia="Arial" w:hAnsi="Arial"/>
          <w:sz w:val="16"/>
          <w:szCs w:val="16"/>
          <w:color w:val="auto"/>
        </w:rPr>
        <w:t>VEGF-A both stimulates angiogenesis and increases vascular permeability. It has been shown in preclinical studies to be a major pathogenic factor in both wet AMD and diabetic retinopathy, and it is believed to be involved in other medical problems affecting the eyes. Wet AMD and diabetic retinopathy</w:t>
      </w:r>
    </w:p>
    <w:p>
      <w:pPr>
        <w:ind w:right="420"/>
        <w:spacing w:after="0" w:line="261" w:lineRule="auto"/>
        <w:rPr>
          <w:sz w:val="20"/>
          <w:szCs w:val="20"/>
          <w:color w:val="auto"/>
        </w:rPr>
      </w:pPr>
      <w:r>
        <w:rPr>
          <w:rFonts w:ascii="Arial" w:cs="Arial" w:eastAsia="Arial" w:hAnsi="Arial"/>
          <w:sz w:val="18"/>
          <w:szCs w:val="18"/>
          <w:color w:val="auto"/>
        </w:rPr>
        <w:t>(DR) are two of the leading causes of adult blindness in the developed world. In both conditions, severe visual loss is caused by a combination of retinal edema and neovascular proliferation.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with Bayer HealthCare</w:t>
      </w:r>
    </w:p>
    <w:p>
      <w:pPr>
        <w:spacing w:after="0" w:line="121"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In October 2006, we entered into a collaboration agreement with Bayer HealthCare for the global development and commercialization outside the United States of VEGF Trap-Eye. Under the agreement, we and Bayer HealthCare will collaborate on, and share the costs of, the development of VEGF Trap-Eye through an integrated global plan that encompasses wet AMD, diabetic eye diseases, and other diseases and disorders. Bayer HealthCare will market VEGF Trap-Eye outside the United States, where the companies will share equally in profits from any future sales of VEGF Trap-Eye. If VEGF Trap-Eye is granted marketing authorization in a major market country outside the United States, we will be obligated to reimburse Bayer HealthCare for 50% of the development costs that it has incurred under the agreement from our share of the collaboration profits. Within the United States, we retain exclusive commercialization rights to VEGF Trap-Eye and are entitled to all profits from any such sales. We received an up-front payment of $75.0 million from Bayer HealthCare. In 2007, we received a $20.0 million milestone payment from Bayer HealthCare following dosing of the first patient in the Phase 3 study of VEGF Trap-Eye in wet AMD, and can earn up to $90.0 million in additional development and regulatory milestones related to the development of VEGF Trap-Eye and marketing approvals in major market countries outside the United States. We can also earn up to $135.0 million in sales milestones if total annual sales of VEGF Trap-Eye outside the United States achieve certain specified levels starting at $200.0 million.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ARCALYST</w:t>
      </w:r>
      <w:r>
        <w:rPr>
          <w:rFonts w:ascii="Arial" w:cs="Arial" w:eastAsia="Arial" w:hAnsi="Arial"/>
          <w:sz w:val="26"/>
          <w:szCs w:val="26"/>
          <w:i w:val="1"/>
          <w:iCs w:val="1"/>
          <w:color w:val="auto"/>
          <w:vertAlign w:val="superscript"/>
        </w:rPr>
        <w:t>®</w:t>
      </w:r>
      <w:r>
        <w:rPr>
          <w:rFonts w:ascii="Arial" w:cs="Arial" w:eastAsia="Arial" w:hAnsi="Arial"/>
          <w:sz w:val="18"/>
          <w:szCs w:val="18"/>
          <w:b w:val="1"/>
          <w:bCs w:val="1"/>
          <w:i w:val="1"/>
          <w:iCs w:val="1"/>
          <w:color w:val="auto"/>
        </w:rPr>
        <w:t xml:space="preserve"> (rilonacept) — Inflammatory Diseases</w:t>
      </w:r>
    </w:p>
    <w:p>
      <w:pPr>
        <w:spacing w:after="0" w:line="41" w:lineRule="exact"/>
        <w:rPr>
          <w:sz w:val="20"/>
          <w:szCs w:val="20"/>
          <w:color w:val="auto"/>
        </w:rPr>
      </w:pPr>
    </w:p>
    <w:p>
      <w:pPr>
        <w:ind w:right="100" w:firstLine="222"/>
        <w:spacing w:after="0" w:line="271" w:lineRule="auto"/>
        <w:rPr>
          <w:sz w:val="20"/>
          <w:szCs w:val="20"/>
          <w:color w:val="auto"/>
        </w:rPr>
      </w:pPr>
      <w:r>
        <w:rPr>
          <w:rFonts w:ascii="Arial" w:cs="Arial" w:eastAsia="Arial" w:hAnsi="Arial"/>
          <w:sz w:val="17"/>
          <w:szCs w:val="17"/>
          <w:color w:val="auto"/>
        </w:rPr>
        <w:t>We are also evaluating ARCALYST in a number of diseases and disorders, in addition to CAPS, where IL-1 may play an important role. A Phase 2 safety and efficacy trial of ARCALYST is currently underway in the prevention of gout flares induced by the initiation of uric acid-lowering drug therapy used to control gout. We expect the results of this trial to be available in September 2008. We previously reported positive results from an exploratory proof of concept study of ARCALYST in ten patients with chronic active gout. In those patients, treatment with ARCALYST demonstrated a statistically significant reduction in patient pain scores in the single-blind, placebo-controlled study. Mean patients’ pain scores, the key</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symptom measure in persistent gout, were reduced 41% (p=0.025) during the first two weeks of active treatment and reduced 56% (p&lt;0.004) after six weeks of active treatment. In this study, in which safety was the primary endpoint measure, treatment with ARCALYST</w:t>
      </w:r>
      <w:r>
        <w:rPr>
          <w:rFonts w:ascii="Arial" w:cs="Arial" w:eastAsia="Arial" w:hAnsi="Arial"/>
          <w:sz w:val="13"/>
          <w:szCs w:val="13"/>
          <w:color w:val="auto"/>
        </w:rPr>
        <w:t>®</w:t>
      </w:r>
      <w:r>
        <w:rPr>
          <w:rFonts w:ascii="Arial" w:cs="Arial" w:eastAsia="Arial" w:hAnsi="Arial"/>
          <w:sz w:val="16"/>
          <w:szCs w:val="16"/>
          <w:color w:val="auto"/>
        </w:rPr>
        <w:t xml:space="preserve"> (rilonacept) was generally well-tolerated.</w:t>
      </w:r>
    </w:p>
    <w:p>
      <w:pPr>
        <w:spacing w:after="0" w:line="16" w:lineRule="exact"/>
        <w:rPr>
          <w:sz w:val="20"/>
          <w:szCs w:val="20"/>
          <w:color w:val="auto"/>
        </w:rPr>
      </w:pPr>
    </w:p>
    <w:p>
      <w:pPr>
        <w:ind w:right="60" w:firstLine="225"/>
        <w:spacing w:after="0" w:line="293" w:lineRule="auto"/>
        <w:rPr>
          <w:sz w:val="20"/>
          <w:szCs w:val="20"/>
          <w:color w:val="auto"/>
        </w:rPr>
      </w:pPr>
      <w:r>
        <w:rPr>
          <w:rFonts w:ascii="Arial" w:cs="Arial" w:eastAsia="Arial" w:hAnsi="Arial"/>
          <w:sz w:val="16"/>
          <w:szCs w:val="16"/>
          <w:color w:val="auto"/>
        </w:rPr>
        <w:t>Under a March 2003 collaboration agreement with Novartis Pharma AG, we retain the right to elect to collaborate in the future development and commercialization of a Novartis IL-1 antibody which is in clinical development. Following completion of Phase 2 development and submission to us of a written report on the Novartis IL-1 antibody, we have the right, in consideration for an opt-in payment, to elect to co-develop and co-commercialize the Novartis IL-1 antibody in North America. If we elect to exercise this right, we are responsible for paying 45% of post-election North American development costs for the antibody product. In return, we are entitled to co-promote the Novartis IL-1 antibody, and to receive 45% of net profits on sales of the antibody product, in North America. Under certain circumstances, we are also entitled to receive royalties on sales of the Novartis IL-1 antibody in Europe.</w:t>
      </w:r>
    </w:p>
    <w:p>
      <w:pPr>
        <w:spacing w:after="0" w:line="57"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Under the collaboration agreement, Novartis has the right to elect to collaborate in the development and commercialization of a second generation IL-1 Trap following completion of its Phase 2 development, should we decide to clinically develop such a second generation product candidate. Novartis does not have any rights or options with respect to ARCALYST.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Antibody Research Technologies and Development Program:</w:t>
      </w:r>
    </w:p>
    <w:p>
      <w:pPr>
        <w:spacing w:after="0" w:line="121"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One way that a cell communicates with other cells is by releasing specific signaling proteins, either locally or into the bloodstream. These proteins have distinct functions, and are classified into different “families” of molecules, such as peptide hormones, growth factors, and cytokines. All of these secreted (or signaling) proteins travel to and are recognized by another set of proteins, called “receptors,” which reside on the surface of responding cells. These secreted proteins impact many critical cellular and biological processes, causing diverse effects ranging from the regulation of growth of particular cell types, to inflammation mediated by white blood cells. Secreted proteins can at times be overactive and thus result in a variety of diseases. In these disease settings, blocking the action of secreted proteins can have clinical benefit.</w:t>
      </w:r>
    </w:p>
    <w:p>
      <w:pPr>
        <w:spacing w:after="0" w:line="85" w:lineRule="exact"/>
        <w:rPr>
          <w:sz w:val="20"/>
          <w:szCs w:val="20"/>
          <w:color w:val="auto"/>
        </w:rPr>
      </w:pPr>
    </w:p>
    <w:p>
      <w:pPr>
        <w:ind w:right="80" w:firstLine="225"/>
        <w:spacing w:after="0" w:line="302" w:lineRule="auto"/>
        <w:rPr>
          <w:sz w:val="20"/>
          <w:szCs w:val="20"/>
          <w:color w:val="auto"/>
        </w:rPr>
      </w:pPr>
      <w:r>
        <w:rPr>
          <w:rFonts w:ascii="Arial" w:cs="Arial" w:eastAsia="Arial" w:hAnsi="Arial"/>
          <w:sz w:val="16"/>
          <w:szCs w:val="16"/>
          <w:color w:val="auto"/>
        </w:rPr>
        <w:t>Regeneron scientists have developed two different technologies to design protein therapeutics to block the action of specific secreted proteins. The first technology, termed the “Trap” technology, was used to generate our first approved product, ARCALYST for the treatment of CAPS, and our current clinical pipeline, including aflibercept, VEGF Trap-Eye, and ARCALYST in other indications. These novel “Traps” are composed of fusions between two distinct receptor components and the constant region of an antibody molecule called the “Fc region”, resulting in high affinity product candidates.</w:t>
      </w:r>
    </w:p>
    <w:p>
      <w:pPr>
        <w:spacing w:after="0" w:line="46" w:lineRule="exact"/>
        <w:rPr>
          <w:sz w:val="20"/>
          <w:szCs w:val="20"/>
          <w:color w:val="auto"/>
        </w:rPr>
      </w:pPr>
    </w:p>
    <w:p>
      <w:pPr>
        <w:jc w:val="both"/>
        <w:ind w:firstLine="225"/>
        <w:spacing w:after="0" w:line="223" w:lineRule="auto"/>
        <w:rPr>
          <w:sz w:val="20"/>
          <w:szCs w:val="20"/>
          <w:color w:val="auto"/>
        </w:rPr>
      </w:pPr>
      <w:r>
        <w:rPr>
          <w:rFonts w:ascii="Arial" w:cs="Arial" w:eastAsia="Arial" w:hAnsi="Arial"/>
          <w:sz w:val="18"/>
          <w:szCs w:val="18"/>
          <w:color w:val="auto"/>
        </w:rPr>
        <w:t xml:space="preserve">Regeneron scientists also have discovered and developed a new technology for designing protein therapeutics that facilitates the discovery and production of fully human monoclonal antibodies. We call our technology </w:t>
      </w:r>
      <w:r>
        <w:rPr>
          <w:rFonts w:ascii="Arial" w:cs="Arial" w:eastAsia="Arial" w:hAnsi="Arial"/>
          <w:sz w:val="18"/>
          <w:szCs w:val="18"/>
          <w:i w:val="1"/>
          <w:iCs w:val="1"/>
          <w:color w:val="auto"/>
        </w:rPr>
        <w:t>VelocImmune</w:t>
      </w:r>
      <w:r>
        <w:rPr>
          <w:rFonts w:ascii="Arial" w:cs="Arial" w:eastAsia="Arial" w:hAnsi="Arial"/>
          <w:sz w:val="26"/>
          <w:szCs w:val="26"/>
          <w:b w:val="1"/>
          <w:bCs w:val="1"/>
          <w:i w:val="1"/>
          <w:iCs w:val="1"/>
          <w:color w:val="auto"/>
          <w:vertAlign w:val="superscript"/>
        </w:rPr>
        <w:t>®</w:t>
      </w:r>
      <w:r>
        <w:rPr>
          <w:rFonts w:ascii="Arial" w:cs="Arial" w:eastAsia="Arial" w:hAnsi="Arial"/>
          <w:sz w:val="18"/>
          <w:szCs w:val="18"/>
          <w:color w:val="auto"/>
        </w:rPr>
        <w:t xml:space="preserve"> and, as described below, we believe that it is an improved way of generating a wide variety of high affinity, therapeutic, fully human monoclonal antibodies.</w:t>
      </w:r>
    </w:p>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VelocImmune</w:t>
      </w:r>
      <w:r>
        <w:rPr>
          <w:rFonts w:ascii="Arial" w:cs="Arial" w:eastAsia="Arial" w:hAnsi="Arial"/>
          <w:sz w:val="26"/>
          <w:szCs w:val="26"/>
          <w:b w:val="1"/>
          <w:bCs w:val="1"/>
          <w:i w:val="1"/>
          <w:iCs w:val="1"/>
          <w:color w:val="auto"/>
          <w:vertAlign w:val="superscript"/>
        </w:rPr>
        <w:t>®</w:t>
      </w:r>
      <w:r>
        <w:rPr>
          <w:rFonts w:ascii="Arial" w:cs="Arial" w:eastAsia="Arial" w:hAnsi="Arial"/>
          <w:sz w:val="18"/>
          <w:szCs w:val="18"/>
          <w:b w:val="1"/>
          <w:bCs w:val="1"/>
          <w:i w:val="1"/>
          <w:iCs w:val="1"/>
          <w:color w:val="auto"/>
        </w:rPr>
        <w:t xml:space="preserve"> (Human Monoclonal Antibodies)</w:t>
      </w:r>
    </w:p>
    <w:p>
      <w:pPr>
        <w:spacing w:after="0" w:line="41" w:lineRule="exact"/>
        <w:rPr>
          <w:sz w:val="20"/>
          <w:szCs w:val="20"/>
          <w:color w:val="auto"/>
        </w:rPr>
      </w:pPr>
    </w:p>
    <w:p>
      <w:pPr>
        <w:ind w:right="60" w:firstLine="222"/>
        <w:spacing w:after="0" w:line="288" w:lineRule="auto"/>
        <w:rPr>
          <w:sz w:val="20"/>
          <w:szCs w:val="20"/>
          <w:color w:val="auto"/>
        </w:rPr>
      </w:pPr>
      <w:r>
        <w:rPr>
          <w:rFonts w:ascii="Arial" w:cs="Arial" w:eastAsia="Arial" w:hAnsi="Arial"/>
          <w:sz w:val="16"/>
          <w:szCs w:val="16"/>
          <w:color w:val="auto"/>
        </w:rPr>
        <w:t xml:space="preserve">We have developed a novel mouse technology platform, called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for producing fully human monoclonal antibodies. The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mouse platform was generated by exploiting our </w:t>
      </w:r>
      <w:r>
        <w:rPr>
          <w:rFonts w:ascii="Arial" w:cs="Arial" w:eastAsia="Arial" w:hAnsi="Arial"/>
          <w:sz w:val="16"/>
          <w:szCs w:val="16"/>
          <w:i w:val="1"/>
          <w:iCs w:val="1"/>
          <w:color w:val="auto"/>
        </w:rPr>
        <w:t>VelociGene</w:t>
      </w:r>
      <w:r>
        <w:rPr>
          <w:rFonts w:ascii="Arial" w:cs="Arial" w:eastAsia="Arial" w:hAnsi="Arial"/>
          <w:sz w:val="13"/>
          <w:szCs w:val="13"/>
          <w:i w:val="1"/>
          <w:iCs w:val="1"/>
          <w:color w:val="auto"/>
        </w:rPr>
        <w:t>®</w:t>
      </w:r>
      <w:r>
        <w:rPr>
          <w:rFonts w:ascii="Arial" w:cs="Arial" w:eastAsia="Arial" w:hAnsi="Arial"/>
          <w:sz w:val="16"/>
          <w:szCs w:val="16"/>
          <w:color w:val="auto"/>
        </w:rPr>
        <w:t xml:space="preserve"> technology platform (see below), in a process in which six megabases of mouse immune gene loci were replaced, or “humanized,” with corresponding human immune gene loci. The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mice can be used to generate efficiently fully human monoclonal antibodies to targets of therapeutic interest.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and our related technologies offer the potential to increase the speed and efficiency through which human monoclonal antibody therapeutics may be discovered and validated, thereby improving the overall efficiency of our early stage drug development activities. We are utilizing the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 to produce our next generation of drug candidates for preclinical development, and are exploring possible additional licensing arrangements with third parties related to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and related technologies.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Antibody Collaboration with sanofi-aventis</w:t>
      </w:r>
    </w:p>
    <w:p>
      <w:pPr>
        <w:spacing w:after="0" w:line="121"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In November 2007, we and sanofi-aventis entered into a global, strategic collaboration to discover, develop, and commercialize fully human monoclonal antibodies. The first therapeutic antibody to enter clinical development under the collaboration, REGN88, is an antibody to the interleukin-6 receptor (IL-6R), which has started clinical trials in rheumatoid arthritis. The second is expected to be an antibody to Delta-like ligand-4 (Dll4), for which we plan to file an IND by the end of 2008. The collaboration is governed by a Discovery and Preclinical Development Agreement and a License and Collaboration Agreement. We received a non-refundable, up-front payment of $85.0 million from sanofi-aventis under the discovery agreement. In addition, sanofi-aventis will fund up to $475.0 million of our research for identifying and validating potential drug discovery targets and developing fully human monoclonal antibodies against these targets through December 31, 2012. Sanofi-aventis also has an option to extend the discovery program for up to an additional three years for further antibody development and preclinical activities.</w:t>
      </w:r>
    </w:p>
    <w:p>
      <w:pPr>
        <w:spacing w:after="0" w:line="71" w:lineRule="exact"/>
        <w:rPr>
          <w:sz w:val="20"/>
          <w:szCs w:val="20"/>
          <w:color w:val="auto"/>
        </w:rPr>
      </w:pPr>
    </w:p>
    <w:p>
      <w:pPr>
        <w:ind w:right="140" w:firstLine="225"/>
        <w:spacing w:after="0" w:line="253" w:lineRule="auto"/>
        <w:rPr>
          <w:sz w:val="20"/>
          <w:szCs w:val="20"/>
          <w:color w:val="auto"/>
        </w:rPr>
      </w:pPr>
      <w:r>
        <w:rPr>
          <w:rFonts w:ascii="Arial" w:cs="Arial" w:eastAsia="Arial" w:hAnsi="Arial"/>
          <w:sz w:val="18"/>
          <w:szCs w:val="18"/>
          <w:color w:val="auto"/>
        </w:rPr>
        <w:t>For each drug candidate identified under the discovery agreement, sanofi-aventis has the option to license rights to the candidate under the license agreement. If it elects to do so, sanofi-aventis will co-develop the drug candidate with us through product approval. Development costs will be shared between the companies, with sanofi-aventis funding drug candidate development costs up front. We are generally responsible for reimbursing sanofi-aventis for half of the total development costs for all collaboration products from our share of profits from commercialization of collaboration products to the extent they are sufficient for this purpose. Sanofi-aventis will lead commercialization activities for products developed under the license agreement, subject to our right to co-promote such products. The parties will equally share profits and losses from sales within the United States. The parties will share profits outside the United States on a sliding scale based on sales starting at 65% (sanofi-aventis)/35% (us) and ending at 55% (sanofi-aventis)/45% (us), and will share losses outside the United States at 55% (sanofi-aventis)/45% (us). In addition to profit sharing, we are entitled to receive up to $250.0 million in sales milestone payments, with milestone payments commencing after aggregate annual sales outside the United States exceed $1.0 billion on a rolling 12-month basis.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AstraZeneca</w:t>
      </w:r>
    </w:p>
    <w:p>
      <w:pPr>
        <w:spacing w:after="0" w:line="125" w:lineRule="exact"/>
        <w:rPr>
          <w:sz w:val="20"/>
          <w:szCs w:val="20"/>
          <w:color w:val="auto"/>
        </w:rPr>
      </w:pPr>
    </w:p>
    <w:p>
      <w:pPr>
        <w:ind w:right="80" w:firstLine="225"/>
        <w:spacing w:after="0"/>
        <w:rPr>
          <w:sz w:val="20"/>
          <w:szCs w:val="20"/>
          <w:color w:val="auto"/>
        </w:rPr>
      </w:pPr>
      <w:r>
        <w:rPr>
          <w:rFonts w:ascii="Arial" w:cs="Arial" w:eastAsia="Arial" w:hAnsi="Arial"/>
          <w:sz w:val="16"/>
          <w:szCs w:val="16"/>
          <w:color w:val="auto"/>
        </w:rPr>
        <w:t xml:space="preserve">In February 2007, we entered into a non-exclusive license agreement with AstraZeneca UK Limited that allows AstraZeneca to utilize our </w:t>
      </w:r>
      <w:r>
        <w:rPr>
          <w:rFonts w:ascii="Arial" w:cs="Arial" w:eastAsia="Arial" w:hAnsi="Arial"/>
          <w:sz w:val="16"/>
          <w:szCs w:val="16"/>
          <w:i w:val="1"/>
          <w:iCs w:val="1"/>
          <w:color w:val="auto"/>
        </w:rPr>
        <w:t>VelocImmune</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technology in its internal research programs to discover human monoclonal antibodies. Under the terms of the agreement, AstraZeneca made two</w:t>
      </w:r>
    </w:p>
    <w:p>
      <w:pPr>
        <w:jc w:val="both"/>
        <w:ind w:right="460"/>
        <w:spacing w:after="0" w:line="254" w:lineRule="auto"/>
        <w:rPr>
          <w:sz w:val="20"/>
          <w:szCs w:val="20"/>
          <w:color w:val="auto"/>
        </w:rPr>
      </w:pPr>
      <w:r>
        <w:rPr>
          <w:rFonts w:ascii="Arial" w:cs="Arial" w:eastAsia="Arial" w:hAnsi="Arial"/>
          <w:sz w:val="18"/>
          <w:szCs w:val="18"/>
          <w:color w:val="auto"/>
        </w:rPr>
        <w:t xml:space="preserve">$20.0 million annual, non-refundable payments to us, one in February 2007 and the other in February 2008. AstraZeneca is required to make up to four additional annual payments of $20.0 million, subject to its ability to terminate the agreement after making two such additional payments or earlier if the technology does not meet minimum performance criteria. We are entitled to receive a mid-single-digit royalty on any future sales of antibody products discovered by AstraZeneca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Astellas</w:t>
      </w:r>
    </w:p>
    <w:p>
      <w:pPr>
        <w:spacing w:after="0" w:line="121"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color w:val="auto"/>
        </w:rPr>
        <w:t xml:space="preserve">In March 2007, we entered into a non-exclusive license agreement with Astellas Pharma Inc. that allows Astellas to utilize our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 in its internal research programs to discover human monoclonal antibodies. Under the terms of the agreement, Astellas made two $20.0 million non-refundable payments to us, one in April 2007 and the other in June 2008. Astellas is required to make up to four additional annual payments of $20.0 million, subject to its ability to terminate the agreement after making two such additional payments or earlier if the technology does not meet minimum performance criteria. We are entitled to receive a mid-single-digit royalty on any future sales of antibody products discovered by Astellas using our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VelociGene</w:t>
      </w:r>
      <w:r>
        <w:rPr>
          <w:rFonts w:ascii="Arial" w:cs="Arial" w:eastAsia="Arial" w:hAnsi="Arial"/>
          <w:sz w:val="26"/>
          <w:szCs w:val="26"/>
          <w:b w:val="1"/>
          <w:bCs w:val="1"/>
          <w:i w:val="1"/>
          <w:iCs w:val="1"/>
          <w:color w:val="auto"/>
          <w:vertAlign w:val="superscript"/>
        </w:rPr>
        <w:t>®</w:t>
      </w:r>
      <w:r>
        <w:rPr>
          <w:rFonts w:ascii="Arial" w:cs="Arial" w:eastAsia="Arial" w:hAnsi="Arial"/>
          <w:sz w:val="18"/>
          <w:szCs w:val="18"/>
          <w:b w:val="1"/>
          <w:bCs w:val="1"/>
          <w:i w:val="1"/>
          <w:iCs w:val="1"/>
          <w:color w:val="auto"/>
        </w:rPr>
        <w:t xml:space="preserve"> and VelociMouse™ </w:t>
      </w:r>
      <w:r>
        <w:rPr>
          <w:rFonts w:ascii="Arial" w:cs="Arial" w:eastAsia="Arial" w:hAnsi="Arial"/>
          <w:sz w:val="18"/>
          <w:szCs w:val="18"/>
          <w:color w:val="auto"/>
        </w:rPr>
        <w:t>(Target Validation)</w:t>
      </w:r>
    </w:p>
    <w:p>
      <w:pPr>
        <w:spacing w:after="0" w:line="41" w:lineRule="exact"/>
        <w:rPr>
          <w:sz w:val="20"/>
          <w:szCs w:val="20"/>
          <w:color w:val="auto"/>
        </w:rPr>
      </w:pPr>
    </w:p>
    <w:p>
      <w:pPr>
        <w:ind w:firstLine="225"/>
        <w:spacing w:after="0" w:line="251"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VelociGene</w:t>
      </w:r>
      <w:r>
        <w:rPr>
          <w:rFonts w:ascii="Arial" w:cs="Arial" w:eastAsia="Arial" w:hAnsi="Arial"/>
          <w:sz w:val="18"/>
          <w:szCs w:val="18"/>
          <w:color w:val="auto"/>
        </w:rPr>
        <w:t xml:space="preserve"> platform allows custom and precise manipulation of very large sequences of DNA to produce highly customized alterations of a specified target gene and accelerates the production of knock-out and transgenic expression models without using either positive/negative selection or isogenic DNA. In producing knock-out models, a color or fluorescent marker is substituted in place of the actual gene sequence, allowing for high-resolution visualization of precisely where the gene is active in the body, during normal body functioning, as well as in disease processes. For the optimization of pre-clinical development and toxicology programs, </w:t>
      </w:r>
      <w:r>
        <w:rPr>
          <w:rFonts w:ascii="Arial" w:cs="Arial" w:eastAsia="Arial" w:hAnsi="Arial"/>
          <w:sz w:val="18"/>
          <w:szCs w:val="18"/>
          <w:i w:val="1"/>
          <w:iCs w:val="1"/>
          <w:color w:val="auto"/>
        </w:rPr>
        <w:t>VelociGene</w:t>
      </w:r>
      <w:r>
        <w:rPr>
          <w:rFonts w:ascii="Arial" w:cs="Arial" w:eastAsia="Arial" w:hAnsi="Arial"/>
          <w:sz w:val="18"/>
          <w:szCs w:val="18"/>
          <w:color w:val="auto"/>
        </w:rPr>
        <w:t xml:space="preserve"> offers the opportunity to humanize targets by replacing the mouse gene with the human homolog. Thus, </w:t>
      </w:r>
      <w:r>
        <w:rPr>
          <w:rFonts w:ascii="Arial" w:cs="Arial" w:eastAsia="Arial" w:hAnsi="Arial"/>
          <w:sz w:val="18"/>
          <w:szCs w:val="18"/>
          <w:i w:val="1"/>
          <w:iCs w:val="1"/>
          <w:color w:val="auto"/>
        </w:rPr>
        <w:t xml:space="preserve">VelociGene </w:t>
      </w:r>
      <w:r>
        <w:rPr>
          <w:rFonts w:ascii="Arial" w:cs="Arial" w:eastAsia="Arial" w:hAnsi="Arial"/>
          <w:sz w:val="18"/>
          <w:szCs w:val="18"/>
          <w:color w:val="auto"/>
        </w:rPr>
        <w:t>allows scientists to rapidly identify the physical and biological effects of deleting or over-expressing the target gene, as well as to characterize and</w:t>
      </w:r>
      <w:r>
        <w:rPr>
          <w:rFonts w:ascii="Arial" w:cs="Arial" w:eastAsia="Arial" w:hAnsi="Arial"/>
          <w:sz w:val="18"/>
          <w:szCs w:val="18"/>
          <w:i w:val="1"/>
          <w:iCs w:val="1"/>
          <w:color w:val="auto"/>
        </w:rPr>
        <w:t xml:space="preserve"> </w:t>
      </w:r>
      <w:r>
        <w:rPr>
          <w:rFonts w:ascii="Arial" w:cs="Arial" w:eastAsia="Arial" w:hAnsi="Arial"/>
          <w:sz w:val="18"/>
          <w:szCs w:val="18"/>
          <w:color w:val="auto"/>
        </w:rPr>
        <w:t>test potential therapeutic molecules.</w:t>
      </w:r>
    </w:p>
    <w:p>
      <w:pPr>
        <w:spacing w:after="0" w:line="89" w:lineRule="exact"/>
        <w:rPr>
          <w:sz w:val="20"/>
          <w:szCs w:val="20"/>
          <w:color w:val="auto"/>
        </w:rPr>
      </w:pPr>
    </w:p>
    <w:p>
      <w:pPr>
        <w:jc w:val="both"/>
        <w:ind w:right="40" w:firstLine="222"/>
        <w:spacing w:after="0" w:line="31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VelociMouse</w:t>
      </w:r>
      <w:r>
        <w:rPr>
          <w:rFonts w:ascii="Arial" w:cs="Arial" w:eastAsia="Arial" w:hAnsi="Arial"/>
          <w:sz w:val="16"/>
          <w:szCs w:val="16"/>
          <w:color w:val="auto"/>
        </w:rPr>
        <w:t xml:space="preserve"> technology also allows for the direct and immediate generation of genetically altered mice from embryonic stem cells (ES cells), thereby avoiding the lengthy process involved in generating and breeding knockout mice from chimeras. Mice generated through this method are normal and healthy and exhibit a 100% germ-line transmission. Furthermore, Regeneron’s </w:t>
      </w:r>
      <w:r>
        <w:rPr>
          <w:rFonts w:ascii="Arial" w:cs="Arial" w:eastAsia="Arial" w:hAnsi="Arial"/>
          <w:sz w:val="16"/>
          <w:szCs w:val="16"/>
          <w:i w:val="1"/>
          <w:iCs w:val="1"/>
          <w:color w:val="auto"/>
        </w:rPr>
        <w:t>VelociMice</w:t>
      </w:r>
      <w:r>
        <w:rPr>
          <w:rFonts w:ascii="Arial" w:cs="Arial" w:eastAsia="Arial" w:hAnsi="Arial"/>
          <w:sz w:val="16"/>
          <w:szCs w:val="16"/>
          <w:color w:val="auto"/>
        </w:rPr>
        <w:t xml:space="preserve"> are suitable for direct phenotyping or other studies.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Institutes of Health Grant</w:t>
      </w:r>
    </w:p>
    <w:p>
      <w:pPr>
        <w:spacing w:after="0" w:line="121" w:lineRule="exact"/>
        <w:rPr>
          <w:sz w:val="20"/>
          <w:szCs w:val="20"/>
          <w:color w:val="auto"/>
        </w:rPr>
      </w:pPr>
    </w:p>
    <w:p>
      <w:pPr>
        <w:ind w:right="300" w:firstLine="225"/>
        <w:spacing w:after="0" w:line="291" w:lineRule="auto"/>
        <w:rPr>
          <w:sz w:val="20"/>
          <w:szCs w:val="20"/>
          <w:color w:val="auto"/>
        </w:rPr>
      </w:pPr>
      <w:r>
        <w:rPr>
          <w:rFonts w:ascii="Arial" w:cs="Arial" w:eastAsia="Arial" w:hAnsi="Arial"/>
          <w:sz w:val="16"/>
          <w:szCs w:val="16"/>
          <w:color w:val="auto"/>
        </w:rPr>
        <w:t>In September 2006, we were awarded a five-year grant from the National Institutes of Health (NIH) as part of the NIH’s Knockout Mouse Project. The goal of the Knockout Mouse Project is to build a comprehensive and broadly available resource of knockout mice to accelerate the understanding of gene</w:t>
      </w:r>
    </w:p>
    <w:p>
      <w:pPr>
        <w:ind w:right="20"/>
        <w:spacing w:after="0" w:line="232" w:lineRule="auto"/>
        <w:rPr>
          <w:sz w:val="20"/>
          <w:szCs w:val="20"/>
          <w:color w:val="auto"/>
        </w:rPr>
      </w:pPr>
      <w:r>
        <w:rPr>
          <w:rFonts w:ascii="Arial" w:cs="Arial" w:eastAsia="Arial" w:hAnsi="Arial"/>
          <w:sz w:val="18"/>
          <w:szCs w:val="18"/>
          <w:color w:val="auto"/>
        </w:rPr>
        <w:t xml:space="preserve">function and human diseases. We use our </w:t>
      </w:r>
      <w:r>
        <w:rPr>
          <w:rFonts w:ascii="Arial" w:cs="Arial" w:eastAsia="Arial" w:hAnsi="Arial"/>
          <w:sz w:val="18"/>
          <w:szCs w:val="18"/>
          <w:i w:val="1"/>
          <w:iCs w:val="1"/>
          <w:color w:val="auto"/>
        </w:rPr>
        <w:t>VelociGene</w:t>
      </w:r>
      <w:r>
        <w:rPr>
          <w:rFonts w:ascii="Arial" w:cs="Arial" w:eastAsia="Arial" w:hAnsi="Arial"/>
          <w:sz w:val="30"/>
          <w:szCs w:val="30"/>
          <w:i w:val="1"/>
          <w:iCs w:val="1"/>
          <w:color w:val="auto"/>
          <w:vertAlign w:val="superscript"/>
        </w:rPr>
        <w:t>®</w:t>
      </w:r>
      <w:r>
        <w:rPr>
          <w:rFonts w:ascii="Arial" w:cs="Arial" w:eastAsia="Arial" w:hAnsi="Arial"/>
          <w:sz w:val="18"/>
          <w:szCs w:val="18"/>
          <w:color w:val="auto"/>
        </w:rPr>
        <w:t xml:space="preserve"> technology to take aim at 3,500 of the most difficult genes to target and which are not currently the focus of other large-scale knockout mouse programs. We also agreed to grant a limited license to a consortium of research institutions, the other major participants in the Knockout Mouse Project, to use components of our </w:t>
      </w:r>
      <w:r>
        <w:rPr>
          <w:rFonts w:ascii="Arial" w:cs="Arial" w:eastAsia="Arial" w:hAnsi="Arial"/>
          <w:sz w:val="18"/>
          <w:szCs w:val="18"/>
          <w:i w:val="1"/>
          <w:iCs w:val="1"/>
          <w:color w:val="auto"/>
        </w:rPr>
        <w:t>VelociGene</w:t>
      </w:r>
      <w:r>
        <w:rPr>
          <w:rFonts w:ascii="Arial" w:cs="Arial" w:eastAsia="Arial" w:hAnsi="Arial"/>
          <w:sz w:val="18"/>
          <w:szCs w:val="18"/>
          <w:color w:val="auto"/>
        </w:rPr>
        <w:t xml:space="preserve"> technology in the Knockout Mouse Project. We are generating a collection of targeting vectors and targeted mouse ES cells which can be used to produce knockout mice. These materials will be made widely available to academic researchers without charge. We will receive a fee for each targeted ES cell line or targeting construct made by us or the research consortium and transferred to commercial entities.</w:t>
      </w:r>
    </w:p>
    <w:p>
      <w:pPr>
        <w:spacing w:after="0" w:line="97"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Under the NIH grant, we are entitled to receive a minimum of $17.9 million over a five-year period. We will receive another $1.0 million to optimize our existing C57BL/6 ES cell line and its proprietary growth medium, both of which will be supplied to the research consortium for its use in the Knockout Mouse Project. We have the right to use, for any purpose, all materials generated by us and the research consortium.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Cell Line Expression Technologies</w:t>
      </w:r>
    </w:p>
    <w:p>
      <w:pPr>
        <w:spacing w:after="0" w:line="117" w:lineRule="exact"/>
        <w:rPr>
          <w:sz w:val="20"/>
          <w:szCs w:val="20"/>
          <w:color w:val="auto"/>
        </w:rPr>
      </w:pPr>
    </w:p>
    <w:p>
      <w:pPr>
        <w:ind w:right="300" w:firstLine="225"/>
        <w:spacing w:after="0" w:line="288" w:lineRule="auto"/>
        <w:rPr>
          <w:sz w:val="20"/>
          <w:szCs w:val="20"/>
          <w:color w:val="auto"/>
        </w:rPr>
      </w:pPr>
      <w:r>
        <w:rPr>
          <w:rFonts w:ascii="Arial" w:cs="Arial" w:eastAsia="Arial" w:hAnsi="Arial"/>
          <w:sz w:val="16"/>
          <w:szCs w:val="16"/>
          <w:color w:val="auto"/>
        </w:rPr>
        <w:t>Many proteins that are of potential pharmaceutical value are proteins which are “secreted” from the cells into the bloodstream. Examples of secreted proteins include growth factors (such as insulin and growth hormone) and antibodies. Current technologies for the isolation of cells engineered to produce high levels of secreted proteins are both laborious and time consuming. We have developed enabling platforms for the rapid generation of expression cell</w:t>
      </w:r>
    </w:p>
    <w:p>
      <w:pPr>
        <w:spacing w:after="0"/>
        <w:rPr>
          <w:sz w:val="20"/>
          <w:szCs w:val="20"/>
          <w:color w:val="auto"/>
        </w:rPr>
      </w:pPr>
      <w:r>
        <w:rPr>
          <w:rFonts w:ascii="Arial" w:cs="Arial" w:eastAsia="Arial" w:hAnsi="Arial"/>
          <w:sz w:val="18"/>
          <w:szCs w:val="18"/>
          <w:color w:val="auto"/>
        </w:rPr>
        <w:t xml:space="preserve">lines for our Traps and our </w:t>
      </w:r>
      <w:r>
        <w:rPr>
          <w:rFonts w:ascii="Arial" w:cs="Arial" w:eastAsia="Arial" w:hAnsi="Arial"/>
          <w:sz w:val="18"/>
          <w:szCs w:val="18"/>
          <w:i w:val="1"/>
          <w:iCs w:val="1"/>
          <w:color w:val="auto"/>
        </w:rPr>
        <w:t>VelocImmune</w:t>
      </w:r>
      <w:r>
        <w:rPr>
          <w:rFonts w:ascii="Arial" w:cs="Arial" w:eastAsia="Arial" w:hAnsi="Arial"/>
          <w:sz w:val="30"/>
          <w:szCs w:val="30"/>
          <w:i w:val="1"/>
          <w:iCs w:val="1"/>
          <w:color w:val="auto"/>
          <w:vertAlign w:val="superscript"/>
        </w:rPr>
        <w:t>®</w:t>
      </w:r>
      <w:r>
        <w:rPr>
          <w:rFonts w:ascii="Arial" w:cs="Arial" w:eastAsia="Arial" w:hAnsi="Arial"/>
          <w:sz w:val="18"/>
          <w:szCs w:val="18"/>
          <w:color w:val="auto"/>
        </w:rPr>
        <w:t xml:space="preserve"> human monoclonal antibodies.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color w:val="auto"/>
        </w:rPr>
        <w:t>Developing and commercializing new medicines entails significant risk and expense. Before revenues from the commercialization of product candidates can be realized, we (or our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46"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From inception on January 8, 1988 through June 30, 2008, we had a cumulative loss of $823.3 million. As described above, in February 2008, we received FDA approval for ARCALYST</w:t>
      </w:r>
      <w:r>
        <w:rPr>
          <w:rFonts w:ascii="Arial" w:cs="Arial" w:eastAsia="Arial" w:hAnsi="Arial"/>
          <w:sz w:val="14"/>
          <w:szCs w:val="14"/>
          <w:color w:val="auto"/>
        </w:rPr>
        <w:t>®</w:t>
      </w:r>
      <w:r>
        <w:rPr>
          <w:rFonts w:ascii="Arial" w:cs="Arial" w:eastAsia="Arial" w:hAnsi="Arial"/>
          <w:sz w:val="17"/>
          <w:szCs w:val="17"/>
          <w:color w:val="auto"/>
        </w:rPr>
        <w:t xml:space="preserve"> (rilonacept) for the treatment of CAPS. These rare diseases affect a very small group of people. As a result, we can not predict whether the commercialization of ARCALYST in CAPS will result in a significant net cash benefit to us. In the absence of significant revenues from the commercialization of our product candidates or other sources, the amount, timing, nature, and source of which cannot be predicted, our losses will continue as we conduct our research and development activities. We expect to incur substantial losses over the next several</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years as we continue the clinical development of VEGF Trap-Eye and ARCALYST in other indications; advance new product candidates into clinical development from our existing research programs utilizing our technology for designing fully human monoclonal antibodies; continue our research and development programs; and commercialize product candidates that receive regulatory approval, if any. Also, our activities may expand over time and require additional resources, and we expect our operating losses to be substantial over at least the next several years. Our losses may fluctuate from quarter to quarter and will depend on, among other factors, the progress of our research and development efforts, the timing of certain expenses, and the amount and timing of payments that we receive from collaborators.</w:t>
      </w:r>
    </w:p>
    <w:p>
      <w:pPr>
        <w:spacing w:after="0" w:line="85" w:lineRule="exact"/>
        <w:rPr>
          <w:sz w:val="20"/>
          <w:szCs w:val="20"/>
          <w:color w:val="auto"/>
        </w:rPr>
      </w:pPr>
    </w:p>
    <w:p>
      <w:pPr>
        <w:ind w:right="540" w:firstLine="222"/>
        <w:spacing w:after="0" w:line="277" w:lineRule="auto"/>
        <w:rPr>
          <w:sz w:val="20"/>
          <w:szCs w:val="20"/>
          <w:color w:val="auto"/>
        </w:rPr>
      </w:pPr>
      <w:r>
        <w:rPr>
          <w:rFonts w:ascii="Arial" w:cs="Arial" w:eastAsia="Arial" w:hAnsi="Arial"/>
          <w:sz w:val="18"/>
          <w:szCs w:val="18"/>
          <w:color w:val="auto"/>
        </w:rPr>
        <w:t>The planning, execution, and results of our clinical programs are significant factors that can affect our operating and financial results. In our clinical programs, key events in 2008 and plans over the next 12 months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Clinical Program</w:t>
            </w:r>
          </w:p>
        </w:tc>
        <w:tc>
          <w:tcPr>
            <w:tcW w:w="240" w:type="dxa"/>
            <w:vAlign w:val="bottom"/>
          </w:tcPr>
          <w:p>
            <w:pPr>
              <w:spacing w:after="0"/>
              <w:rPr>
                <w:sz w:val="14"/>
                <w:szCs w:val="14"/>
                <w:color w:val="auto"/>
              </w:rPr>
            </w:pPr>
          </w:p>
        </w:tc>
        <w:tc>
          <w:tcPr>
            <w:tcW w:w="3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2008 Events to Date</w:t>
            </w:r>
          </w:p>
        </w:tc>
        <w:tc>
          <w:tcPr>
            <w:tcW w:w="220" w:type="dxa"/>
            <w:vAlign w:val="bottom"/>
          </w:tcPr>
          <w:p>
            <w:pPr>
              <w:spacing w:after="0"/>
              <w:rPr>
                <w:sz w:val="14"/>
                <w:szCs w:val="14"/>
                <w:color w:val="auto"/>
              </w:rPr>
            </w:pPr>
          </w:p>
        </w:tc>
        <w:tc>
          <w:tcPr>
            <w:tcW w:w="3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2008-9 Plans</w:t>
            </w:r>
          </w:p>
        </w:tc>
      </w:tr>
      <w:tr>
        <w:trPr>
          <w:trHeight w:val="191"/>
        </w:trPr>
        <w:tc>
          <w:tcPr>
            <w:tcW w:w="3200" w:type="dxa"/>
            <w:vAlign w:val="bottom"/>
          </w:tcPr>
          <w:p>
            <w:pPr>
              <w:spacing w:after="0" w:line="191" w:lineRule="exact"/>
              <w:rPr>
                <w:sz w:val="20"/>
                <w:szCs w:val="20"/>
                <w:color w:val="auto"/>
              </w:rPr>
            </w:pPr>
            <w:r>
              <w:rPr>
                <w:rFonts w:ascii="Arial" w:cs="Arial" w:eastAsia="Arial" w:hAnsi="Arial"/>
                <w:sz w:val="18"/>
                <w:szCs w:val="18"/>
                <w:color w:val="auto"/>
              </w:rPr>
              <w:t>ARCALYST</w:t>
            </w: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80" w:type="dxa"/>
            <w:vAlign w:val="bottom"/>
          </w:tcPr>
          <w:p>
            <w:pPr>
              <w:spacing w:after="0" w:line="191" w:lineRule="exact"/>
              <w:rPr>
                <w:sz w:val="20"/>
                <w:szCs w:val="20"/>
                <w:color w:val="auto"/>
              </w:rPr>
            </w:pPr>
            <w:r>
              <w:rPr>
                <w:rFonts w:ascii="Arial" w:cs="Arial" w:eastAsia="Arial" w:hAnsi="Arial"/>
                <w:sz w:val="18"/>
                <w:szCs w:val="18"/>
                <w:b w:val="1"/>
                <w:bCs w:val="1"/>
                <w:color w:val="auto"/>
              </w:rPr>
              <w:t>•</w:t>
            </w:r>
          </w:p>
        </w:tc>
        <w:tc>
          <w:tcPr>
            <w:tcW w:w="3700" w:type="dxa"/>
            <w:vAlign w:val="bottom"/>
          </w:tcPr>
          <w:p>
            <w:pPr>
              <w:ind w:left="100"/>
              <w:spacing w:after="0" w:line="191" w:lineRule="exact"/>
              <w:rPr>
                <w:sz w:val="20"/>
                <w:szCs w:val="20"/>
                <w:color w:val="auto"/>
              </w:rPr>
            </w:pPr>
            <w:r>
              <w:rPr>
                <w:rFonts w:ascii="Arial" w:cs="Arial" w:eastAsia="Arial" w:hAnsi="Arial"/>
                <w:sz w:val="18"/>
                <w:szCs w:val="18"/>
                <w:color w:val="auto"/>
              </w:rPr>
              <w:t>Received FDA approval for CAPS</w:t>
            </w:r>
          </w:p>
        </w:tc>
        <w:tc>
          <w:tcPr>
            <w:tcW w:w="220" w:type="dxa"/>
            <w:vAlign w:val="bottom"/>
          </w:tcPr>
          <w:p>
            <w:pPr>
              <w:spacing w:after="0"/>
              <w:rPr>
                <w:sz w:val="16"/>
                <w:szCs w:val="16"/>
                <w:color w:val="auto"/>
              </w:rPr>
            </w:pPr>
          </w:p>
        </w:tc>
        <w:tc>
          <w:tcPr>
            <w:tcW w:w="180" w:type="dxa"/>
            <w:vAlign w:val="bottom"/>
          </w:tcPr>
          <w:p>
            <w:pPr>
              <w:spacing w:after="0" w:line="191" w:lineRule="exact"/>
              <w:rPr>
                <w:sz w:val="20"/>
                <w:szCs w:val="20"/>
                <w:color w:val="auto"/>
              </w:rPr>
            </w:pPr>
            <w:r>
              <w:rPr>
                <w:rFonts w:ascii="Arial" w:cs="Arial" w:eastAsia="Arial" w:hAnsi="Arial"/>
                <w:sz w:val="18"/>
                <w:szCs w:val="18"/>
                <w:b w:val="1"/>
                <w:bCs w:val="1"/>
                <w:color w:val="auto"/>
              </w:rPr>
              <w:t>•</w:t>
            </w:r>
          </w:p>
        </w:tc>
        <w:tc>
          <w:tcPr>
            <w:tcW w:w="3700" w:type="dxa"/>
            <w:vAlign w:val="bottom"/>
          </w:tcPr>
          <w:p>
            <w:pPr>
              <w:ind w:left="120"/>
              <w:spacing w:after="0" w:line="191" w:lineRule="exact"/>
              <w:rPr>
                <w:sz w:val="20"/>
                <w:szCs w:val="20"/>
                <w:color w:val="auto"/>
              </w:rPr>
            </w:pPr>
            <w:r>
              <w:rPr>
                <w:rFonts w:ascii="Arial" w:cs="Arial" w:eastAsia="Arial" w:hAnsi="Arial"/>
                <w:sz w:val="18"/>
                <w:szCs w:val="18"/>
                <w:color w:val="auto"/>
              </w:rPr>
              <w:t>Report data from a Phase 2 study in gout</w:t>
            </w:r>
          </w:p>
        </w:tc>
      </w:tr>
      <w:tr>
        <w:trPr>
          <w:trHeight w:val="220"/>
        </w:trPr>
        <w:tc>
          <w:tcPr>
            <w:tcW w:w="3200" w:type="dxa"/>
            <w:vAlign w:val="bottom"/>
          </w:tcPr>
          <w:p>
            <w:pPr>
              <w:ind w:left="220"/>
              <w:spacing w:after="0"/>
              <w:rPr>
                <w:sz w:val="20"/>
                <w:szCs w:val="20"/>
                <w:color w:val="auto"/>
              </w:rPr>
            </w:pPr>
            <w:r>
              <w:rPr>
                <w:rFonts w:ascii="Arial" w:cs="Arial" w:eastAsia="Arial" w:hAnsi="Arial"/>
                <w:sz w:val="18"/>
                <w:szCs w:val="18"/>
                <w:color w:val="auto"/>
              </w:rPr>
              <w:t>(rilonacept; also known as IL-1 Trap)</w:t>
            </w:r>
          </w:p>
        </w:tc>
        <w:tc>
          <w:tcPr>
            <w:tcW w:w="2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3700" w:type="dxa"/>
            <w:vAlign w:val="bottom"/>
          </w:tcPr>
          <w:p>
            <w:pPr>
              <w:ind w:left="100"/>
              <w:spacing w:after="0"/>
              <w:rPr>
                <w:sz w:val="20"/>
                <w:szCs w:val="20"/>
                <w:color w:val="auto"/>
              </w:rPr>
            </w:pPr>
            <w:r>
              <w:rPr>
                <w:rFonts w:ascii="Arial" w:cs="Arial" w:eastAsia="Arial" w:hAnsi="Arial"/>
                <w:sz w:val="18"/>
                <w:szCs w:val="18"/>
                <w:color w:val="auto"/>
                <w:w w:val="98"/>
              </w:rPr>
              <w:t>Launched ARCALYST commercially in CAPS</w:t>
            </w:r>
          </w:p>
        </w:tc>
        <w:tc>
          <w:tcPr>
            <w:tcW w:w="2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3700" w:type="dxa"/>
            <w:vAlign w:val="bottom"/>
          </w:tcPr>
          <w:p>
            <w:pPr>
              <w:ind w:left="120"/>
              <w:spacing w:after="0"/>
              <w:rPr>
                <w:sz w:val="20"/>
                <w:szCs w:val="20"/>
                <w:color w:val="auto"/>
              </w:rPr>
            </w:pPr>
            <w:r>
              <w:rPr>
                <w:rFonts w:ascii="Arial" w:cs="Arial" w:eastAsia="Arial" w:hAnsi="Arial"/>
                <w:sz w:val="18"/>
                <w:szCs w:val="18"/>
                <w:color w:val="auto"/>
                <w:w w:val="98"/>
              </w:rPr>
              <w:t>Evaluate ARCALYST in certain other disease</w:t>
            </w:r>
          </w:p>
        </w:tc>
      </w:tr>
      <w:tr>
        <w:trPr>
          <w:trHeight w:val="216"/>
        </w:trPr>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00" w:type="dxa"/>
            <w:vAlign w:val="bottom"/>
          </w:tcPr>
          <w:p>
            <w:pPr>
              <w:ind w:left="100"/>
              <w:spacing w:after="0"/>
              <w:rPr>
                <w:sz w:val="20"/>
                <w:szCs w:val="20"/>
                <w:color w:val="auto"/>
              </w:rPr>
            </w:pPr>
            <w:r>
              <w:rPr>
                <w:rFonts w:ascii="Arial" w:cs="Arial" w:eastAsia="Arial" w:hAnsi="Arial"/>
                <w:sz w:val="18"/>
                <w:szCs w:val="18"/>
                <w:color w:val="auto"/>
                <w:w w:val="95"/>
              </w:rPr>
              <w:t>indications in which IL-1 may play an important</w:t>
            </w:r>
          </w:p>
        </w:tc>
      </w:tr>
      <w:tr>
        <w:trPr>
          <w:trHeight w:val="230"/>
        </w:trPr>
        <w:tc>
          <w:tcPr>
            <w:tcW w:w="3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00" w:type="dxa"/>
            <w:vAlign w:val="bottom"/>
          </w:tcPr>
          <w:p>
            <w:pPr>
              <w:ind w:left="100"/>
              <w:spacing w:after="0"/>
              <w:rPr>
                <w:sz w:val="20"/>
                <w:szCs w:val="20"/>
                <w:color w:val="auto"/>
              </w:rPr>
            </w:pPr>
            <w:r>
              <w:rPr>
                <w:rFonts w:ascii="Arial" w:cs="Arial" w:eastAsia="Arial" w:hAnsi="Arial"/>
                <w:sz w:val="18"/>
                <w:szCs w:val="18"/>
                <w:color w:val="auto"/>
              </w:rPr>
              <w:t>role</w:t>
            </w:r>
          </w:p>
        </w:tc>
      </w:tr>
    </w:tbl>
    <w:p>
      <w:pPr>
        <w:spacing w:after="0" w:line="200" w:lineRule="exact"/>
        <w:rPr>
          <w:sz w:val="20"/>
          <w:szCs w:val="20"/>
          <w:color w:val="auto"/>
        </w:rPr>
      </w:pPr>
    </w:p>
    <w:p>
      <w:pPr>
        <w:sectPr>
          <w:pgSz w:w="11900" w:h="16838" w:orient="portrait"/>
          <w:cols w:equalWidth="0" w:num="1">
            <w:col w:w="11420"/>
          </w:cols>
          <w:pgMar w:left="240" w:top="419" w:right="239" w:bottom="1440" w:gutter="0" w:footer="0" w:header="0"/>
        </w:sectPr>
      </w:pPr>
    </w:p>
    <w:p>
      <w:pPr>
        <w:spacing w:after="0" w:line="25" w:lineRule="exact"/>
        <w:rPr>
          <w:sz w:val="20"/>
          <w:szCs w:val="20"/>
          <w:color w:val="auto"/>
        </w:rPr>
      </w:pPr>
    </w:p>
    <w:p>
      <w:pPr>
        <w:spacing w:after="0"/>
        <w:tabs>
          <w:tab w:leader="none" w:pos="3420" w:val="left"/>
          <w:tab w:leader="none" w:pos="3700" w:val="left"/>
        </w:tabs>
        <w:rPr>
          <w:sz w:val="20"/>
          <w:szCs w:val="20"/>
          <w:color w:val="auto"/>
        </w:rPr>
      </w:pPr>
      <w:r>
        <w:rPr>
          <w:rFonts w:ascii="Arial" w:cs="Arial" w:eastAsia="Arial" w:hAnsi="Arial"/>
          <w:sz w:val="18"/>
          <w:szCs w:val="18"/>
          <w:color w:val="auto"/>
        </w:rPr>
        <w:t>Aflibercept</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color w:val="auto"/>
        </w:rPr>
        <w:t>Reported final data from Phase 2 single-agent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 w:lineRule="exact"/>
        <w:rPr>
          <w:sz w:val="20"/>
          <w:szCs w:val="20"/>
          <w:color w:val="auto"/>
        </w:rPr>
      </w:pPr>
    </w:p>
    <w:p>
      <w:pPr>
        <w:ind w:left="220"/>
        <w:spacing w:after="0"/>
        <w:tabs>
          <w:tab w:leader="none" w:pos="3700" w:val="left"/>
        </w:tabs>
        <w:rPr>
          <w:sz w:val="20"/>
          <w:szCs w:val="20"/>
          <w:color w:val="auto"/>
        </w:rPr>
      </w:pPr>
      <w:r>
        <w:rPr>
          <w:rFonts w:ascii="Arial" w:cs="Arial" w:eastAsia="Arial" w:hAnsi="Arial"/>
          <w:sz w:val="18"/>
          <w:szCs w:val="18"/>
          <w:color w:val="auto"/>
        </w:rPr>
        <w:t>(VEGF Trap – Oncology)</w:t>
      </w:r>
      <w:r>
        <w:rPr>
          <w:sz w:val="20"/>
          <w:szCs w:val="20"/>
          <w:color w:val="auto"/>
        </w:rPr>
        <w:tab/>
      </w:r>
      <w:r>
        <w:rPr>
          <w:rFonts w:ascii="Arial" w:cs="Arial" w:eastAsia="Arial" w:hAnsi="Arial"/>
          <w:sz w:val="16"/>
          <w:szCs w:val="16"/>
          <w:color w:val="auto"/>
        </w:rPr>
        <w:t>trial in advanced ovarian cancer</w:t>
      </w:r>
    </w:p>
    <w:p>
      <w:pPr>
        <w:spacing w:after="0" w:line="9" w:lineRule="exact"/>
        <w:rPr>
          <w:sz w:val="20"/>
          <w:szCs w:val="20"/>
          <w:color w:val="auto"/>
        </w:rPr>
      </w:pPr>
    </w:p>
    <w:p>
      <w:pPr>
        <w:ind w:left="3440"/>
        <w:spacing w:after="0"/>
        <w:tabs>
          <w:tab w:leader="none" w:pos="37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color w:val="auto"/>
        </w:rPr>
        <w:t>NCI/CTEP reported preliminary results from trial</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 glioblastoma multiforme and anaplastic glioma</w:t>
      </w:r>
    </w:p>
    <w:p>
      <w:pPr>
        <w:spacing w:after="0" w:line="9" w:lineRule="exact"/>
        <w:rPr>
          <w:sz w:val="20"/>
          <w:szCs w:val="20"/>
          <w:color w:val="auto"/>
        </w:rPr>
      </w:pPr>
    </w:p>
    <w:p>
      <w:pPr>
        <w:ind w:left="3440"/>
        <w:spacing w:after="0"/>
        <w:tabs>
          <w:tab w:leader="none" w:pos="37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Reported results from four Phase 1 dose-</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escalation studies in combination with</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chemotherapy in solid tumors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276" w:right="20" w:hanging="276"/>
        <w:spacing w:after="0" w:line="271" w:lineRule="auto"/>
        <w:tabs>
          <w:tab w:leader="none" w:pos="28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Sanofi-aventis to initiate Phase 2 1st-line study in metastatic colorectal cancer in combination with a standard chemotherapy regimen</w:t>
      </w:r>
    </w:p>
    <w:p>
      <w:pPr>
        <w:ind w:left="276" w:right="200" w:hanging="276"/>
        <w:spacing w:after="0" w:line="281" w:lineRule="auto"/>
        <w:tabs>
          <w:tab w:leader="none" w:pos="28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Complete enrollment of Phase 2 single-agent study in symptomatic malignant ascites (SMA)</w:t>
      </w:r>
    </w:p>
    <w:p>
      <w:pPr>
        <w:spacing w:after="0" w:line="1" w:lineRule="exact"/>
        <w:rPr>
          <w:rFonts w:ascii="Arial" w:cs="Arial" w:eastAsia="Arial" w:hAnsi="Arial"/>
          <w:sz w:val="16"/>
          <w:szCs w:val="16"/>
          <w:b w:val="1"/>
          <w:bCs w:val="1"/>
          <w:color w:val="auto"/>
        </w:rPr>
      </w:pPr>
    </w:p>
    <w:p>
      <w:pPr>
        <w:ind w:left="296" w:hanging="296"/>
        <w:spacing w:after="0"/>
        <w:tabs>
          <w:tab w:leader="none" w:pos="296"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NCI/CTEP to report additional data from trials</w:t>
      </w:r>
    </w:p>
    <w:p>
      <w:pPr>
        <w:spacing w:after="0" w:line="427" w:lineRule="exact"/>
        <w:rPr>
          <w:sz w:val="20"/>
          <w:szCs w:val="20"/>
          <w:color w:val="auto"/>
        </w:rPr>
      </w:pPr>
    </w:p>
    <w:p>
      <w:pPr>
        <w:sectPr>
          <w:pgSz w:w="11900" w:h="16838" w:orient="portrait"/>
          <w:cols w:equalWidth="0" w:num="2">
            <w:col w:w="7300" w:space="244"/>
            <w:col w:w="3876"/>
          </w:cols>
          <w:pgMar w:left="240" w:top="419" w:right="239" w:bottom="1440" w:gutter="0" w:footer="0" w:header="0"/>
          <w:type w:val="continuous"/>
        </w:sectPr>
      </w:pP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VEGF Trap-Eye</w:t>
            </w:r>
          </w:p>
        </w:tc>
        <w:tc>
          <w:tcPr>
            <w:tcW w:w="1000" w:type="dxa"/>
            <w:vAlign w:val="bottom"/>
            <w:tcBorders>
              <w:top w:val="single" w:sz="8" w:color="auto"/>
            </w:tcBorders>
          </w:tcPr>
          <w:p>
            <w:pPr>
              <w:ind w:left="820"/>
              <w:spacing w:after="0"/>
              <w:rPr>
                <w:sz w:val="20"/>
                <w:szCs w:val="20"/>
                <w:color w:val="auto"/>
              </w:rPr>
            </w:pPr>
            <w:r>
              <w:rPr>
                <w:rFonts w:ascii="Arial" w:cs="Arial" w:eastAsia="Arial" w:hAnsi="Arial"/>
                <w:sz w:val="18"/>
                <w:szCs w:val="18"/>
                <w:b w:val="1"/>
                <w:bCs w:val="1"/>
                <w:color w:val="auto"/>
              </w:rPr>
              <w:t>•</w:t>
            </w:r>
          </w:p>
        </w:tc>
        <w:tc>
          <w:tcPr>
            <w:tcW w:w="37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Presented positive extended follow-up data</w:t>
            </w:r>
          </w:p>
        </w:tc>
        <w:tc>
          <w:tcPr>
            <w:tcW w:w="4020" w:type="dxa"/>
            <w:vAlign w:val="bottom"/>
            <w:tcBorders>
              <w:top w:val="single" w:sz="8" w:color="auto"/>
            </w:tcBorders>
          </w:tcPr>
          <w:p>
            <w:pPr>
              <w:ind w:left="14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Initiate a Phase 2 clinical study in DME</w:t>
            </w:r>
          </w:p>
        </w:tc>
        <w:tc>
          <w:tcPr>
            <w:tcW w:w="0" w:type="dxa"/>
            <w:vAlign w:val="bottom"/>
          </w:tcPr>
          <w:p>
            <w:pPr>
              <w:spacing w:after="0"/>
              <w:rPr>
                <w:sz w:val="1"/>
                <w:szCs w:val="1"/>
                <w:color w:val="auto"/>
              </w:rPr>
            </w:pPr>
          </w:p>
        </w:tc>
      </w:tr>
      <w:tr>
        <w:trPr>
          <w:trHeight w:val="216"/>
        </w:trPr>
        <w:tc>
          <w:tcPr>
            <w:tcW w:w="2620" w:type="dxa"/>
            <w:vAlign w:val="bottom"/>
          </w:tcPr>
          <w:p>
            <w:pPr>
              <w:ind w:left="220"/>
              <w:spacing w:after="0"/>
              <w:rPr>
                <w:sz w:val="20"/>
                <w:szCs w:val="20"/>
                <w:color w:val="auto"/>
              </w:rPr>
            </w:pPr>
            <w:r>
              <w:rPr>
                <w:rFonts w:ascii="Arial" w:cs="Arial" w:eastAsia="Arial" w:hAnsi="Arial"/>
                <w:sz w:val="18"/>
                <w:szCs w:val="18"/>
                <w:color w:val="auto"/>
              </w:rPr>
              <w:t>(intravitreal injection)</w:t>
            </w:r>
          </w:p>
        </w:tc>
        <w:tc>
          <w:tcPr>
            <w:tcW w:w="1000" w:type="dxa"/>
            <w:vAlign w:val="bottom"/>
          </w:tcPr>
          <w:p>
            <w:pPr>
              <w:spacing w:after="0"/>
              <w:rPr>
                <w:sz w:val="18"/>
                <w:szCs w:val="18"/>
                <w:color w:val="auto"/>
              </w:rPr>
            </w:pPr>
          </w:p>
        </w:tc>
        <w:tc>
          <w:tcPr>
            <w:tcW w:w="3780" w:type="dxa"/>
            <w:vAlign w:val="bottom"/>
          </w:tcPr>
          <w:p>
            <w:pPr>
              <w:ind w:left="100"/>
              <w:spacing w:after="0"/>
              <w:rPr>
                <w:sz w:val="20"/>
                <w:szCs w:val="20"/>
                <w:color w:val="auto"/>
              </w:rPr>
            </w:pPr>
            <w:r>
              <w:rPr>
                <w:rFonts w:ascii="Arial" w:cs="Arial" w:eastAsia="Arial" w:hAnsi="Arial"/>
                <w:sz w:val="18"/>
                <w:szCs w:val="18"/>
                <w:color w:val="auto"/>
                <w:w w:val="98"/>
              </w:rPr>
              <w:t>through 32 weeks from the Phase 2 trial in wet</w:t>
            </w:r>
          </w:p>
        </w:tc>
        <w:tc>
          <w:tcPr>
            <w:tcW w:w="4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1000" w:type="dxa"/>
            <w:vAlign w:val="bottom"/>
            <w:vMerge w:val="restart"/>
          </w:tcPr>
          <w:p>
            <w:pPr>
              <w:ind w:left="820"/>
              <w:spacing w:after="0"/>
              <w:rPr>
                <w:sz w:val="20"/>
                <w:szCs w:val="20"/>
                <w:color w:val="auto"/>
              </w:rPr>
            </w:pPr>
            <w:r>
              <w:rPr>
                <w:rFonts w:ascii="Arial" w:cs="Arial" w:eastAsia="Arial" w:hAnsi="Arial"/>
                <w:sz w:val="18"/>
                <w:szCs w:val="18"/>
                <w:b w:val="1"/>
                <w:bCs w:val="1"/>
                <w:color w:val="auto"/>
              </w:rPr>
              <w:t>•</w:t>
            </w:r>
          </w:p>
        </w:tc>
        <w:tc>
          <w:tcPr>
            <w:tcW w:w="3780" w:type="dxa"/>
            <w:vAlign w:val="bottom"/>
          </w:tcPr>
          <w:p>
            <w:pPr>
              <w:ind w:left="100"/>
              <w:spacing w:after="0"/>
              <w:rPr>
                <w:sz w:val="20"/>
                <w:szCs w:val="20"/>
                <w:color w:val="auto"/>
              </w:rPr>
            </w:pPr>
            <w:r>
              <w:rPr>
                <w:rFonts w:ascii="Arial" w:cs="Arial" w:eastAsia="Arial" w:hAnsi="Arial"/>
                <w:sz w:val="18"/>
                <w:szCs w:val="18"/>
                <w:color w:val="auto"/>
              </w:rPr>
              <w:t>AMD</w:t>
            </w:r>
          </w:p>
        </w:tc>
        <w:tc>
          <w:tcPr>
            <w:tcW w:w="4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3780" w:type="dxa"/>
            <w:vAlign w:val="bottom"/>
          </w:tcPr>
          <w:p>
            <w:pPr>
              <w:ind w:left="100"/>
              <w:spacing w:after="0"/>
              <w:rPr>
                <w:sz w:val="20"/>
                <w:szCs w:val="20"/>
                <w:color w:val="auto"/>
              </w:rPr>
            </w:pPr>
            <w:r>
              <w:rPr>
                <w:rFonts w:ascii="Arial" w:cs="Arial" w:eastAsia="Arial" w:hAnsi="Arial"/>
                <w:sz w:val="18"/>
                <w:szCs w:val="18"/>
                <w:color w:val="auto"/>
                <w:w w:val="96"/>
              </w:rPr>
              <w:t>Bayer HealthCare initiated second Phase 3 trial</w:t>
            </w:r>
          </w:p>
        </w:tc>
        <w:tc>
          <w:tcPr>
            <w:tcW w:w="4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780" w:type="dxa"/>
            <w:vAlign w:val="bottom"/>
          </w:tcPr>
          <w:p>
            <w:pPr>
              <w:ind w:left="100"/>
              <w:spacing w:after="0"/>
              <w:rPr>
                <w:sz w:val="20"/>
                <w:szCs w:val="20"/>
                <w:color w:val="auto"/>
              </w:rPr>
            </w:pPr>
            <w:r>
              <w:rPr>
                <w:rFonts w:ascii="Arial" w:cs="Arial" w:eastAsia="Arial" w:hAnsi="Arial"/>
                <w:sz w:val="18"/>
                <w:szCs w:val="18"/>
                <w:color w:val="auto"/>
                <w:w w:val="97"/>
              </w:rPr>
              <w:t>(VIEW 2) in wet AMD outside the United States</w:t>
            </w:r>
          </w:p>
        </w:tc>
        <w:tc>
          <w:tcPr>
            <w:tcW w:w="4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19" w:right="239" w:bottom="1440" w:gutter="0" w:footer="0" w:header="0"/>
          <w:type w:val="continuous"/>
        </w:sectPr>
      </w:pPr>
    </w:p>
    <w:p>
      <w:pPr>
        <w:spacing w:after="0" w:line="25" w:lineRule="exact"/>
        <w:rPr>
          <w:sz w:val="20"/>
          <w:szCs w:val="20"/>
          <w:color w:val="auto"/>
        </w:rPr>
      </w:pPr>
    </w:p>
    <w:p>
      <w:pPr>
        <w:spacing w:after="0"/>
        <w:tabs>
          <w:tab w:leader="none" w:pos="3420" w:val="left"/>
          <w:tab w:leader="none" w:pos="3700" w:val="left"/>
        </w:tabs>
        <w:rPr>
          <w:sz w:val="20"/>
          <w:szCs w:val="20"/>
          <w:color w:val="auto"/>
        </w:rPr>
      </w:pPr>
      <w:r>
        <w:rPr>
          <w:rFonts w:ascii="Arial" w:cs="Arial" w:eastAsia="Arial" w:hAnsi="Arial"/>
          <w:sz w:val="18"/>
          <w:szCs w:val="18"/>
          <w:color w:val="auto"/>
        </w:rPr>
        <w:t>Antibodies</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color w:val="auto"/>
        </w:rPr>
        <w:t>Finalized preparations for initiation of clinical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program for the Dll4 antibody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276" w:right="400" w:hanging="276"/>
        <w:spacing w:after="0" w:line="258" w:lineRule="auto"/>
        <w:tabs>
          <w:tab w:leader="none" w:pos="2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Initiate Phase 1 trial for the Dll4 antibody in oncology</w:t>
      </w:r>
    </w:p>
    <w:p>
      <w:pPr>
        <w:spacing w:after="0" w:line="1" w:lineRule="exact"/>
        <w:rPr>
          <w:rFonts w:ascii="Arial" w:cs="Arial" w:eastAsia="Arial" w:hAnsi="Arial"/>
          <w:sz w:val="18"/>
          <w:szCs w:val="18"/>
          <w:b w:val="1"/>
          <w:bCs w:val="1"/>
          <w:color w:val="auto"/>
        </w:rPr>
      </w:pPr>
    </w:p>
    <w:p>
      <w:pPr>
        <w:ind w:left="276" w:right="320" w:hanging="276"/>
        <w:spacing w:after="0" w:line="250" w:lineRule="auto"/>
        <w:tabs>
          <w:tab w:leader="none" w:pos="2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Report data from Phase 1 trial of REGN88 in rheumatoid arthritis</w:t>
      </w:r>
    </w:p>
    <w:p>
      <w:pPr>
        <w:ind w:left="276" w:right="140" w:hanging="276"/>
        <w:spacing w:after="0" w:line="261" w:lineRule="auto"/>
        <w:tabs>
          <w:tab w:leader="none" w:pos="27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Advance a third antibody candidate into clinical development</w:t>
      </w:r>
    </w:p>
    <w:p>
      <w:pPr>
        <w:spacing w:after="0" w:line="184" w:lineRule="exact"/>
        <w:rPr>
          <w:sz w:val="20"/>
          <w:szCs w:val="20"/>
          <w:color w:val="auto"/>
        </w:rPr>
      </w:pPr>
    </w:p>
    <w:p>
      <w:pPr>
        <w:sectPr>
          <w:pgSz w:w="11900" w:h="16838" w:orient="portrait"/>
          <w:cols w:equalWidth="0" w:num="2">
            <w:col w:w="7060" w:space="484"/>
            <w:col w:w="3876"/>
          </w:cols>
          <w:pgMar w:left="240" w:top="419"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ARCALYST</w:t>
      </w:r>
      <w:r>
        <w:rPr>
          <w:rFonts w:ascii="Arial" w:cs="Arial" w:eastAsia="Arial" w:hAnsi="Arial"/>
          <w:sz w:val="26"/>
          <w:szCs w:val="26"/>
          <w:b w:val="1"/>
          <w:bCs w:val="1"/>
          <w:color w:val="auto"/>
          <w:vertAlign w:val="superscript"/>
        </w:rPr>
        <w:t>®</w:t>
      </w:r>
      <w:r>
        <w:rPr>
          <w:rFonts w:ascii="Arial" w:cs="Arial" w:eastAsia="Arial" w:hAnsi="Arial"/>
          <w:sz w:val="18"/>
          <w:szCs w:val="18"/>
          <w:b w:val="1"/>
          <w:bCs w:val="1"/>
          <w:color w:val="auto"/>
        </w:rPr>
        <w:t xml:space="preserve"> (rilonacept) Product Revenue and Inventory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01"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 xml:space="preserve">In March 2008, ARCALYST became available for prescription in the United States for the treatment of CAPS and, during the second quarter and first half of 2008, we shipped $1.6 million and $2.4 million, respectively, of ARCALYST to our distributors. We will recognize revenue from product sales in accordance with Staff Accounting Bulletin No. 104,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(SAB 104). Revenue from product sales is recognized when persuasive evidence of an arrangement exists, title to product and associated risk of loss has passed to the customer, the price is fixed or determinable, collection from the customer is reasonably assured and we have no further performance obligations. When recognized, revenues from product sales will be recorded net of applicable provisions for prompt pay discounts, product returns, and estimated rebates. We will account for these reductions in accordance with Emerging Issues Task Force Issue No. 01-9, </w:t>
      </w:r>
      <w:r>
        <w:rPr>
          <w:rFonts w:ascii="Arial" w:cs="Arial" w:eastAsia="Arial" w:hAnsi="Arial"/>
          <w:sz w:val="16"/>
          <w:szCs w:val="16"/>
          <w:i w:val="1"/>
          <w:iCs w:val="1"/>
          <w:color w:val="auto"/>
        </w:rPr>
        <w:t>Accounting for Consideration Given by a Vendor to a Customer (Including a Reseller of the Vendor’s Products)</w:t>
      </w:r>
      <w:r>
        <w:rPr>
          <w:rFonts w:ascii="Arial" w:cs="Arial" w:eastAsia="Arial" w:hAnsi="Arial"/>
          <w:sz w:val="16"/>
          <w:szCs w:val="16"/>
          <w:color w:val="auto"/>
        </w:rPr>
        <w:t xml:space="preserve"> (EITF 01-9), and Statement of Financial Accounting Standards No. (SFAS) 48, </w:t>
      </w:r>
      <w:r>
        <w:rPr>
          <w:rFonts w:ascii="Arial" w:cs="Arial" w:eastAsia="Arial" w:hAnsi="Arial"/>
          <w:sz w:val="16"/>
          <w:szCs w:val="16"/>
          <w:i w:val="1"/>
          <w:iCs w:val="1"/>
          <w:color w:val="auto"/>
        </w:rPr>
        <w:t>Revenue Recognition When Right of Return Exists</w:t>
      </w:r>
      <w:r>
        <w:rPr>
          <w:rFonts w:ascii="Arial" w:cs="Arial" w:eastAsia="Arial" w:hAnsi="Arial"/>
          <w:sz w:val="16"/>
          <w:szCs w:val="16"/>
          <w:color w:val="auto"/>
        </w:rPr>
        <w:t>, as applicable.</w:t>
      </w:r>
    </w:p>
    <w:p>
      <w:pPr>
        <w:spacing w:after="0" w:line="58" w:lineRule="exact"/>
        <w:rPr>
          <w:sz w:val="20"/>
          <w:szCs w:val="20"/>
          <w:color w:val="auto"/>
        </w:rPr>
      </w:pPr>
    </w:p>
    <w:p>
      <w:pPr>
        <w:ind w:right="380" w:firstLine="225"/>
        <w:spacing w:after="0" w:line="302" w:lineRule="auto"/>
        <w:rPr>
          <w:sz w:val="20"/>
          <w:szCs w:val="20"/>
          <w:color w:val="auto"/>
        </w:rPr>
      </w:pPr>
      <w:r>
        <w:rPr>
          <w:rFonts w:ascii="Arial" w:cs="Arial" w:eastAsia="Arial" w:hAnsi="Arial"/>
          <w:sz w:val="16"/>
          <w:szCs w:val="16"/>
          <w:color w:val="auto"/>
        </w:rPr>
        <w:t>Since we have no historical return or rebate experience for ARCALYST, no product sales revenue has been recognized in the first half of 2008, and revenue recognition has been fully deferred until the right of return no longer exists and rebates have been processed, or until we can reasonably estimate returns and rebates. At June 30, 2008, deferred revenue related to ARCALYST product sales, net of prompt pay discounts and distributor fees, totaled $2.3 million. We currently expect shipments of ARCALYST to our distributors to total approximately $10 million in 2008.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ind w:right="100" w:firstLine="222"/>
        <w:spacing w:after="0" w:line="257" w:lineRule="auto"/>
        <w:rPr>
          <w:sz w:val="20"/>
          <w:szCs w:val="20"/>
          <w:color w:val="auto"/>
        </w:rPr>
      </w:pPr>
      <w:r>
        <w:rPr>
          <w:rFonts w:ascii="Arial" w:cs="Arial" w:eastAsia="Arial" w:hAnsi="Arial"/>
          <w:sz w:val="18"/>
          <w:szCs w:val="18"/>
          <w:color w:val="auto"/>
        </w:rPr>
        <w:t>We began capitalizing inventory costs associated with commercial supplies of ARCALYST subsequent to receipt of marketing approval from the FDA in February 2008. Costs for manufacturing supplies of ARCALYST prior to receipt of FDA approval were recognized as research and development expenses in the period that the costs were incurred. Therefore, these costs will not be included in cost of goods sold when revenue is recognized from the sale of those supplies of ARCALYST and we anticipate that ARCALYST cost of goods sold will be insignificant in 2008. At June 30, 2008, inventoried costs related to ARCALYST were inconsequential.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Cellectis</w:t>
      </w:r>
    </w:p>
    <w:p>
      <w:pPr>
        <w:spacing w:after="0" w:line="121" w:lineRule="exact"/>
        <w:rPr>
          <w:sz w:val="20"/>
          <w:szCs w:val="20"/>
          <w:color w:val="auto"/>
        </w:rPr>
      </w:pPr>
    </w:p>
    <w:p>
      <w:pPr>
        <w:ind w:right="80" w:firstLine="225"/>
        <w:spacing w:after="0" w:line="302" w:lineRule="auto"/>
        <w:rPr>
          <w:sz w:val="20"/>
          <w:szCs w:val="20"/>
          <w:color w:val="auto"/>
        </w:rPr>
      </w:pPr>
      <w:r>
        <w:rPr>
          <w:rFonts w:ascii="Arial" w:cs="Arial" w:eastAsia="Arial" w:hAnsi="Arial"/>
          <w:sz w:val="16"/>
          <w:szCs w:val="16"/>
          <w:color w:val="auto"/>
        </w:rPr>
        <w:t xml:space="preserve">In July 2008, we and Cellectis S.A. entered into an Amended and Restated Non-Exclusive License Agreement. The amended license agreement resolves a dispute between the parties related to the interpretation of a license agreement entered into by the parties in December 2003 pursuant to which we licensed certain patents and patent applications relating to a process for the specific replacement of a copy of a gene in the receiver genome by homologous recombination. Pursuant to the amended license agreement, in July 2008, we made a non-refundable $12.5 million payment to Cellectis and agreed to pay Cellectis a low single-digit royalty based on revenue received by us from any future licenses or sales of our </w:t>
      </w:r>
      <w:r>
        <w:rPr>
          <w:rFonts w:ascii="Arial" w:cs="Arial" w:eastAsia="Arial" w:hAnsi="Arial"/>
          <w:sz w:val="16"/>
          <w:szCs w:val="16"/>
          <w:i w:val="1"/>
          <w:iCs w:val="1"/>
          <w:color w:val="auto"/>
        </w:rPr>
        <w:t>VelociGene</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or </w:t>
      </w:r>
      <w:r>
        <w:rPr>
          <w:rFonts w:ascii="Arial" w:cs="Arial" w:eastAsia="Arial" w:hAnsi="Arial"/>
          <w:sz w:val="16"/>
          <w:szCs w:val="16"/>
          <w:i w:val="1"/>
          <w:iCs w:val="1"/>
          <w:color w:val="auto"/>
        </w:rPr>
        <w:t>VelocImmune</w:t>
      </w:r>
      <w:r>
        <w:rPr>
          <w:rFonts w:ascii="Arial" w:cs="Arial" w:eastAsia="Arial" w:hAnsi="Arial"/>
          <w:sz w:val="26"/>
          <w:szCs w:val="26"/>
          <w:color w:val="auto"/>
          <w:vertAlign w:val="superscript"/>
        </w:rPr>
        <w:t>®</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60"/>
        <w:spacing w:after="0"/>
        <w:rPr>
          <w:sz w:val="20"/>
          <w:szCs w:val="20"/>
          <w:color w:val="auto"/>
        </w:rPr>
      </w:pPr>
      <w:r>
        <w:rPr>
          <w:rFonts w:ascii="Arial" w:cs="Arial" w:eastAsia="Arial" w:hAnsi="Arial"/>
          <w:sz w:val="16"/>
          <w:szCs w:val="16"/>
          <w:color w:val="auto"/>
        </w:rPr>
        <w:t xml:space="preserve">products and services. No royalties are payable with respect to our </w:t>
      </w:r>
      <w:r>
        <w:rPr>
          <w:rFonts w:ascii="Arial" w:cs="Arial" w:eastAsia="Arial" w:hAnsi="Arial"/>
          <w:sz w:val="16"/>
          <w:szCs w:val="16"/>
          <w:i w:val="1"/>
          <w:iCs w:val="1"/>
          <w:color w:val="auto"/>
        </w:rPr>
        <w:t>VelocImmune</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license agreements with AstraZeneca and Astellas or our November 2007 collaboration with sanofi-aventis. Moreover, no royalties are payable on any revenue from commercial sales of antibodies from our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w:t>
      </w:r>
    </w:p>
    <w:p>
      <w:pPr>
        <w:spacing w:after="0" w:line="94" w:lineRule="exact"/>
        <w:rPr>
          <w:sz w:val="20"/>
          <w:szCs w:val="20"/>
          <w:color w:val="auto"/>
        </w:rPr>
      </w:pPr>
    </w:p>
    <w:p>
      <w:pPr>
        <w:ind w:right="140" w:firstLine="222"/>
        <w:spacing w:after="0" w:line="264" w:lineRule="auto"/>
        <w:rPr>
          <w:sz w:val="20"/>
          <w:szCs w:val="20"/>
          <w:color w:val="auto"/>
        </w:rPr>
      </w:pPr>
      <w:r>
        <w:rPr>
          <w:rFonts w:ascii="Arial" w:cs="Arial" w:eastAsia="Arial" w:hAnsi="Arial"/>
          <w:sz w:val="18"/>
          <w:szCs w:val="18"/>
          <w:color w:val="auto"/>
        </w:rPr>
        <w:t>We began amortizing our $12.5 million payment to Cellectis in the second quarter of 2008 in proportion to past and anticipated future revenues under our license agreements with AstraZeneca and Astellas and our antibody discovery agreement with sanofi-aventis. We recognized $1.6 million of expense in connection with this payment, which was accrued at June 30, 2008.</w:t>
      </w:r>
    </w:p>
    <w:p>
      <w:pPr>
        <w:spacing w:after="0" w:line="73"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In July 2008, we and Cellectis also entered into a Subscription Agreement pursuant to which we agreed to purchase 368,301 ordinary shares of Cellectis at a price of EUR 8.63 per share. The purchase is contingent upon approval by the board of directors of Cellectis and by the shareholders of Cellectis at an extraordinary general meeting to be held no later than October 30, 2008.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2008 and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Regeneron reported a net loss of $18.5 million, or $0.23 per share (basic and diluted), for the second quarter of 2008 compared to a net loss of</w:t>
      </w:r>
    </w:p>
    <w:p>
      <w:pPr>
        <w:spacing w:after="0" w:line="35"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$26.8 million, or $0.41 per share (basic and diluted), for the second quarter of 2007. The decrease in net loss was principally due to revenues earned in the second quarter of 2008 in connection with our antibody collaboration with sanofi-aventis and our VEGF Trap-Eye collaboration with Bayer HealthCare, partly offset by higher research and development expenses.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Revenues for the three months ended June 30, 2008 and 2007 consist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Contract research &amp; development revenue</w:t>
            </w:r>
          </w:p>
        </w:tc>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ind w:left="220"/>
              <w:spacing w:after="0"/>
              <w:rPr>
                <w:sz w:val="20"/>
                <w:szCs w:val="20"/>
                <w:color w:val="auto"/>
              </w:rPr>
            </w:pPr>
            <w:r>
              <w:rPr>
                <w:rFonts w:ascii="Arial" w:cs="Arial" w:eastAsia="Arial" w:hAnsi="Arial"/>
                <w:sz w:val="18"/>
                <w:szCs w:val="18"/>
                <w:color w:val="auto"/>
              </w:rPr>
              <w:t>Sanofi-aventis</w:t>
            </w:r>
          </w:p>
        </w:tc>
        <w:tc>
          <w:tcPr>
            <w:tcW w:w="2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38.6</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Bayer HealthCare</w:t>
            </w:r>
          </w:p>
        </w:tc>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ind w:left="220"/>
              <w:spacing w:after="0"/>
              <w:rPr>
                <w:sz w:val="20"/>
                <w:szCs w:val="20"/>
                <w:color w:val="auto"/>
              </w:rPr>
            </w:pPr>
            <w:r>
              <w:rPr>
                <w:rFonts w:ascii="Arial" w:cs="Arial" w:eastAsia="Arial" w:hAnsi="Arial"/>
                <w:sz w:val="18"/>
                <w:szCs w:val="18"/>
                <w:color w:val="auto"/>
              </w:rPr>
              <w:t>Other</w:t>
            </w: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7"/>
        </w:trPr>
        <w:tc>
          <w:tcPr>
            <w:tcW w:w="65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contract research &amp; development revenue</w:t>
            </w:r>
          </w:p>
        </w:tc>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Technology licensing revenue</w:t>
            </w: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r>
      <w:tr>
        <w:trPr>
          <w:trHeight w:val="27"/>
        </w:trPr>
        <w:tc>
          <w:tcPr>
            <w:tcW w:w="65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w:t>
            </w:r>
          </w:p>
        </w:tc>
        <w:tc>
          <w:tcPr>
            <w:tcW w:w="2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60.7</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r>
      <w:tr>
        <w:trPr>
          <w:trHeight w:val="20"/>
        </w:trPr>
        <w:tc>
          <w:tcPr>
            <w:tcW w:w="65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20" w:firstLine="222"/>
        <w:spacing w:after="0" w:line="308" w:lineRule="auto"/>
        <w:rPr>
          <w:sz w:val="20"/>
          <w:szCs w:val="20"/>
          <w:color w:val="auto"/>
        </w:rPr>
      </w:pPr>
      <w:r>
        <w:rPr>
          <w:rFonts w:ascii="Arial" w:cs="Arial" w:eastAsia="Arial" w:hAnsi="Arial"/>
          <w:sz w:val="17"/>
          <w:szCs w:val="17"/>
          <w:color w:val="auto"/>
        </w:rPr>
        <w:t xml:space="preserve">We recognize revenue from sanofi-aventis, in connection with our aflibercept and antibody collaborations, in accordance with SAB 104 and FASB Emerging Issue Task Force Issue No. 00-21, </w:t>
      </w:r>
      <w:r>
        <w:rPr>
          <w:rFonts w:ascii="Arial" w:cs="Arial" w:eastAsia="Arial" w:hAnsi="Arial"/>
          <w:sz w:val="17"/>
          <w:szCs w:val="17"/>
          <w:i w:val="1"/>
          <w:iCs w:val="1"/>
          <w:color w:val="auto"/>
        </w:rPr>
        <w:t>Accounting for Revenue Arrangements with Multiple Deliverables</w:t>
      </w:r>
      <w:r>
        <w:rPr>
          <w:rFonts w:ascii="Arial" w:cs="Arial" w:eastAsia="Arial" w:hAnsi="Arial"/>
          <w:sz w:val="17"/>
          <w:szCs w:val="17"/>
          <w:color w:val="auto"/>
        </w:rPr>
        <w:t xml:space="preserve"> (EITF 00-21). We earn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contract research and development revenue from sanofi-aventis which, as detailed below, consists partly of reimbursement for research and development expenses and partly of the recognition of revenue related to non-refundable, up-front payments of $105.0 million related to the aflibercept collaboration and $85.0 million related to the antibody collaboration. Non-refundable, up-front payments are recorded as deferred revenue and recognized over the period over which we are obligated to perform services. We estimate our performance periods based on the specific terms of the collaboration agreements, and adjust the performance periods, if appropriate, based on the applicable facts and circumstances.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8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Sanofi-aventis Contract Research &amp; Development Revenue</w:t>
            </w: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70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5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Aflibercept: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Regeneron expense reimbursement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Recognition of deferred revenue related to up-front payments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Total aflibercept</w:t>
            </w:r>
          </w:p>
        </w:tc>
        <w:tc>
          <w:tcPr>
            <w:tcW w:w="5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Antibody:</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Regeneron expense reimbursement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23.6</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Recognition of deferred revenue related to up-front payment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Total antibody</w:t>
            </w:r>
          </w:p>
        </w:tc>
        <w:tc>
          <w:tcPr>
            <w:tcW w:w="5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sanofi-aventis contract research &amp; development revenue</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r>
              <w:rPr>
                <w:rFonts w:ascii="Arial" w:cs="Arial" w:eastAsia="Arial" w:hAnsi="Arial"/>
                <w:sz w:val="18"/>
                <w:szCs w:val="18"/>
                <w:u w:val="single" w:color="auto"/>
                <w:color w:val="auto"/>
              </w:rPr>
              <w:t>6</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r>
              <w:rPr>
                <w:rFonts w:ascii="Arial" w:cs="Arial" w:eastAsia="Arial" w:hAnsi="Arial"/>
                <w:sz w:val="18"/>
                <w:szCs w:val="18"/>
                <w:u w:val="single" w:color="auto"/>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0" w:firstLine="225"/>
        <w:spacing w:after="0" w:line="257" w:lineRule="auto"/>
        <w:rPr>
          <w:sz w:val="20"/>
          <w:szCs w:val="20"/>
          <w:color w:val="auto"/>
        </w:rPr>
      </w:pPr>
      <w:r>
        <w:rPr>
          <w:rFonts w:ascii="Arial" w:cs="Arial" w:eastAsia="Arial" w:hAnsi="Arial"/>
          <w:sz w:val="18"/>
          <w:szCs w:val="18"/>
          <w:color w:val="auto"/>
        </w:rPr>
        <w:t>Sanofi-aventis’ reimbursement of Regeneron’s aflibercept expenses decreased in the second quarter of 2008 compared to the same period in 2007, primarily due to lower costs related to our manufacture of aflibercept clinical supplies. Recognition of deferred revenue related to sanofi-aventis’ up-front aflibercept payments decreased in the second quarter of 2008 compared to the same period in 2007 due to an extension of the estimated performance period over which this deferred revenue is being recognized. As of June 30, 2008, $57.0 million of the original $105.0 million of up-front payments related to aflibercept was deferred and will be recognized as revenue in future periods.</w:t>
      </w:r>
    </w:p>
    <w:p>
      <w:pPr>
        <w:spacing w:after="0" w:line="80"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color w:val="auto"/>
        </w:rPr>
        <w:t>In the second quarter of 2008, sanofi-aventis’ reimbursement of Regeneron’s antibody expenses consisted of $17.3 million under the collaboration’s discovery agreement and $6.3 million of development costs, primarily related to REGN88, under the license agreement. Recognition of deferred revenue under the antibody collaboration related to sanofi-aventis’ $85.0 million up-front payment. As of June 30, 2008, $78.9 million of this up-front payment was deferred and will be recognized as revenue in future periods.</w:t>
      </w:r>
    </w:p>
    <w:p>
      <w:pPr>
        <w:spacing w:after="0" w:line="79"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In connection with our VEGF Trap-Eye collaboration with Bayer HealthCare, through September 30, 2007, all payments received from Bayer HealthCare, including a $75.0 million non-refundable, up-front payment, a $20.0 million milestone payment (which was received in August 2007 and not considered substantive), and cost sharing reimbursements were fully deferred and included in deferred revenue. Effective in the fourth quarter of 2007, we determined the appropriate accounting policy for payments from Bayer HealthCare and commenced recognizing previously deferred payments and cost-sharing of our and Bayer HealthCare’s 2007 VEGF Trap-Eye development expenses in our Statement of Operations through a cumulative catch-up. The $75.0 million non-refundable, up-front license payment and the $20.0 million milestone payment are being recognized as contract research and development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revenue over the related estimated performance period in accordance with SAB 104 and EITF 00-21. In periods when we recognize VEGF Trap-Eye development expenses that we incur under the collaboration, we also recognize, as contract research and development revenue, the portion of those VEGF Trap-Eye development expenses that is reimbursable from Bayer HealthCare. In periods when Bayer HealthCare incurs agreed upon VEGF Trap-Eye development expenses that benefit the collaboration and Regeneron, we also recognize, as additional research and development expense, the portion of Bayer HealthCare’s VEGF Trap-Eye development expenses that we are obligated to reimburse. In the second quarter of 2008, we recognized contract research and development revenue of $10.2 million from Bayer HealthCare, consisting of (i) $3.3 million related to the $75.0 million up-front licensing payment and the $20.0 million milestone payment, and (ii) $6.9 million related to the portion of our second quarter 2008 VEGF Trap-Eye development expenses that is reimbursable from Bayer HealthCare. As of June 30, 2008, $72.5 million of the up-front licensing and milestone payments was deferred and will be recognized as revenue in future periods.</w:t>
      </w:r>
    </w:p>
    <w:p>
      <w:pPr>
        <w:spacing w:after="0" w:line="74" w:lineRule="exact"/>
        <w:rPr>
          <w:sz w:val="20"/>
          <w:szCs w:val="20"/>
          <w:color w:val="auto"/>
        </w:rPr>
      </w:pPr>
    </w:p>
    <w:p>
      <w:pPr>
        <w:ind w:right="120" w:firstLine="225"/>
        <w:spacing w:after="0" w:line="342" w:lineRule="auto"/>
        <w:rPr>
          <w:sz w:val="20"/>
          <w:szCs w:val="20"/>
          <w:color w:val="auto"/>
        </w:rPr>
      </w:pPr>
      <w:r>
        <w:rPr>
          <w:rFonts w:ascii="Arial" w:cs="Arial" w:eastAsia="Arial" w:hAnsi="Arial"/>
          <w:sz w:val="16"/>
          <w:szCs w:val="16"/>
          <w:color w:val="auto"/>
        </w:rPr>
        <w:t>Other contract research and development revenue includes $1.4 million and $1.6 million, respectively, recognized in the second quarter of 2008 and 2007 in connection with our five-year grant from the NIH, which we were awarded in September 2006 as part of the NIH’s Knockout Mouse Project.</w:t>
      </w:r>
    </w:p>
    <w:p>
      <w:pPr>
        <w:spacing w:after="0" w:line="20" w:lineRule="exact"/>
        <w:rPr>
          <w:sz w:val="20"/>
          <w:szCs w:val="20"/>
          <w:color w:val="auto"/>
        </w:rPr>
      </w:pPr>
    </w:p>
    <w:p>
      <w:pPr>
        <w:ind w:right="120" w:firstLine="225"/>
        <w:spacing w:after="0" w:line="235" w:lineRule="auto"/>
        <w:rPr>
          <w:sz w:val="20"/>
          <w:szCs w:val="20"/>
          <w:color w:val="auto"/>
        </w:rPr>
      </w:pPr>
      <w:r>
        <w:rPr>
          <w:rFonts w:ascii="Arial" w:cs="Arial" w:eastAsia="Arial" w:hAnsi="Arial"/>
          <w:sz w:val="17"/>
          <w:szCs w:val="17"/>
          <w:color w:val="auto"/>
        </w:rPr>
        <w:t xml:space="preserve">In connection with our </w:t>
      </w:r>
      <w:r>
        <w:rPr>
          <w:rFonts w:ascii="Arial" w:cs="Arial" w:eastAsia="Arial" w:hAnsi="Arial"/>
          <w:sz w:val="17"/>
          <w:szCs w:val="17"/>
          <w:i w:val="1"/>
          <w:iCs w:val="1"/>
          <w:color w:val="auto"/>
        </w:rPr>
        <w:t>VelocImmune</w:t>
      </w:r>
      <w:r>
        <w:rPr>
          <w:rFonts w:ascii="Arial" w:cs="Arial" w:eastAsia="Arial" w:hAnsi="Arial"/>
          <w:sz w:val="28"/>
          <w:szCs w:val="28"/>
          <w:i w:val="1"/>
          <w:iCs w:val="1"/>
          <w:color w:val="auto"/>
          <w:vertAlign w:val="superscript"/>
        </w:rPr>
        <w:t>®</w:t>
      </w:r>
      <w:r>
        <w:rPr>
          <w:rFonts w:ascii="Arial" w:cs="Arial" w:eastAsia="Arial" w:hAnsi="Arial"/>
          <w:sz w:val="17"/>
          <w:szCs w:val="17"/>
          <w:color w:val="auto"/>
        </w:rPr>
        <w:t xml:space="preserve"> license agreements with AstraZeneca and Astellas, each of the $20.0 million annual, non-refundable payments is deferred upon receipt and recognized as revenue ratably over approximately the ensuing year of each agreement. In the second quarter of 2008 and 2007, we recognized $10.0 million and $6.3 million, respectively, of technology licensing revenue related to these agreements.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right="200" w:firstLine="222"/>
        <w:spacing w:after="0" w:line="259" w:lineRule="auto"/>
        <w:rPr>
          <w:sz w:val="20"/>
          <w:szCs w:val="20"/>
          <w:color w:val="auto"/>
        </w:rPr>
      </w:pPr>
      <w:r>
        <w:rPr>
          <w:rFonts w:ascii="Arial" w:cs="Arial" w:eastAsia="Arial" w:hAnsi="Arial"/>
          <w:sz w:val="18"/>
          <w:szCs w:val="18"/>
          <w:color w:val="auto"/>
        </w:rPr>
        <w:t>Total operating expenses increased to $80.0 million in the second quarter of 2008 from $52.8 million in the same period of 2007. Our average headcount increased to 771 in the second quarter of 2008 from 618 in the same period of 2007 primarily to support expanding research and development activities for our development programs, including ARCALYST</w:t>
      </w:r>
      <w:r>
        <w:rPr>
          <w:rFonts w:ascii="Arial" w:cs="Arial" w:eastAsia="Arial" w:hAnsi="Arial"/>
          <w:sz w:val="15"/>
          <w:szCs w:val="15"/>
          <w:color w:val="auto"/>
        </w:rPr>
        <w:t>®</w:t>
      </w:r>
      <w:r>
        <w:rPr>
          <w:rFonts w:ascii="Arial" w:cs="Arial" w:eastAsia="Arial" w:hAnsi="Arial"/>
          <w:sz w:val="18"/>
          <w:szCs w:val="18"/>
          <w:color w:val="auto"/>
        </w:rPr>
        <w:t xml:space="preserve"> (rilonacept), aflibercept, VEGF Trap-Eye, and monoclonal antibodies (such as REGN88 and the Dll4 antibody).</w:t>
      </w:r>
    </w:p>
    <w:p>
      <w:pPr>
        <w:spacing w:after="0" w:line="79" w:lineRule="exact"/>
        <w:rPr>
          <w:sz w:val="20"/>
          <w:szCs w:val="20"/>
          <w:color w:val="auto"/>
        </w:rPr>
      </w:pPr>
    </w:p>
    <w:p>
      <w:pPr>
        <w:ind w:right="580" w:firstLine="225"/>
        <w:spacing w:after="0" w:line="308" w:lineRule="auto"/>
        <w:rPr>
          <w:sz w:val="20"/>
          <w:szCs w:val="20"/>
          <w:color w:val="auto"/>
        </w:rPr>
      </w:pPr>
      <w:r>
        <w:rPr>
          <w:rFonts w:ascii="Arial" w:cs="Arial" w:eastAsia="Arial" w:hAnsi="Arial"/>
          <w:sz w:val="17"/>
          <w:szCs w:val="17"/>
          <w:color w:val="auto"/>
        </w:rPr>
        <w:t>Operating expenses in the second quarter of 2008 and 2007 include a total of $8.2 million and $6.9 million, respectively, of non-cash compensation expense related to employee stock option and restricted stock awards (Non-cash Compensation Expense), as detailed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For the three months ended June 30, 2008</w:t>
            </w:r>
          </w:p>
        </w:tc>
        <w:tc>
          <w:tcPr>
            <w:tcW w:w="2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40" w:type="dxa"/>
            <w:vAlign w:val="bottom"/>
            <w:gridSpan w:val="2"/>
          </w:tcPr>
          <w:p>
            <w:pPr>
              <w:jc w:val="center"/>
              <w:ind w:right="720"/>
              <w:spacing w:after="0" w:line="119" w:lineRule="exact"/>
              <w:rPr>
                <w:sz w:val="20"/>
                <w:szCs w:val="20"/>
                <w:color w:val="auto"/>
              </w:rPr>
            </w:pPr>
            <w:r>
              <w:rPr>
                <w:rFonts w:ascii="Arial" w:cs="Arial" w:eastAsia="Arial" w:hAnsi="Arial"/>
                <w:sz w:val="13"/>
                <w:szCs w:val="13"/>
                <w:b w:val="1"/>
                <w:bCs w:val="1"/>
                <w:color w:val="auto"/>
                <w:w w:val="94"/>
              </w:rPr>
              <w:t>Expenses before</w:t>
            </w:r>
          </w:p>
        </w:tc>
        <w:tc>
          <w:tcPr>
            <w:tcW w:w="120" w:type="dxa"/>
            <w:vAlign w:val="bottom"/>
          </w:tcPr>
          <w:p>
            <w:pPr>
              <w:spacing w:after="0"/>
              <w:rPr>
                <w:sz w:val="10"/>
                <w:szCs w:val="10"/>
                <w:color w:val="auto"/>
              </w:rPr>
            </w:pPr>
          </w:p>
        </w:tc>
        <w:tc>
          <w:tcPr>
            <w:tcW w:w="140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w w:val="93"/>
              </w:rPr>
              <w:t>Non-cash</w:t>
            </w: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2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inclusion of Non-</w:t>
            </w: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84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84"/>
              </w:rPr>
              <w:t>Expenses as</w:t>
            </w:r>
          </w:p>
        </w:tc>
        <w:tc>
          <w:tcPr>
            <w:tcW w:w="0" w:type="dxa"/>
            <w:vAlign w:val="bottom"/>
          </w:tcPr>
          <w:p>
            <w:pPr>
              <w:spacing w:after="0"/>
              <w:rPr>
                <w:sz w:val="1"/>
                <w:szCs w:val="1"/>
                <w:color w:val="auto"/>
              </w:rPr>
            </w:pPr>
          </w:p>
        </w:tc>
      </w:tr>
      <w:tr>
        <w:trPr>
          <w:trHeight w:val="149"/>
        </w:trPr>
        <w:tc>
          <w:tcPr>
            <w:tcW w:w="4100" w:type="dxa"/>
            <w:vAlign w:val="bottom"/>
            <w:vMerge w:val="restart"/>
          </w:tcPr>
          <w:p>
            <w:pPr>
              <w:spacing w:after="0"/>
              <w:rPr>
                <w:sz w:val="20"/>
                <w:szCs w:val="20"/>
                <w:color w:val="auto"/>
              </w:rPr>
            </w:pPr>
            <w:r>
              <w:rPr>
                <w:rFonts w:ascii="Arial" w:cs="Arial" w:eastAsia="Arial" w:hAnsi="Arial"/>
                <w:sz w:val="14"/>
                <w:szCs w:val="14"/>
                <w:b w:val="1"/>
                <w:bCs w:val="1"/>
                <w:color w:val="auto"/>
              </w:rPr>
              <w:t>Expenses</w:t>
            </w:r>
          </w:p>
        </w:tc>
        <w:tc>
          <w:tcPr>
            <w:tcW w:w="2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2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w w:val="87"/>
              </w:rPr>
              <w:t>cash Compensation</w:t>
            </w:r>
          </w:p>
        </w:tc>
        <w:tc>
          <w:tcPr>
            <w:tcW w:w="152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00" w:type="dxa"/>
            <w:vAlign w:val="bottom"/>
            <w:vMerge w:val="continue"/>
          </w:tcPr>
          <w:p>
            <w:pPr>
              <w:spacing w:after="0"/>
              <w:rPr>
                <w:sz w:val="14"/>
                <w:szCs w:val="14"/>
                <w:color w:val="auto"/>
              </w:rPr>
            </w:pPr>
          </w:p>
        </w:tc>
        <w:tc>
          <w:tcPr>
            <w:tcW w:w="2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6"/>
              </w:rPr>
              <w:t>Expense</w:t>
            </w:r>
          </w:p>
        </w:tc>
        <w:tc>
          <w:tcPr>
            <w:tcW w:w="120" w:type="dxa"/>
            <w:vAlign w:val="bottom"/>
          </w:tcPr>
          <w:p>
            <w:pPr>
              <w:spacing w:after="0"/>
              <w:rPr>
                <w:sz w:val="14"/>
                <w:szCs w:val="14"/>
                <w:color w:val="auto"/>
              </w:rPr>
            </w:pPr>
          </w:p>
        </w:tc>
        <w:tc>
          <w:tcPr>
            <w:tcW w:w="14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7"/>
              </w:rPr>
              <w:t>Expense</w:t>
            </w: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rPr>
              <w:t>Reported</w:t>
            </w:r>
          </w:p>
        </w:tc>
        <w:tc>
          <w:tcPr>
            <w:tcW w:w="0" w:type="dxa"/>
            <w:vAlign w:val="bottom"/>
          </w:tcPr>
          <w:p>
            <w:pPr>
              <w:spacing w:after="0"/>
              <w:rPr>
                <w:sz w:val="1"/>
                <w:szCs w:val="1"/>
                <w:color w:val="auto"/>
              </w:rPr>
            </w:pPr>
          </w:p>
        </w:tc>
      </w:tr>
      <w:tr>
        <w:trPr>
          <w:trHeight w:val="142"/>
        </w:trPr>
        <w:tc>
          <w:tcPr>
            <w:tcW w:w="41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260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61.7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gridSpan w:val="2"/>
          </w:tcPr>
          <w:p>
            <w:pPr>
              <w:jc w:val="right"/>
              <w:ind w:right="6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3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71.8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8.2</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r>
              <w:rPr>
                <w:rFonts w:ascii="Arial" w:cs="Arial" w:eastAsia="Arial" w:hAnsi="Arial"/>
                <w:sz w:val="18"/>
                <w:szCs w:val="18"/>
                <w:u w:val="single" w:color="auto"/>
                <w:color w:val="auto"/>
              </w:rPr>
              <w:t>0</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600" w:type="dxa"/>
            <w:vAlign w:val="bottom"/>
            <w:vMerge w:val="restart"/>
          </w:tcPr>
          <w:p>
            <w:pPr>
              <w:jc w:val="right"/>
              <w:ind w:right="810"/>
              <w:spacing w:after="0"/>
              <w:rPr>
                <w:sz w:val="20"/>
                <w:szCs w:val="20"/>
                <w:color w:val="auto"/>
              </w:rPr>
            </w:pPr>
            <w:r>
              <w:rPr>
                <w:rFonts w:ascii="Arial" w:cs="Arial" w:eastAsia="Arial" w:hAnsi="Arial"/>
                <w:sz w:val="18"/>
                <w:szCs w:val="18"/>
                <w:color w:val="auto"/>
              </w:rPr>
              <w:t>30</w:t>
            </w: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10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100" w:type="dxa"/>
            <w:vAlign w:val="bottom"/>
            <w:tcBorders>
              <w:bottom w:val="single" w:sz="8" w:color="808080"/>
            </w:tcBorders>
          </w:tcPr>
          <w:p>
            <w:pPr>
              <w:spacing w:after="0"/>
              <w:rPr>
                <w:sz w:val="19"/>
                <w:szCs w:val="19"/>
                <w:color w:val="auto"/>
              </w:rPr>
            </w:pPr>
          </w:p>
        </w:tc>
        <w:tc>
          <w:tcPr>
            <w:tcW w:w="26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For the three months ended June 30, 2007</w:t>
            </w:r>
          </w:p>
        </w:tc>
        <w:tc>
          <w:tcPr>
            <w:tcW w:w="2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40" w:type="dxa"/>
            <w:vAlign w:val="bottom"/>
            <w:gridSpan w:val="2"/>
          </w:tcPr>
          <w:p>
            <w:pPr>
              <w:jc w:val="center"/>
              <w:ind w:right="720"/>
              <w:spacing w:after="0" w:line="119" w:lineRule="exact"/>
              <w:rPr>
                <w:sz w:val="20"/>
                <w:szCs w:val="20"/>
                <w:color w:val="auto"/>
              </w:rPr>
            </w:pPr>
            <w:r>
              <w:rPr>
                <w:rFonts w:ascii="Arial" w:cs="Arial" w:eastAsia="Arial" w:hAnsi="Arial"/>
                <w:sz w:val="13"/>
                <w:szCs w:val="13"/>
                <w:b w:val="1"/>
                <w:bCs w:val="1"/>
                <w:color w:val="auto"/>
                <w:w w:val="94"/>
              </w:rPr>
              <w:t>Expenses before</w:t>
            </w:r>
          </w:p>
        </w:tc>
        <w:tc>
          <w:tcPr>
            <w:tcW w:w="120" w:type="dxa"/>
            <w:vAlign w:val="bottom"/>
          </w:tcPr>
          <w:p>
            <w:pPr>
              <w:spacing w:after="0"/>
              <w:rPr>
                <w:sz w:val="10"/>
                <w:szCs w:val="10"/>
                <w:color w:val="auto"/>
              </w:rPr>
            </w:pPr>
          </w:p>
        </w:tc>
        <w:tc>
          <w:tcPr>
            <w:tcW w:w="140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w w:val="93"/>
              </w:rPr>
              <w:t>Non-cash</w:t>
            </w: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2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inclusion of Non-</w:t>
            </w: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6"/>
              </w:rPr>
              <w:t>Expenses as</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80" w:type="dxa"/>
            <w:vAlign w:val="bottom"/>
            <w:tcBorders>
              <w:bottom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1820" w:type="dxa"/>
            <w:vAlign w:val="bottom"/>
            <w:gridSpan w:val="3"/>
          </w:tcPr>
          <w:p>
            <w:pPr>
              <w:jc w:val="center"/>
              <w:ind w:right="640"/>
              <w:spacing w:after="0" w:line="158" w:lineRule="exact"/>
              <w:rPr>
                <w:sz w:val="20"/>
                <w:szCs w:val="20"/>
                <w:color w:val="auto"/>
              </w:rPr>
            </w:pPr>
            <w:r>
              <w:rPr>
                <w:rFonts w:ascii="Arial" w:cs="Arial" w:eastAsia="Arial" w:hAnsi="Arial"/>
                <w:sz w:val="14"/>
                <w:szCs w:val="14"/>
                <w:b w:val="1"/>
                <w:bCs w:val="1"/>
                <w:color w:val="auto"/>
                <w:w w:val="88"/>
              </w:rPr>
              <w:t>cash Compensation</w:t>
            </w:r>
          </w:p>
        </w:tc>
        <w:tc>
          <w:tcPr>
            <w:tcW w:w="1520" w:type="dxa"/>
            <w:vAlign w:val="bottom"/>
            <w:gridSpan w:val="3"/>
          </w:tcPr>
          <w:p>
            <w:pPr>
              <w:jc w:val="right"/>
              <w:ind w:right="640"/>
              <w:spacing w:after="0" w:line="158" w:lineRule="exact"/>
              <w:rPr>
                <w:sz w:val="20"/>
                <w:szCs w:val="20"/>
                <w:color w:val="auto"/>
              </w:rPr>
            </w:pPr>
            <w:r>
              <w:rPr>
                <w:rFonts w:ascii="Arial" w:cs="Arial" w:eastAsia="Arial" w:hAnsi="Arial"/>
                <w:sz w:val="14"/>
                <w:szCs w:val="14"/>
                <w:b w:val="1"/>
                <w:bCs w:val="1"/>
                <w:color w:val="auto"/>
                <w:w w:val="88"/>
              </w:rPr>
              <w:t>Compensation</w:t>
            </w:r>
          </w:p>
        </w:tc>
        <w:tc>
          <w:tcPr>
            <w:tcW w:w="8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tcPr>
          <w:p>
            <w:pPr>
              <w:spacing w:after="0" w:line="142" w:lineRule="exact"/>
              <w:rPr>
                <w:sz w:val="20"/>
                <w:szCs w:val="20"/>
                <w:color w:val="auto"/>
              </w:rPr>
            </w:pPr>
            <w:r>
              <w:rPr>
                <w:rFonts w:ascii="Arial" w:cs="Arial" w:eastAsia="Arial" w:hAnsi="Arial"/>
                <w:sz w:val="14"/>
                <w:szCs w:val="14"/>
                <w:b w:val="1"/>
                <w:bCs w:val="1"/>
                <w:color w:val="auto"/>
              </w:rPr>
              <w:t>Expenses</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2"/>
          </w:tcPr>
          <w:p>
            <w:pPr>
              <w:jc w:val="center"/>
              <w:ind w:right="720"/>
              <w:spacing w:after="0" w:line="142" w:lineRule="exact"/>
              <w:rPr>
                <w:sz w:val="20"/>
                <w:szCs w:val="20"/>
                <w:color w:val="auto"/>
              </w:rPr>
            </w:pPr>
            <w:r>
              <w:rPr>
                <w:rFonts w:ascii="Arial" w:cs="Arial" w:eastAsia="Arial" w:hAnsi="Arial"/>
                <w:sz w:val="14"/>
                <w:szCs w:val="14"/>
                <w:b w:val="1"/>
                <w:bCs w:val="1"/>
                <w:color w:val="auto"/>
                <w:w w:val="86"/>
              </w:rPr>
              <w:t>Expense</w:t>
            </w:r>
          </w:p>
        </w:tc>
        <w:tc>
          <w:tcPr>
            <w:tcW w:w="120" w:type="dxa"/>
            <w:vAlign w:val="bottom"/>
          </w:tcPr>
          <w:p>
            <w:pPr>
              <w:spacing w:after="0"/>
              <w:rPr>
                <w:sz w:val="12"/>
                <w:szCs w:val="12"/>
                <w:color w:val="auto"/>
              </w:rPr>
            </w:pPr>
          </w:p>
        </w:tc>
        <w:tc>
          <w:tcPr>
            <w:tcW w:w="1400" w:type="dxa"/>
            <w:vAlign w:val="bottom"/>
            <w:gridSpan w:val="2"/>
          </w:tcPr>
          <w:p>
            <w:pPr>
              <w:jc w:val="right"/>
              <w:ind w:right="820"/>
              <w:spacing w:after="0" w:line="142" w:lineRule="exact"/>
              <w:rPr>
                <w:sz w:val="20"/>
                <w:szCs w:val="20"/>
                <w:color w:val="auto"/>
              </w:rPr>
            </w:pPr>
            <w:r>
              <w:rPr>
                <w:rFonts w:ascii="Arial" w:cs="Arial" w:eastAsia="Arial" w:hAnsi="Arial"/>
                <w:sz w:val="14"/>
                <w:szCs w:val="14"/>
                <w:b w:val="1"/>
                <w:bCs w:val="1"/>
                <w:color w:val="auto"/>
                <w:w w:val="97"/>
              </w:rPr>
              <w:t>Expense</w:t>
            </w:r>
          </w:p>
        </w:tc>
        <w:tc>
          <w:tcPr>
            <w:tcW w:w="84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Reported</w:t>
            </w:r>
          </w:p>
        </w:tc>
        <w:tc>
          <w:tcPr>
            <w:tcW w:w="0" w:type="dxa"/>
            <w:vAlign w:val="bottom"/>
          </w:tcPr>
          <w:p>
            <w:pPr>
              <w:spacing w:after="0"/>
              <w:rPr>
                <w:sz w:val="1"/>
                <w:szCs w:val="1"/>
                <w:color w:val="auto"/>
              </w:rPr>
            </w:pPr>
          </w:p>
        </w:tc>
      </w:tr>
      <w:tr>
        <w:trPr>
          <w:trHeight w:val="142"/>
        </w:trPr>
        <w:tc>
          <w:tcPr>
            <w:tcW w:w="67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5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Pr>
          <w:p>
            <w:pPr>
              <w:spacing w:after="0"/>
              <w:rPr>
                <w:sz w:val="18"/>
                <w:szCs w:val="18"/>
                <w:color w:val="auto"/>
              </w:rPr>
            </w:pPr>
          </w:p>
        </w:tc>
        <w:tc>
          <w:tcPr>
            <w:tcW w:w="1740" w:type="dxa"/>
            <w:vAlign w:val="bottom"/>
            <w:gridSpan w:val="2"/>
          </w:tcPr>
          <w:p>
            <w:pPr>
              <w:jc w:val="right"/>
              <w:ind w:right="64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45.9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6.9</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r>
              <w:rPr>
                <w:rFonts w:ascii="Arial" w:cs="Arial" w:eastAsia="Arial" w:hAnsi="Arial"/>
                <w:sz w:val="18"/>
                <w:szCs w:val="18"/>
                <w:u w:val="single" w:color="auto"/>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720" w:firstLine="225"/>
        <w:spacing w:after="0" w:line="342" w:lineRule="auto"/>
        <w:rPr>
          <w:sz w:val="20"/>
          <w:szCs w:val="20"/>
          <w:color w:val="auto"/>
        </w:rPr>
      </w:pPr>
      <w:r>
        <w:rPr>
          <w:rFonts w:ascii="Arial" w:cs="Arial" w:eastAsia="Arial" w:hAnsi="Arial"/>
          <w:sz w:val="16"/>
          <w:szCs w:val="16"/>
          <w:color w:val="auto"/>
        </w:rPr>
        <w:t>Research and development expenses increased to $66.6 million in the second quarter of 2008 from $43.9 million in the same period of 2007. The following table summarizes the major categories of our research and development expenses for the three months ended June 30, 2008 and 2007:</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7"/>
          </w:tcPr>
          <w:p>
            <w:pPr>
              <w:jc w:val="right"/>
              <w:ind w:right="68"/>
              <w:spacing w:after="0"/>
              <w:rPr>
                <w:sz w:val="20"/>
                <w:szCs w:val="20"/>
                <w:color w:val="auto"/>
              </w:rPr>
            </w:pPr>
            <w:r>
              <w:rPr>
                <w:rFonts w:ascii="Arial" w:cs="Arial" w:eastAsia="Arial" w:hAnsi="Arial"/>
                <w:sz w:val="14"/>
                <w:szCs w:val="14"/>
                <w:b w:val="1"/>
                <w:bCs w:val="1"/>
                <w:color w:val="auto"/>
              </w:rPr>
              <w:t>For the three months ended June 30,</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73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7300" w:type="dxa"/>
            <w:vAlign w:val="bottom"/>
          </w:tcPr>
          <w:p>
            <w:pPr>
              <w:spacing w:after="0" w:line="142" w:lineRule="exact"/>
              <w:rPr>
                <w:sz w:val="20"/>
                <w:szCs w:val="20"/>
                <w:color w:val="auto"/>
              </w:rPr>
            </w:pPr>
            <w:r>
              <w:rPr>
                <w:rFonts w:ascii="Arial" w:cs="Arial" w:eastAsia="Arial" w:hAnsi="Arial"/>
                <w:sz w:val="14"/>
                <w:szCs w:val="14"/>
                <w:b w:val="1"/>
                <w:bCs w:val="1"/>
                <w:color w:val="auto"/>
              </w:rPr>
              <w:t>Research and development expenses</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w w:val="89"/>
              </w:rPr>
              <w:t>(Decrease)</w:t>
            </w:r>
          </w:p>
        </w:tc>
      </w:tr>
      <w:tr>
        <w:trPr>
          <w:trHeight w:val="142"/>
        </w:trPr>
        <w:tc>
          <w:tcPr>
            <w:tcW w:w="73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5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Payroll and benefits (1)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14.4</w:t>
            </w:r>
          </w:p>
        </w:tc>
        <w:tc>
          <w:tcPr>
            <w:tcW w:w="5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Clinical trial expenses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6.5</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Clinical manufacturing costs (2)</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11.5</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Research and preclinical development costs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6.1</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Occupancy and other operating costs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Cost-sharing of Bayer HealthCare VEGF Trap-Eye development expenses (3)</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research and development expenses</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66.</w:t>
            </w:r>
            <w:r>
              <w:rPr>
                <w:rFonts w:ascii="Arial" w:cs="Arial" w:eastAsia="Arial" w:hAnsi="Arial"/>
                <w:sz w:val="18"/>
                <w:szCs w:val="18"/>
                <w:u w:val="single" w:color="auto"/>
                <w:color w:val="auto"/>
              </w:rPr>
              <w:t>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w:t>
            </w:r>
            <w:r>
              <w:rPr>
                <w:rFonts w:ascii="Arial" w:cs="Arial" w:eastAsia="Arial" w:hAnsi="Arial"/>
                <w:sz w:val="18"/>
                <w:szCs w:val="18"/>
                <w:u w:val="single" w:color="auto"/>
                <w:color w:val="auto"/>
              </w:rPr>
              <w:t>9</w:t>
            </w:r>
          </w:p>
        </w:tc>
        <w:tc>
          <w:tcPr>
            <w:tcW w:w="5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Includes $4.2 million and $3.3 million of Non-cash Compensation Expense for the three months ended June 30, 2008 and 2007, respectively.</w:t>
      </w:r>
    </w:p>
    <w:p>
      <w:pPr>
        <w:spacing w:after="0" w:line="88" w:lineRule="exact"/>
        <w:rPr>
          <w:rFonts w:ascii="Arial" w:cs="Arial" w:eastAsia="Arial" w:hAnsi="Arial"/>
          <w:sz w:val="17"/>
          <w:szCs w:val="17"/>
          <w:color w:val="auto"/>
        </w:rPr>
      </w:pPr>
    </w:p>
    <w:p>
      <w:pPr>
        <w:jc w:val="both"/>
        <w:ind w:left="460" w:right="220" w:hanging="452"/>
        <w:spacing w:after="0" w:line="286"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Represents the full cost of manufacturing drug for use in research, preclinical development, and clinical trials, including related payroll and benefits, Non-cash Compensation Expense, manufacturing materials and supplies, depreciation, and occupancy costs of our Rensselaer manufacturing facility. Includes $0.7 million of Non-cash Compensation Expense for both the three months ended June 30, 2008 and 2007.</w:t>
      </w:r>
    </w:p>
    <w:p>
      <w:pPr>
        <w:spacing w:after="0" w:line="16" w:lineRule="exact"/>
        <w:rPr>
          <w:rFonts w:ascii="Arial" w:cs="Arial" w:eastAsia="Arial" w:hAnsi="Arial"/>
          <w:sz w:val="17"/>
          <w:szCs w:val="17"/>
          <w:color w:val="auto"/>
        </w:rPr>
      </w:pPr>
    </w:p>
    <w:p>
      <w:pPr>
        <w:ind w:left="460" w:right="20" w:hanging="452"/>
        <w:spacing w:after="0" w:line="255"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Under our collaboration with Bayer HealthCare, in periods when Bayer HealthCare incurs VEGF Trap-Eye development expenses, we also recognize, as additional research and development expense, the portion of their VEGF Trap-Eye development expenses that we are obligated to reimburse. Bayer HealthCare provides us with estimated VEGF Trap-Eye development expenses for the most recent interim fiscal quarter. Bayer HealthCare’s estimate is reconciled to their actual expenses for such quarter in the subsequent interim quarter and our portion of their VEGF Trap-Eye development expenses that we are obligated to reimburse is adjusted accordingly. In the fourth quarter of 2007, we commenced recognizing cost-sharing of our and Bayer Healthcare’s VEGF Trap-Eye development expenses.</w:t>
      </w:r>
    </w:p>
    <w:p>
      <w:pPr>
        <w:spacing w:after="0" w:line="85" w:lineRule="exact"/>
        <w:rPr>
          <w:sz w:val="20"/>
          <w:szCs w:val="20"/>
          <w:color w:val="auto"/>
        </w:rPr>
      </w:pPr>
    </w:p>
    <w:p>
      <w:pPr>
        <w:ind w:right="20" w:firstLine="225"/>
        <w:spacing w:after="0" w:line="237" w:lineRule="auto"/>
        <w:rPr>
          <w:sz w:val="20"/>
          <w:szCs w:val="20"/>
          <w:color w:val="auto"/>
        </w:rPr>
      </w:pPr>
      <w:r>
        <w:rPr>
          <w:rFonts w:ascii="Arial" w:cs="Arial" w:eastAsia="Arial" w:hAnsi="Arial"/>
          <w:sz w:val="18"/>
          <w:szCs w:val="18"/>
          <w:color w:val="auto"/>
        </w:rPr>
        <w:t>Payroll and benefits increased principally due to the increase in employee headcount, as described above. Clinical trial expenses increased due primarily to higher costs related to our Phase 3 study of VEGF Trap-Eye in wet AMD, which we initiated in the third quarter of 2007, and higher ARCALYST</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(rilonacept) costs, primarily related to our Phase 2 gout-induced flares clinical study. These increases were partially offset by lower costs related to our Phase 1 and 2 studies of VEGF Trap-Eye in wet AMD. Clinical manufacturing costs increased due primarily to higher expenses related to REGN88, VEGF Trap-Eye, and our Dll4 antibody, partially offset by lower costs related to ARCALYST and aflibercept. Research and preclinical development costs increased primarily due to higher research and preclinical costs related to antibodies, including our Dll4 antibody, partially offset by lower preclinical costs associated with aflibercept, VEGF</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Trap-Eye, and ARCALYST. Occupancy and other operating costs primarily increased in connection with our higher headcount and to support our expanded research and development activities. Cost-sharing of Bayer HealthCare VEGF Trap-Eye development expenses consists of $12.5 million of estimated second quarter expense less a $3.7 million adjustment to reconcile Bayer HealthCare’s actual first quarter 2008 VEGF Trap-Eye development expenses to their prior first quarter estimate of their VEGF Trap-Eye development expenses.</w:t>
      </w:r>
    </w:p>
    <w:p>
      <w:pPr>
        <w:spacing w:after="0" w:line="79"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We budget our research and development costs by expense category, rather than by project. We also prepare estimates of research and development cost for projects in clinical development, which include direct costs and allocations of certain costs such as indirect labor, Non-cash Compensation Expense, and manufacturing and other costs related to activities that benefit multiple projects, and, under our collaboration with Bayer HealthCare, the portion of Bayer HealthCare’s VEGF Trap-Eye development expenses that we are obligated to reimburse. Our estimates of research and development costs for clinical development programs are shown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8"/>
          </w:tcPr>
          <w:p>
            <w:pPr>
              <w:jc w:val="right"/>
              <w:ind w:right="69"/>
              <w:spacing w:after="0"/>
              <w:rPr>
                <w:sz w:val="20"/>
                <w:szCs w:val="20"/>
                <w:color w:val="auto"/>
              </w:rPr>
            </w:pPr>
            <w:r>
              <w:rPr>
                <w:rFonts w:ascii="Arial" w:cs="Arial" w:eastAsia="Arial" w:hAnsi="Arial"/>
                <w:sz w:val="14"/>
                <w:szCs w:val="14"/>
                <w:b w:val="1"/>
                <w:bCs w:val="1"/>
                <w:color w:val="auto"/>
              </w:rPr>
              <w:t>For the three months ended June 30,</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320" w:type="dxa"/>
            <w:vAlign w:val="bottom"/>
            <w:vMerge w:val="restart"/>
          </w:tcPr>
          <w:p>
            <w:pPr>
              <w:spacing w:after="0"/>
              <w:rPr>
                <w:sz w:val="20"/>
                <w:szCs w:val="20"/>
                <w:color w:val="auto"/>
              </w:rPr>
            </w:pPr>
            <w:r>
              <w:rPr>
                <w:rFonts w:ascii="Arial" w:cs="Arial" w:eastAsia="Arial" w:hAnsi="Arial"/>
                <w:sz w:val="14"/>
                <w:szCs w:val="14"/>
                <w:b w:val="1"/>
                <w:bCs w:val="1"/>
                <w:color w:val="auto"/>
              </w:rPr>
              <w:t>Project Costs</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3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42"/>
        </w:trPr>
        <w:tc>
          <w:tcPr>
            <w:tcW w:w="73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ARCALYST</w:t>
            </w:r>
            <w:r>
              <w:rPr>
                <w:rFonts w:ascii="Arial" w:cs="Arial" w:eastAsia="Arial" w:hAnsi="Arial"/>
                <w:sz w:val="15"/>
                <w:szCs w:val="15"/>
                <w:color w:val="auto"/>
              </w:rPr>
              <w:t>®</w:t>
            </w:r>
            <w:r>
              <w:rPr>
                <w:rFonts w:ascii="Arial" w:cs="Arial" w:eastAsia="Arial" w:hAnsi="Arial"/>
                <w:sz w:val="18"/>
                <w:szCs w:val="18"/>
                <w:color w:val="auto"/>
              </w:rPr>
              <w:t xml:space="preserve"> (rilonacept)</w:t>
            </w:r>
          </w:p>
        </w:tc>
        <w:tc>
          <w:tcPr>
            <w:tcW w:w="7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w:t>
            </w:r>
          </w:p>
        </w:tc>
        <w:tc>
          <w:tcPr>
            <w:tcW w:w="56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Aflibercept</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VEGF Trap-Eye</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8.4</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REGN88</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research programs &amp; unallocated costs</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17.4</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7320" w:type="dxa"/>
            <w:vAlign w:val="bottom"/>
          </w:tcPr>
          <w:p>
            <w:pPr>
              <w:ind w:left="220"/>
              <w:spacing w:after="0"/>
              <w:rPr>
                <w:sz w:val="20"/>
                <w:szCs w:val="20"/>
                <w:color w:val="auto"/>
              </w:rPr>
            </w:pPr>
            <w:r>
              <w:rPr>
                <w:rFonts w:ascii="Arial" w:cs="Arial" w:eastAsia="Arial" w:hAnsi="Arial"/>
                <w:sz w:val="18"/>
                <w:szCs w:val="18"/>
                <w:color w:val="auto"/>
              </w:rPr>
              <w:t>Total research and development expenses</w:t>
            </w:r>
          </w:p>
        </w:tc>
        <w:tc>
          <w:tcPr>
            <w:tcW w:w="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r>
              <w:rPr>
                <w:rFonts w:ascii="Arial" w:cs="Arial" w:eastAsia="Arial" w:hAnsi="Arial"/>
                <w:sz w:val="18"/>
                <w:szCs w:val="18"/>
                <w:u w:val="single" w:color="auto"/>
                <w:color w:val="auto"/>
              </w:rPr>
              <w:t>6</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r>
              <w:rPr>
                <w:rFonts w:ascii="Arial" w:cs="Arial" w:eastAsia="Arial" w:hAnsi="Arial"/>
                <w:sz w:val="18"/>
                <w:szCs w:val="18"/>
                <w:u w:val="single" w:color="auto"/>
                <w:color w:val="auto"/>
              </w:rPr>
              <w:t>9</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r>
              <w:rPr>
                <w:rFonts w:ascii="Arial" w:cs="Arial" w:eastAsia="Arial" w:hAnsi="Arial"/>
                <w:sz w:val="18"/>
                <w:szCs w:val="18"/>
                <w:u w:val="single" w:color="auto"/>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25"/>
        <w:spacing w:after="0" w:line="268" w:lineRule="auto"/>
        <w:rPr>
          <w:sz w:val="20"/>
          <w:szCs w:val="20"/>
          <w:color w:val="auto"/>
        </w:rPr>
      </w:pPr>
      <w:r>
        <w:rPr>
          <w:rFonts w:ascii="Arial" w:cs="Arial" w:eastAsia="Arial" w:hAnsi="Arial"/>
          <w:sz w:val="17"/>
          <w:szCs w:val="17"/>
          <w:color w:val="auto"/>
        </w:rPr>
        <w:t>Drug development and approval in the United States is a multi-step process regulated by the FDA. The process begins with discovery and preclinical evaluation, leading up to the submission of an IND to the FDA which, if successful, allows the opportunity for study in humans, or clinical study, of the potential new drug. Clinical development typically involves three phases of study: Phase 1, 2, and 3. The most significant costs in clinical development are in Phase 3 clinical trials, as they tend to be the longest and largest studies in the drug development process. Following successful completion of Phase 3 clinical trials for a biological product, a biologics license application (or BLA) must be submitted to, and accepted by, the FDA, and the FDA must approve the BLA prior to commercialization of the drug. It is not uncommon for the FDA to request additional data following its review of a BLA, which can significantly increase the drug development timeline and expenses. We may elect either on our own, or at the request of the FDA, to conduct further studies that are referred to as Phase 3B and 4 studies. Phase 3B studies are initiated and either completed or substantially completed while the BLA is under FDA review. These studies are conducted under an IND. Phase 4 studies, also referred to as post-marketing studies, are studies that are initiated and conducted after the FDA has approved a product for marketing. In addition, as discovery research, preclinical development, and clinical programs progress, opportunities to expand development of drug candidates into new disease indications can emerge. We may elect to add such new disease indications to our development efforts (with the approval of our collaborator for joint development programs), thereby extending the period in which we will be developing a product. For example, we, and our collaborators, where applicable, continue to explore further development of ARCALYST, aflibercept, and VEGF Trap-Eye in different disease indications.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222"/>
        <w:spacing w:after="0" w:line="291" w:lineRule="auto"/>
        <w:rPr>
          <w:sz w:val="20"/>
          <w:szCs w:val="20"/>
          <w:color w:val="auto"/>
        </w:rPr>
      </w:pPr>
      <w:r>
        <w:rPr>
          <w:rFonts w:ascii="Arial" w:cs="Arial" w:eastAsia="Arial" w:hAnsi="Arial"/>
          <w:sz w:val="16"/>
          <w:szCs w:val="16"/>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w:t>
      </w:r>
    </w:p>
    <w:p>
      <w:pPr>
        <w:ind w:right="300"/>
        <w:spacing w:after="0" w:line="259" w:lineRule="auto"/>
        <w:rPr>
          <w:sz w:val="20"/>
          <w:szCs w:val="20"/>
          <w:color w:val="auto"/>
        </w:rPr>
      </w:pPr>
      <w:r>
        <w:rPr>
          <w:rFonts w:ascii="Arial" w:cs="Arial" w:eastAsia="Arial" w:hAnsi="Arial"/>
          <w:sz w:val="16"/>
          <w:szCs w:val="16"/>
          <w:color w:val="auto"/>
        </w:rPr>
        <w:t>landscape affecting a product candidate, and other risks and uncertainties described in Item 1A, “Risk Factors” under “Risks Related to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(rilonacept) and the Development of Our Product Candidates,” “Regulatory and Litigation Risks,” and “Risks Related to Commercialization of Products.” The lengthy process of seeking FDA approvals, and subsequent compliance with applicable statutes and regulations, require the expenditure of substantial resources. Any failure by us to obtain, or delay in obtaining, regulatory approvals could materially adversely affect our business.</w:t>
      </w:r>
    </w:p>
    <w:p>
      <w:pPr>
        <w:spacing w:after="0" w:line="80"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For these reasons and due to the variability in the costs necessary to develop a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will generate material product revenues and net cash inflows. In the first quarter of 2008, we received FDA approval for ARCALYST for the treatment of CAPS, a group of rare, inherited auto-inflammatory diseases. These rare diseases affect a very small group of people. As a result, we can not predict whether the commercialization of ARCALYST in CAPS will result in a significant net cash benefit to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Selling, general, and administrative expenses increased to $13.4 million in the second quarter of 2008 from $8.9 million in the same period of 2007 due in part to costs associated with the launch of ARCALYST in March 2008. In addition, during the second quarter of 2008, we incurred (i) higher compensation expense due primarily to increases in selling and administrative headcount to support our expanded research and development activities and ARCALYST commercialization activities, (ii) higher recruitment and related costs associated with expanding our headcount, and (iii) higher legal expenses related to general corporate matters.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and Expense:</w:t>
      </w:r>
    </w:p>
    <w:p>
      <w:pPr>
        <w:spacing w:after="0" w:line="117"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Investment income decreased to $4.5 million in the second quarter of 2008 from $6.8 million in the comparable quarter of 2007, due primarily to lower yields on our cash and marketable securities, partly offset by higher cash and marketable security balances in 2008 versus 2007. In addition, during the second quarter of 2008, further deterioration in the credit quality of a marketable security from one issuer has subjected us to the risk of not being able to recover the security’s $0.8 million carrying value. As a result, we recognized a $0.5 million charge related to this security, which we considered to be other than temporarily impaired.</w:t>
      </w:r>
    </w:p>
    <w:p>
      <w:pPr>
        <w:spacing w:after="0" w:line="80" w:lineRule="exact"/>
        <w:rPr>
          <w:sz w:val="20"/>
          <w:szCs w:val="20"/>
          <w:color w:val="auto"/>
        </w:rPr>
      </w:pPr>
    </w:p>
    <w:p>
      <w:pPr>
        <w:jc w:val="both"/>
        <w:ind w:right="340" w:firstLine="225"/>
        <w:spacing w:after="0" w:line="264" w:lineRule="auto"/>
        <w:rPr>
          <w:sz w:val="20"/>
          <w:szCs w:val="20"/>
          <w:color w:val="auto"/>
        </w:rPr>
      </w:pPr>
      <w:r>
        <w:rPr>
          <w:rFonts w:ascii="Arial" w:cs="Arial" w:eastAsia="Arial" w:hAnsi="Arial"/>
          <w:sz w:val="18"/>
          <w:szCs w:val="18"/>
          <w:color w:val="auto"/>
        </w:rPr>
        <w:t>Interest expense of $2.7 million and $3.0 million in the second quarters of 2008 and 2007, respectively, is attributable to our 5.5% Convertible Senior Subordinated Notes due October 17, 2008. In the second quarter of 2008, we repurchased $81.3 million in principal amount of these convertible notes for $82.1 million. In connection with the repurchases, we recognized a $0.9</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million loss on early extinguishment of debt, representing the premium paid on the notes plus related unamortized debt issuance costs. At June 30, 2008, $118.7 million of the convertible notes remained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2008 and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117"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Regeneron reported a net loss of $30.1 million, or $0.38 per share (basic and diluted), for the first half of 2008 compared to a net loss of $56.7 million, or $0.86 per share (basic and diluted), for the same period of 2007. The decrease in net loss was principally due to revenues earned in the first half of 2008 in connection with our antibody collaboration with sanofi-aventis and our VEGF Trap-Eye collaboration with Bayer HealthCare, partly offset by higher research and development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Revenues for the six months ended June 30, 2008 and 2007 consist of the following:</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80" w:type="dxa"/>
            <w:vAlign w:val="bottom"/>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2008</w:t>
            </w:r>
          </w:p>
        </w:tc>
        <w:tc>
          <w:tcPr>
            <w:tcW w:w="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4"/>
                <w:szCs w:val="14"/>
                <w:color w:val="auto"/>
              </w:rPr>
            </w:pPr>
          </w:p>
        </w:tc>
      </w:tr>
      <w:tr>
        <w:trPr>
          <w:trHeight w:val="210"/>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Contract research &amp; development revenue</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980" w:type="dxa"/>
            <w:vAlign w:val="bottom"/>
          </w:tcPr>
          <w:p>
            <w:pPr>
              <w:ind w:left="220"/>
              <w:spacing w:after="0"/>
              <w:rPr>
                <w:sz w:val="20"/>
                <w:szCs w:val="20"/>
                <w:color w:val="auto"/>
              </w:rPr>
            </w:pPr>
            <w:r>
              <w:rPr>
                <w:rFonts w:ascii="Arial" w:cs="Arial" w:eastAsia="Arial" w:hAnsi="Arial"/>
                <w:sz w:val="18"/>
                <w:szCs w:val="18"/>
                <w:color w:val="auto"/>
              </w:rPr>
              <w:t>Sanofi-aventis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780"/>
              <w:spacing w:after="0"/>
              <w:rPr>
                <w:sz w:val="20"/>
                <w:szCs w:val="20"/>
                <w:color w:val="auto"/>
              </w:rPr>
            </w:pPr>
            <w:r>
              <w:rPr>
                <w:rFonts w:ascii="Arial" w:cs="Arial" w:eastAsia="Arial" w:hAnsi="Arial"/>
                <w:sz w:val="18"/>
                <w:szCs w:val="18"/>
                <w:color w:val="auto"/>
              </w:rPr>
              <w:t>74.3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25.3</w:t>
            </w:r>
          </w:p>
        </w:tc>
      </w:t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Bayer HealthCare</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19.2</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980" w:type="dxa"/>
            <w:vAlign w:val="bottom"/>
          </w:tcPr>
          <w:p>
            <w:pPr>
              <w:ind w:left="2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r>
      <w:tr>
        <w:trPr>
          <w:trHeight w:val="27"/>
        </w:trPr>
        <w:tc>
          <w:tcPr>
            <w:tcW w:w="8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contract research &amp; development revenue</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97.0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29.6</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Technology licensing revenue</w:t>
            </w:r>
          </w:p>
        </w:tc>
        <w:tc>
          <w:tcPr>
            <w:tcW w:w="160" w:type="dxa"/>
            <w:vAlign w:val="bottom"/>
          </w:tcPr>
          <w:p>
            <w:pPr>
              <w:spacing w:after="0"/>
              <w:rPr>
                <w:sz w:val="18"/>
                <w:szCs w:val="18"/>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8.4</w:t>
            </w:r>
          </w:p>
        </w:tc>
      </w:tr>
      <w:tr>
        <w:trPr>
          <w:trHeight w:val="27"/>
        </w:trPr>
        <w:tc>
          <w:tcPr>
            <w:tcW w:w="8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117.0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38.0</w:t>
            </w:r>
          </w:p>
        </w:tc>
      </w:tr>
      <w:tr>
        <w:trPr>
          <w:trHeight w:val="20"/>
        </w:trPr>
        <w:tc>
          <w:tcPr>
            <w:tcW w:w="8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We recognize revenue from sanofi-aventis, in connection with our aflibercept and antibody collaborations, in accordance with SAB 104 and EITF 00-21, as described above under “Revenues” for the three months ended June 30, 2008 and 2007.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ind w:lef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8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Sanofi-aventis Contract Research &amp; Development Revenue</w:t>
            </w: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70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5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Aflibercept: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Regeneron expense reimbursement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22.0</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Recognition of deferred revenue related to up-front payments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Total aflibercept</w:t>
            </w:r>
          </w:p>
        </w:tc>
        <w:tc>
          <w:tcPr>
            <w:tcW w:w="5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Antibody:</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Regeneron expense reimbursement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42.9</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Recognition of deferred revenue related to up-front payment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Total antibody</w:t>
            </w:r>
          </w:p>
        </w:tc>
        <w:tc>
          <w:tcPr>
            <w:tcW w:w="5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sanofi-aventis contract research &amp; development revenue</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r>
              <w:rPr>
                <w:rFonts w:ascii="Arial" w:cs="Arial" w:eastAsia="Arial" w:hAnsi="Arial"/>
                <w:sz w:val="18"/>
                <w:szCs w:val="18"/>
                <w:u w:val="single" w:color="auto"/>
                <w:color w:val="auto"/>
              </w:rPr>
              <w:t>3</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r>
              <w:rPr>
                <w:rFonts w:ascii="Arial" w:cs="Arial" w:eastAsia="Arial" w:hAnsi="Arial"/>
                <w:sz w:val="18"/>
                <w:szCs w:val="18"/>
                <w:u w:val="single" w:color="auto"/>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Sanofi-aventis’ reimbursement of Regeneron’s aflibercept expenses increased in the first half of 2008 compared to the same period in 2007, primarily due to higher clinical development costs.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Recognition of deferred revenue related to sanofi-aventis’ up-front aflibercept payments decreased in the first half of 2008 compared to the same period in 2007 due to an extension of the estimated performance period over which this deferred revenue is being recognized.</w:t>
      </w:r>
    </w:p>
    <w:p>
      <w:pPr>
        <w:spacing w:after="0" w:line="62" w:lineRule="exact"/>
        <w:rPr>
          <w:sz w:val="20"/>
          <w:szCs w:val="20"/>
          <w:color w:val="auto"/>
        </w:rPr>
      </w:pPr>
    </w:p>
    <w:p>
      <w:pPr>
        <w:ind w:right="220" w:firstLine="225"/>
        <w:spacing w:after="0" w:line="264" w:lineRule="auto"/>
        <w:rPr>
          <w:sz w:val="20"/>
          <w:szCs w:val="20"/>
          <w:color w:val="auto"/>
        </w:rPr>
      </w:pPr>
      <w:r>
        <w:rPr>
          <w:rFonts w:ascii="Arial" w:cs="Arial" w:eastAsia="Arial" w:hAnsi="Arial"/>
          <w:sz w:val="18"/>
          <w:szCs w:val="18"/>
          <w:color w:val="auto"/>
        </w:rPr>
        <w:t>In the first half of 2008, sanofi-aventis’ reimbursement of Regeneron’s antibody expenses consisted of $32.4 million under the collaboration’s discovery agreement and $10.5 million of development costs, primarily related to REGN88, under the license agreement. Recognition of deferred revenue under the antibody collaboration related to sanofi-aventis’ $85.0 million up-front payment.</w:t>
      </w:r>
    </w:p>
    <w:p>
      <w:pPr>
        <w:spacing w:after="0" w:line="73"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In the first half of 2008, we recognized contract research and development revenue of $19.2 million from Bayer HealthCare, consisting of (i) $6.6 million related to the $75.0 million up-front licensing payment and the $20.0 million milestone payment, and (ii) $12.6 million related to the portion of our VEGF Trap-Eye development expenses incurred in the first half of 2008, that is reimbursable from Bayer HealthCare.</w:t>
      </w:r>
    </w:p>
    <w:p>
      <w:pPr>
        <w:spacing w:after="0" w:line="73" w:lineRule="exact"/>
        <w:rPr>
          <w:sz w:val="20"/>
          <w:szCs w:val="20"/>
          <w:color w:val="auto"/>
        </w:rPr>
      </w:pPr>
    </w:p>
    <w:p>
      <w:pPr>
        <w:ind w:right="380" w:firstLine="225"/>
        <w:spacing w:after="0" w:line="342" w:lineRule="auto"/>
        <w:rPr>
          <w:sz w:val="20"/>
          <w:szCs w:val="20"/>
          <w:color w:val="auto"/>
        </w:rPr>
      </w:pPr>
      <w:r>
        <w:rPr>
          <w:rFonts w:ascii="Arial" w:cs="Arial" w:eastAsia="Arial" w:hAnsi="Arial"/>
          <w:sz w:val="16"/>
          <w:szCs w:val="16"/>
          <w:color w:val="auto"/>
        </w:rPr>
        <w:t>Other contract research and development revenue includes $2.5 million and $2.3 million recognized in the first half of 2008 and 2007, respectively, in connection with our five-year grant from the NIH, which we were awarded in September 2006 as part of the NIH’s Knockout Mouse Project.</w:t>
      </w:r>
    </w:p>
    <w:p>
      <w:pPr>
        <w:spacing w:after="0" w:line="16"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In connection with our license agreements with AstraZeneca and Astellas, each of the $20.0 million annual, non-refundable payments are deferred upon receipt and recognized as revenue ratably over approximately the ensuing year of each agreement. In the first half of 2008 and 2007, we recognized $20.0 million and $8.4 million, respectively, of technology licensing revenue related to these agreements.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right="400" w:firstLine="222"/>
        <w:spacing w:after="0" w:line="259" w:lineRule="auto"/>
        <w:rPr>
          <w:sz w:val="20"/>
          <w:szCs w:val="20"/>
          <w:color w:val="auto"/>
        </w:rPr>
      </w:pPr>
      <w:r>
        <w:rPr>
          <w:rFonts w:ascii="Arial" w:cs="Arial" w:eastAsia="Arial" w:hAnsi="Arial"/>
          <w:sz w:val="18"/>
          <w:szCs w:val="18"/>
          <w:color w:val="auto"/>
        </w:rPr>
        <w:t>Total operating expenses increased to $152.3 million in the first half of 2008 from $102.2 million in the same period of 2007. Our average headcount increased to 742 in the first half of 2008 from 602 in the same period of 2007 primarily to support expanding research and development activities for our development programs, including ARCALYST</w:t>
      </w:r>
      <w:r>
        <w:rPr>
          <w:rFonts w:ascii="Arial" w:cs="Arial" w:eastAsia="Arial" w:hAnsi="Arial"/>
          <w:sz w:val="15"/>
          <w:szCs w:val="15"/>
          <w:color w:val="auto"/>
        </w:rPr>
        <w:t>®</w:t>
      </w:r>
      <w:r>
        <w:rPr>
          <w:rFonts w:ascii="Arial" w:cs="Arial" w:eastAsia="Arial" w:hAnsi="Arial"/>
          <w:sz w:val="18"/>
          <w:szCs w:val="18"/>
          <w:color w:val="auto"/>
        </w:rPr>
        <w:t xml:space="preserve"> (rilonacept), aflibercept, VEGF Trap-Eye, and monoclonal antibodies (such as REGN88 and the Dll4 antibody).</w:t>
      </w:r>
    </w:p>
    <w:p>
      <w:pPr>
        <w:spacing w:after="0" w:line="79" w:lineRule="exact"/>
        <w:rPr>
          <w:sz w:val="20"/>
          <w:szCs w:val="20"/>
          <w:color w:val="auto"/>
        </w:rPr>
      </w:pPr>
    </w:p>
    <w:p>
      <w:pPr>
        <w:ind w:right="260" w:firstLine="225"/>
        <w:spacing w:after="0" w:line="308" w:lineRule="auto"/>
        <w:rPr>
          <w:sz w:val="20"/>
          <w:szCs w:val="20"/>
          <w:color w:val="auto"/>
        </w:rPr>
      </w:pPr>
      <w:r>
        <w:rPr>
          <w:rFonts w:ascii="Arial" w:cs="Arial" w:eastAsia="Arial" w:hAnsi="Arial"/>
          <w:sz w:val="17"/>
          <w:szCs w:val="17"/>
          <w:color w:val="auto"/>
        </w:rPr>
        <w:t>Operating expenses for the first six months of 2008 and 2007 include a total of $16.5 million and $13.5 million, respectively, of non-cash compensation expense related to employee stock option and restricted stock awards (Non-cash Compensation Expense), as detailed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rPr>
              <w:t>For the six months ended June 30, 2008</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0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80" w:type="dxa"/>
            <w:vAlign w:val="bottom"/>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w w:val="97"/>
              </w:rPr>
              <w:t>Expenses before</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right"/>
              <w:ind w:right="680"/>
              <w:spacing w:after="0" w:line="119" w:lineRule="exact"/>
              <w:rPr>
                <w:sz w:val="20"/>
                <w:szCs w:val="20"/>
                <w:color w:val="auto"/>
              </w:rPr>
            </w:pPr>
            <w:r>
              <w:rPr>
                <w:rFonts w:ascii="Arial" w:cs="Arial" w:eastAsia="Arial" w:hAnsi="Arial"/>
                <w:sz w:val="13"/>
                <w:szCs w:val="13"/>
                <w:b w:val="1"/>
                <w:bCs w:val="1"/>
                <w:color w:val="auto"/>
                <w:w w:val="97"/>
              </w:rPr>
              <w:t>Non-cash</w:t>
            </w:r>
          </w:p>
        </w:tc>
        <w:tc>
          <w:tcPr>
            <w:tcW w:w="94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w w:val="96"/>
              </w:rPr>
              <w:t>Expenses as</w:t>
            </w:r>
          </w:p>
        </w:tc>
        <w:tc>
          <w:tcPr>
            <w:tcW w:w="0" w:type="dxa"/>
            <w:vAlign w:val="bottom"/>
          </w:tcPr>
          <w:p>
            <w:pPr>
              <w:spacing w:after="0"/>
              <w:rPr>
                <w:sz w:val="1"/>
                <w:szCs w:val="1"/>
                <w:color w:val="auto"/>
              </w:rPr>
            </w:pPr>
          </w:p>
        </w:tc>
      </w:tr>
      <w:tr>
        <w:trPr>
          <w:trHeight w:val="149"/>
        </w:trPr>
        <w:tc>
          <w:tcPr>
            <w:tcW w:w="4100" w:type="dxa"/>
            <w:vAlign w:val="bottom"/>
            <w:vMerge w:val="restart"/>
          </w:tcPr>
          <w:p>
            <w:pPr>
              <w:spacing w:after="0"/>
              <w:rPr>
                <w:sz w:val="20"/>
                <w:szCs w:val="20"/>
                <w:color w:val="auto"/>
              </w:rPr>
            </w:pPr>
            <w:r>
              <w:rPr>
                <w:rFonts w:ascii="Arial" w:cs="Arial" w:eastAsia="Arial" w:hAnsi="Arial"/>
                <w:sz w:val="14"/>
                <w:szCs w:val="14"/>
                <w:b w:val="1"/>
                <w:bCs w:val="1"/>
                <w:color w:val="auto"/>
              </w:rPr>
              <w:t>Expenses</w:t>
            </w:r>
          </w:p>
        </w:tc>
        <w:tc>
          <w:tcPr>
            <w:tcW w:w="2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4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w w:val="92"/>
              </w:rPr>
              <w:t>inclusion of Non-cash</w:t>
            </w:r>
          </w:p>
        </w:tc>
        <w:tc>
          <w:tcPr>
            <w:tcW w:w="32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9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00" w:type="dxa"/>
            <w:vAlign w:val="bottom"/>
            <w:vMerge w:val="continue"/>
          </w:tcPr>
          <w:p>
            <w:pPr>
              <w:spacing w:after="0"/>
              <w:rPr>
                <w:sz w:val="14"/>
                <w:szCs w:val="14"/>
                <w:color w:val="auto"/>
              </w:rPr>
            </w:pPr>
          </w:p>
        </w:tc>
        <w:tc>
          <w:tcPr>
            <w:tcW w:w="2400" w:type="dxa"/>
            <w:vAlign w:val="bottom"/>
          </w:tcPr>
          <w:p>
            <w:pPr>
              <w:spacing w:after="0"/>
              <w:rPr>
                <w:sz w:val="14"/>
                <w:szCs w:val="14"/>
                <w:color w:val="auto"/>
              </w:rPr>
            </w:pPr>
          </w:p>
        </w:tc>
        <w:tc>
          <w:tcPr>
            <w:tcW w:w="2260" w:type="dxa"/>
            <w:vAlign w:val="bottom"/>
            <w:gridSpan w:val="4"/>
          </w:tcPr>
          <w:p>
            <w:pPr>
              <w:ind w:left="520"/>
              <w:spacing w:after="0"/>
              <w:rPr>
                <w:sz w:val="20"/>
                <w:szCs w:val="20"/>
                <w:color w:val="auto"/>
              </w:rPr>
            </w:pPr>
            <w:r>
              <w:rPr>
                <w:rFonts w:ascii="Arial" w:cs="Arial" w:eastAsia="Arial" w:hAnsi="Arial"/>
                <w:sz w:val="14"/>
                <w:szCs w:val="14"/>
                <w:b w:val="1"/>
                <w:bCs w:val="1"/>
                <w:color w:val="auto"/>
              </w:rPr>
              <w:t>Compensation Expense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7"/>
              </w:rPr>
              <w:t>Expense</w:t>
            </w:r>
          </w:p>
        </w:tc>
        <w:tc>
          <w:tcPr>
            <w:tcW w:w="100" w:type="dxa"/>
            <w:vAlign w:val="bottom"/>
          </w:tcPr>
          <w:p>
            <w:pPr>
              <w:spacing w:after="0"/>
              <w:rPr>
                <w:sz w:val="14"/>
                <w:szCs w:val="14"/>
                <w:color w:val="auto"/>
              </w:rPr>
            </w:pP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rPr>
              <w:t>Reported</w:t>
            </w:r>
          </w:p>
        </w:tc>
        <w:tc>
          <w:tcPr>
            <w:tcW w:w="0" w:type="dxa"/>
            <w:vAlign w:val="bottom"/>
          </w:tcPr>
          <w:p>
            <w:pPr>
              <w:spacing w:after="0"/>
              <w:rPr>
                <w:sz w:val="1"/>
                <w:szCs w:val="1"/>
                <w:color w:val="auto"/>
              </w:rPr>
            </w:pPr>
          </w:p>
        </w:tc>
      </w:tr>
      <w:tr>
        <w:trPr>
          <w:trHeight w:val="142"/>
        </w:trPr>
        <w:tc>
          <w:tcPr>
            <w:tcW w:w="41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240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080" w:type="dxa"/>
            <w:vAlign w:val="bottom"/>
            <w:gridSpan w:val="3"/>
            <w:shd w:val="clear" w:color="auto" w:fill="CCEEFF"/>
          </w:tcPr>
          <w:p>
            <w:pPr>
              <w:ind w:left="29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118.0</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9.8</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17.8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3080" w:type="dxa"/>
            <w:vAlign w:val="bottom"/>
            <w:gridSpan w:val="3"/>
            <w:shd w:val="clear" w:color="auto" w:fill="CCEEFF"/>
          </w:tcPr>
          <w:p>
            <w:pPr>
              <w:ind w:left="29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16.5</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400" w:type="dxa"/>
            <w:vAlign w:val="bottom"/>
            <w:vMerge w:val="restart"/>
          </w:tcPr>
          <w:p>
            <w:pPr>
              <w:jc w:val="right"/>
              <w:ind w:right="610"/>
              <w:spacing w:after="0"/>
              <w:rPr>
                <w:sz w:val="20"/>
                <w:szCs w:val="20"/>
                <w:color w:val="auto"/>
              </w:rPr>
            </w:pPr>
            <w:r>
              <w:rPr>
                <w:rFonts w:ascii="Arial" w:cs="Arial" w:eastAsia="Arial" w:hAnsi="Arial"/>
                <w:sz w:val="18"/>
                <w:szCs w:val="18"/>
                <w:color w:val="auto"/>
              </w:rPr>
              <w:t>35</w:t>
            </w: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10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10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6"/>
          </w:tcPr>
          <w:p>
            <w:pPr>
              <w:ind w:left="780"/>
              <w:spacing w:after="0"/>
              <w:rPr>
                <w:sz w:val="20"/>
                <w:szCs w:val="20"/>
                <w:color w:val="auto"/>
              </w:rPr>
            </w:pPr>
            <w:r>
              <w:rPr>
                <w:rFonts w:ascii="Arial" w:cs="Arial" w:eastAsia="Arial" w:hAnsi="Arial"/>
                <w:sz w:val="14"/>
                <w:szCs w:val="14"/>
                <w:b w:val="1"/>
                <w:bCs w:val="1"/>
                <w:color w:val="auto"/>
                <w:w w:val="94"/>
              </w:rPr>
              <w:t>For the six months ended June 30, 2007</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8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w w:val="94"/>
              </w:rPr>
              <w:t>Expenses before</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right"/>
              <w:ind w:right="680"/>
              <w:spacing w:after="0" w:line="119" w:lineRule="exact"/>
              <w:rPr>
                <w:sz w:val="20"/>
                <w:szCs w:val="20"/>
                <w:color w:val="auto"/>
              </w:rPr>
            </w:pPr>
            <w:r>
              <w:rPr>
                <w:rFonts w:ascii="Arial" w:cs="Arial" w:eastAsia="Arial" w:hAnsi="Arial"/>
                <w:sz w:val="13"/>
                <w:szCs w:val="13"/>
                <w:b w:val="1"/>
                <w:bCs w:val="1"/>
                <w:color w:val="auto"/>
                <w:w w:val="97"/>
              </w:rPr>
              <w:t>Non-cash</w:t>
            </w:r>
          </w:p>
        </w:tc>
        <w:tc>
          <w:tcPr>
            <w:tcW w:w="94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w w:val="96"/>
              </w:rPr>
              <w:t>Expenses as</w:t>
            </w:r>
          </w:p>
        </w:tc>
        <w:tc>
          <w:tcPr>
            <w:tcW w:w="0" w:type="dxa"/>
            <w:vAlign w:val="bottom"/>
          </w:tcPr>
          <w:p>
            <w:pPr>
              <w:spacing w:after="0"/>
              <w:rPr>
                <w:sz w:val="1"/>
                <w:szCs w:val="1"/>
                <w:color w:val="auto"/>
              </w:rPr>
            </w:pPr>
          </w:p>
        </w:tc>
      </w:tr>
      <w:tr>
        <w:trPr>
          <w:trHeight w:val="149"/>
        </w:trPr>
        <w:tc>
          <w:tcPr>
            <w:tcW w:w="6500" w:type="dxa"/>
            <w:vAlign w:val="bottom"/>
            <w:vMerge w:val="restart"/>
          </w:tcPr>
          <w:p>
            <w:pPr>
              <w:spacing w:after="0"/>
              <w:rPr>
                <w:sz w:val="20"/>
                <w:szCs w:val="20"/>
                <w:color w:val="auto"/>
              </w:rPr>
            </w:pPr>
            <w:r>
              <w:rPr>
                <w:rFonts w:ascii="Arial" w:cs="Arial" w:eastAsia="Arial" w:hAnsi="Arial"/>
                <w:sz w:val="14"/>
                <w:szCs w:val="14"/>
                <w:b w:val="1"/>
                <w:bCs w:val="1"/>
                <w:color w:val="auto"/>
              </w:rPr>
              <w:t>Expenses</w:t>
            </w:r>
          </w:p>
        </w:tc>
        <w:tc>
          <w:tcPr>
            <w:tcW w:w="520" w:type="dxa"/>
            <w:vAlign w:val="bottom"/>
          </w:tcPr>
          <w:p>
            <w:pPr>
              <w:spacing w:after="0"/>
              <w:rPr>
                <w:sz w:val="12"/>
                <w:szCs w:val="12"/>
                <w:color w:val="auto"/>
              </w:rPr>
            </w:pPr>
          </w:p>
        </w:tc>
        <w:tc>
          <w:tcPr>
            <w:tcW w:w="17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inclusion of Non-cash</w:t>
            </w:r>
          </w:p>
        </w:tc>
        <w:tc>
          <w:tcPr>
            <w:tcW w:w="32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9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500" w:type="dxa"/>
            <w:vAlign w:val="bottom"/>
            <w:vMerge w:val="continue"/>
          </w:tcPr>
          <w:p>
            <w:pPr>
              <w:spacing w:after="0"/>
              <w:rPr>
                <w:sz w:val="14"/>
                <w:szCs w:val="14"/>
                <w:color w:val="auto"/>
              </w:rPr>
            </w:pPr>
          </w:p>
        </w:tc>
        <w:tc>
          <w:tcPr>
            <w:tcW w:w="2260" w:type="dxa"/>
            <w:vAlign w:val="bottom"/>
            <w:gridSpan w:val="4"/>
          </w:tcPr>
          <w:p>
            <w:pPr>
              <w:ind w:left="520"/>
              <w:spacing w:after="0"/>
              <w:rPr>
                <w:sz w:val="20"/>
                <w:szCs w:val="20"/>
                <w:color w:val="auto"/>
              </w:rPr>
            </w:pPr>
            <w:r>
              <w:rPr>
                <w:rFonts w:ascii="Arial" w:cs="Arial" w:eastAsia="Arial" w:hAnsi="Arial"/>
                <w:sz w:val="14"/>
                <w:szCs w:val="14"/>
                <w:b w:val="1"/>
                <w:bCs w:val="1"/>
                <w:color w:val="auto"/>
              </w:rPr>
              <w:t>Compensation Expense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7"/>
              </w:rPr>
              <w:t>Expense</w:t>
            </w:r>
          </w:p>
        </w:tc>
        <w:tc>
          <w:tcPr>
            <w:tcW w:w="100" w:type="dxa"/>
            <w:vAlign w:val="bottom"/>
          </w:tcPr>
          <w:p>
            <w:pPr>
              <w:spacing w:after="0"/>
              <w:rPr>
                <w:sz w:val="14"/>
                <w:szCs w:val="14"/>
                <w:color w:val="auto"/>
              </w:rPr>
            </w:pP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rPr>
              <w:t>Reported</w:t>
            </w:r>
          </w:p>
        </w:tc>
        <w:tc>
          <w:tcPr>
            <w:tcW w:w="0" w:type="dxa"/>
            <w:vAlign w:val="bottom"/>
          </w:tcPr>
          <w:p>
            <w:pPr>
              <w:spacing w:after="0"/>
              <w:rPr>
                <w:sz w:val="1"/>
                <w:szCs w:val="1"/>
                <w:color w:val="auto"/>
              </w:rPr>
            </w:pPr>
          </w:p>
        </w:tc>
      </w:tr>
      <w:tr>
        <w:trPr>
          <w:trHeight w:val="142"/>
        </w:trPr>
        <w:tc>
          <w:tcPr>
            <w:tcW w:w="65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5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77.2</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7.9</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ind w:left="960"/>
              <w:spacing w:after="0"/>
              <w:rPr>
                <w:sz w:val="20"/>
                <w:szCs w:val="20"/>
                <w:color w:val="auto"/>
              </w:rPr>
            </w:pPr>
            <w:r>
              <w:rPr>
                <w:rFonts w:ascii="Arial" w:cs="Arial" w:eastAsia="Arial" w:hAnsi="Arial"/>
                <w:sz w:val="18"/>
                <w:szCs w:val="18"/>
                <w:color w:val="auto"/>
                <w:w w:val="79"/>
              </w:rPr>
              <w:t>11.5</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88.7</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13.5</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340" w:firstLine="225"/>
        <w:spacing w:after="0" w:line="308" w:lineRule="auto"/>
        <w:rPr>
          <w:sz w:val="20"/>
          <w:szCs w:val="20"/>
          <w:color w:val="auto"/>
        </w:rPr>
      </w:pPr>
      <w:r>
        <w:rPr>
          <w:rFonts w:ascii="Arial" w:cs="Arial" w:eastAsia="Arial" w:hAnsi="Arial"/>
          <w:sz w:val="17"/>
          <w:szCs w:val="17"/>
          <w:color w:val="auto"/>
        </w:rPr>
        <w:t>Research and development expenses increased to $127.8 million in the first half of 2008 from $85.1 million in the same period of 2007. The following table summarizes the major categories of our research and development expenses for the six months ended June 30, 2008 and 2007:</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7"/>
          </w:tcPr>
          <w:p>
            <w:pPr>
              <w:jc w:val="center"/>
              <w:ind w:left="234"/>
              <w:spacing w:after="0"/>
              <w:rPr>
                <w:sz w:val="20"/>
                <w:szCs w:val="20"/>
                <w:color w:val="auto"/>
              </w:rPr>
            </w:pPr>
            <w:r>
              <w:rPr>
                <w:rFonts w:ascii="Arial" w:cs="Arial" w:eastAsia="Arial" w:hAnsi="Arial"/>
                <w:sz w:val="14"/>
                <w:szCs w:val="14"/>
                <w:b w:val="1"/>
                <w:bCs w:val="1"/>
                <w:color w:val="auto"/>
                <w:w w:val="91"/>
              </w:rPr>
              <w:t>For the six months ended June 30,</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320" w:type="dxa"/>
            <w:vAlign w:val="bottom"/>
            <w:vMerge w:val="restart"/>
          </w:tcPr>
          <w:p>
            <w:pPr>
              <w:spacing w:after="0"/>
              <w:rPr>
                <w:sz w:val="20"/>
                <w:szCs w:val="20"/>
                <w:color w:val="auto"/>
              </w:rPr>
            </w:pPr>
            <w:r>
              <w:rPr>
                <w:rFonts w:ascii="Arial" w:cs="Arial" w:eastAsia="Arial" w:hAnsi="Arial"/>
                <w:sz w:val="14"/>
                <w:szCs w:val="14"/>
                <w:b w:val="1"/>
                <w:bCs w:val="1"/>
                <w:color w:val="auto"/>
              </w:rPr>
              <w:t>Research and development expenses</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3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73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5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Payroll and benefits (1)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38.9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28.1</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Clinical trial expenses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20.5</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11.8</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Clinical manufacturing costs (2)</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26.5</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Research and preclinical development costs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12.1</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Occupancy and other operating costs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11.1</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Cost-sharing of Bayer HealthCare VEGF Trap-Eye development expenses (3)</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research and development expenses</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127.8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85.</w:t>
            </w:r>
            <w:r>
              <w:rPr>
                <w:rFonts w:ascii="Arial" w:cs="Arial" w:eastAsia="Arial" w:hAnsi="Arial"/>
                <w:sz w:val="18"/>
                <w:szCs w:val="18"/>
                <w:u w:val="single" w:color="auto"/>
                <w:color w:val="auto"/>
              </w:rPr>
              <w:t>1</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r>
              <w:rPr>
                <w:rFonts w:ascii="Arial" w:cs="Arial" w:eastAsia="Arial" w:hAnsi="Arial"/>
                <w:sz w:val="18"/>
                <w:szCs w:val="18"/>
                <w:u w:val="single" w:color="auto"/>
                <w:color w:val="auto"/>
              </w:rPr>
              <w:t>7</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Includes $8.4 million and $6.4 million of Non-cash Compensation Expense for the six months ended June 30, 2008 and 2007, respectively.</w:t>
      </w:r>
    </w:p>
    <w:p>
      <w:pPr>
        <w:spacing w:after="0" w:line="88" w:lineRule="exact"/>
        <w:rPr>
          <w:rFonts w:ascii="Arial" w:cs="Arial" w:eastAsia="Arial" w:hAnsi="Arial"/>
          <w:sz w:val="17"/>
          <w:szCs w:val="17"/>
          <w:color w:val="auto"/>
        </w:rPr>
      </w:pPr>
    </w:p>
    <w:p>
      <w:pPr>
        <w:jc w:val="both"/>
        <w:ind w:left="460" w:right="220" w:hanging="452"/>
        <w:spacing w:after="0" w:line="311"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the full cost of manufacturing drug for use in research, preclinical development, and clinical trials, including related payroll and benefits, Non-cash Compensation Expense, manufacturing materials and supplies, depreciation, and occupancy costs of our Rensselaer manufacturing facility. Includes $1.4 million and $1.5 million of Non-cash Compensation Expense for the six months ended June 30, 2008 and 2007, respectively.</w:t>
      </w:r>
    </w:p>
    <w:p>
      <w:pPr>
        <w:ind w:left="460" w:right="20" w:hanging="452"/>
        <w:spacing w:after="0" w:line="255"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Under our collaboration with Bayer HealthCare, in periods when Bayer HealthCare incurs VEGF Trap-Eye development expenses, we also recognize, as additional research and development expense, the portion of their VEGF Trap-Eye development expenses that we are obligated to reimburse. Bayer HealthCare provides us with estimated VEGF Trap-Eye development expenses for the most recent interim fiscal quarter. Bayer HealthCare’s estimate is reconciled to their actual expenses for such quarter in the subsequent interim quarter and our portion of their VEGF Trap-Eye development expenses that we are obligated to reimburse is adjusted accordingly. In the fourth quarter of 2007, we commenced recognizing cost-sharing of our and Bayer Healthcare’s VEGF Trap-Eye development expenses.</w:t>
      </w:r>
    </w:p>
    <w:p>
      <w:pPr>
        <w:spacing w:after="0" w:line="85" w:lineRule="exact"/>
        <w:rPr>
          <w:sz w:val="20"/>
          <w:szCs w:val="20"/>
          <w:color w:val="auto"/>
        </w:rPr>
      </w:pPr>
    </w:p>
    <w:p>
      <w:pPr>
        <w:ind w:right="20" w:firstLine="225"/>
        <w:spacing w:after="0" w:line="237" w:lineRule="auto"/>
        <w:rPr>
          <w:sz w:val="20"/>
          <w:szCs w:val="20"/>
          <w:color w:val="auto"/>
        </w:rPr>
      </w:pPr>
      <w:r>
        <w:rPr>
          <w:rFonts w:ascii="Arial" w:cs="Arial" w:eastAsia="Arial" w:hAnsi="Arial"/>
          <w:sz w:val="18"/>
          <w:szCs w:val="18"/>
          <w:color w:val="auto"/>
        </w:rPr>
        <w:t>Payroll and benefits increased principally due to the increase in employee headcount, as described above. Clinical trial expenses increased due primarily to higher costs related to our Phase 3 study of VEGF Trap-Eye in wet AMD, which we initiated in the third quarter of 2007, and higher ARCALYST</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(rilonacept) costs, primarily related to our Phase 2 study in gout. These increases were partially offset by lower costs related to our Phase 1 and 2 studies of VEGF Trap-Eye in wet AMD. Clinical manufacturing costs increased due primarily to higher expenses related to REGN88, VEGF Trap-Eye, and our Dll4 antibody, partially offset by lower costs related to ARCALYST. Research and preclinical development costs increased primarily due to higher research and preclinical costs related to antibodies, including our D114 antibody, partially offset by lower preclinical costs associated with aflibercept, VEGF Trap-Eye, and ARCALYST.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Occupancy and other operating costs primarily increased in connection with our higher headcount and to support our expanded research and development activities.</w:t>
      </w:r>
    </w:p>
    <w:p>
      <w:pPr>
        <w:spacing w:after="0" w:line="62"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We budget our research and development costs by expense category, rather than by project. We also prepare estimates of research and development cost for projects in clinical development, which include direct costs and allocations of certain costs such as indirect labor, non-cash stock-based employee compensation expense related to stock option awards, and manufacturing and other costs related to activities that benefit multiple projects. Our estimates of research and development costs for clinical development programs are shown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8"/>
          </w:tcPr>
          <w:p>
            <w:pPr>
              <w:ind w:left="520"/>
              <w:spacing w:after="0"/>
              <w:rPr>
                <w:sz w:val="20"/>
                <w:szCs w:val="20"/>
                <w:color w:val="auto"/>
              </w:rPr>
            </w:pPr>
            <w:r>
              <w:rPr>
                <w:rFonts w:ascii="Arial" w:cs="Arial" w:eastAsia="Arial" w:hAnsi="Arial"/>
                <w:sz w:val="14"/>
                <w:szCs w:val="14"/>
                <w:b w:val="1"/>
                <w:bCs w:val="1"/>
                <w:color w:val="auto"/>
                <w:w w:val="98"/>
              </w:rPr>
              <w:t>For the six months ended June 30,</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320" w:type="dxa"/>
            <w:vAlign w:val="bottom"/>
            <w:vMerge w:val="restart"/>
          </w:tcPr>
          <w:p>
            <w:pPr>
              <w:spacing w:after="0"/>
              <w:rPr>
                <w:sz w:val="20"/>
                <w:szCs w:val="20"/>
                <w:color w:val="auto"/>
              </w:rPr>
            </w:pPr>
            <w:r>
              <w:rPr>
                <w:rFonts w:ascii="Arial" w:cs="Arial" w:eastAsia="Arial" w:hAnsi="Arial"/>
                <w:sz w:val="14"/>
                <w:szCs w:val="14"/>
                <w:b w:val="1"/>
                <w:bCs w:val="1"/>
                <w:color w:val="auto"/>
              </w:rPr>
              <w:t>Project Costs</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3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73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ARCALYST</w:t>
            </w:r>
            <w:r>
              <w:rPr>
                <w:rFonts w:ascii="Arial" w:cs="Arial" w:eastAsia="Arial" w:hAnsi="Arial"/>
                <w:sz w:val="15"/>
                <w:szCs w:val="15"/>
                <w:color w:val="auto"/>
              </w:rPr>
              <w:t>®</w:t>
            </w:r>
            <w:r>
              <w:rPr>
                <w:rFonts w:ascii="Arial" w:cs="Arial" w:eastAsia="Arial" w:hAnsi="Arial"/>
                <w:sz w:val="18"/>
                <w:szCs w:val="18"/>
                <w:color w:val="auto"/>
              </w:rPr>
              <w:t xml:space="preserve"> (rilonacept)</w:t>
            </w:r>
          </w:p>
        </w:tc>
        <w:tc>
          <w:tcPr>
            <w:tcW w:w="7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15.2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15.9</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Aflibercept</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680"/>
              <w:spacing w:after="0"/>
              <w:rPr>
                <w:sz w:val="20"/>
                <w:szCs w:val="20"/>
                <w:color w:val="auto"/>
              </w:rPr>
            </w:pPr>
            <w:r>
              <w:rPr>
                <w:rFonts w:ascii="Arial" w:cs="Arial" w:eastAsia="Arial" w:hAnsi="Arial"/>
                <w:sz w:val="18"/>
                <w:szCs w:val="18"/>
                <w:color w:val="auto"/>
              </w:rPr>
              <w:t>18.9</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17.8</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VEGF Trap-Eye</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38.8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14.2</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REGN88</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research programs &amp; unallocated costs</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45.6</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37.2</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7320" w:type="dxa"/>
            <w:vAlign w:val="bottom"/>
          </w:tcPr>
          <w:p>
            <w:pPr>
              <w:ind w:left="220"/>
              <w:spacing w:after="0"/>
              <w:rPr>
                <w:sz w:val="20"/>
                <w:szCs w:val="20"/>
                <w:color w:val="auto"/>
              </w:rPr>
            </w:pPr>
            <w:r>
              <w:rPr>
                <w:rFonts w:ascii="Arial" w:cs="Arial" w:eastAsia="Arial" w:hAnsi="Arial"/>
                <w:sz w:val="18"/>
                <w:szCs w:val="18"/>
                <w:color w:val="auto"/>
              </w:rPr>
              <w:t>Total research and development expenses</w:t>
            </w:r>
          </w:p>
        </w:tc>
        <w:tc>
          <w:tcPr>
            <w:tcW w:w="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127.8</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r>
              <w:rPr>
                <w:rFonts w:ascii="Arial" w:cs="Arial" w:eastAsia="Arial" w:hAnsi="Arial"/>
                <w:sz w:val="18"/>
                <w:szCs w:val="18"/>
                <w:u w:val="single" w:color="auto"/>
                <w:color w:val="auto"/>
              </w:rPr>
              <w:t>1</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r>
              <w:rPr>
                <w:rFonts w:ascii="Arial" w:cs="Arial" w:eastAsia="Arial" w:hAnsi="Arial"/>
                <w:sz w:val="18"/>
                <w:szCs w:val="18"/>
                <w:u w:val="single" w:color="auto"/>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firstLine="225"/>
        <w:spacing w:after="0" w:line="272" w:lineRule="auto"/>
        <w:rPr>
          <w:sz w:val="20"/>
          <w:szCs w:val="20"/>
          <w:color w:val="auto"/>
        </w:rPr>
      </w:pPr>
      <w:r>
        <w:rPr>
          <w:rFonts w:ascii="Arial" w:cs="Arial" w:eastAsia="Arial" w:hAnsi="Arial"/>
          <w:sz w:val="17"/>
          <w:szCs w:val="17"/>
          <w:color w:val="auto"/>
        </w:rPr>
        <w:t>For the reasons described above under “Research and Development Expenses” for the three months ended June 30, 2008 and 2007, and due to the variability in the costs necessary to develop a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will generate product revenues and material net cash inflows. In the first quarter of 2008, we received FDA approval for ARCALYST for the treatment of CAPS, a group of rare, inherited auto-inflammatory diseases. These rare diseases affect a very small group of people. As a result, we can not predict whether the commercialization of ARCALYST in CAPS will result in a significant net cash benefit to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Selling, general, and administrative expenses increased to $24.5 million in the first half of 2008 from $17.1 million in the same period of 2007 due in part to costs associated with the launch of ARCALYST in March 2008. In addition, during the second quarter of 2008, we incurred (i) higher compensation expense due primarily to increases in selling and administrative headcount to support our expanded research and development activities and ARCALYST commercialization activities, (ii) higher recruitment and related costs associated with expanding our headcount, and (iii) higher fees for consultants and other legal and professional services related to various general corporate matters.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and Expense:</w:t>
      </w:r>
    </w:p>
    <w:p>
      <w:pPr>
        <w:spacing w:after="0" w:line="117"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Investment income decreased to $11.8 million in the first half of 2008 from $13.6 million in the same period of 2007, due primarily to lower yields on our cash and marketable securities, partly offset by higher cash and marketable security balances in 2008 versus 2007. In addition, during the second quarter of 2008, further deterioration in the credit quality of a marketable security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from one issuer has subjected us to the risk of not being able to recover the security’s $0.8 million carrying value. As a result, we recognized a $0.5 million charge related to this security, which we considered to be other than temporarily impaired.</w:t>
      </w:r>
    </w:p>
    <w:p>
      <w:pPr>
        <w:spacing w:after="0" w:line="62" w:lineRule="exact"/>
        <w:rPr>
          <w:sz w:val="20"/>
          <w:szCs w:val="20"/>
          <w:color w:val="auto"/>
        </w:rPr>
      </w:pPr>
    </w:p>
    <w:p>
      <w:pPr>
        <w:ind w:right="180" w:firstLine="225"/>
        <w:spacing w:after="0" w:line="302" w:lineRule="auto"/>
        <w:rPr>
          <w:sz w:val="20"/>
          <w:szCs w:val="20"/>
          <w:color w:val="auto"/>
        </w:rPr>
      </w:pPr>
      <w:r>
        <w:rPr>
          <w:rFonts w:ascii="Arial" w:cs="Arial" w:eastAsia="Arial" w:hAnsi="Arial"/>
          <w:sz w:val="16"/>
          <w:szCs w:val="16"/>
          <w:color w:val="auto"/>
        </w:rPr>
        <w:t>Interest expense of $5.7 million and $6.0 million in the first half of 2008 and 2007, respectively, is attributable to our 5.5% Convertible Senior Subordinated Notes due October 17, 2008. In the second quarter of 2008, we repurchased $81.3 million in principal amount of these convertible notes for $82.1 million. In connection with the repurchases, we recognized a $0.9 million loss on early extinguishment of debt, representing the premium paid on the notes plus related unamortized debt issuance costs. At June 30, 2008, $118.7 million of the convertible notes remained outstanding.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Fair Value of Financial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Statement of Financial Accounting Standard No. 157</w:t>
      </w:r>
    </w:p>
    <w:p>
      <w:pPr>
        <w:spacing w:after="0" w:line="117"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 xml:space="preserve">In September 2006, the Financial Accounting Standards Board (FASB) issued SFAS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SFAS 157 defines fair value, establishes a framework for measuring fair value in accordance with accounting principles generally accepted in the United States, and expands disclosures about fair value measurements. We adopted the provisions of SFAS 157 as of January 1, 2008, for financial instruments. Although the adoption of SFAS 157 did not materially impact our financial condition, results of operations, or cash flows, we are now required to provide additional disclosures as part of our financial statements.</w:t>
      </w:r>
    </w:p>
    <w:p>
      <w:pPr>
        <w:spacing w:after="0" w:line="80" w:lineRule="exact"/>
        <w:rPr>
          <w:sz w:val="20"/>
          <w:szCs w:val="20"/>
          <w:color w:val="auto"/>
        </w:rPr>
      </w:pPr>
    </w:p>
    <w:p>
      <w:pPr>
        <w:ind w:right="300" w:firstLine="225"/>
        <w:spacing w:after="0" w:line="259" w:lineRule="auto"/>
        <w:rPr>
          <w:sz w:val="20"/>
          <w:szCs w:val="20"/>
          <w:color w:val="auto"/>
        </w:rPr>
      </w:pPr>
      <w:r>
        <w:rPr>
          <w:rFonts w:ascii="Arial" w:cs="Arial" w:eastAsia="Arial" w:hAnsi="Arial"/>
          <w:sz w:val="18"/>
          <w:szCs w:val="18"/>
          <w:color w:val="auto"/>
        </w:rPr>
        <w:t>SFAS 157 establishes a three-tier fair value hierarchy, which prioritizes the inputs used in measuring fair value. The three tiers are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79"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 xml:space="preserve">We have determined that the provisions of SFAS 157 are applicable to our marketable securities, which totaled $450.7 million as of June 30, 2008, and consisted of obligations of the U.S. government and its agencies, investment grade debt securities issued by corporations, governments and financial institutions, asset-backed securities, and commercial paper. All of our marketable securities are considered to be “available for sale,” as defined by SFAS 115, </w:t>
      </w:r>
      <w:r>
        <w:rPr>
          <w:rFonts w:ascii="Arial" w:cs="Arial" w:eastAsia="Arial" w:hAnsi="Arial"/>
          <w:sz w:val="18"/>
          <w:szCs w:val="18"/>
          <w:i w:val="1"/>
          <w:iCs w:val="1"/>
          <w:color w:val="auto"/>
        </w:rPr>
        <w:t>Accounting for Certain Investments in Debt and Equity Securities</w:t>
      </w:r>
      <w:r>
        <w:rPr>
          <w:rFonts w:ascii="Arial" w:cs="Arial" w:eastAsia="Arial" w:hAnsi="Arial"/>
          <w:sz w:val="18"/>
          <w:szCs w:val="18"/>
          <w:color w:val="auto"/>
        </w:rPr>
        <w:t>. At June 30, 2008, less than 2% of our marketable securities represented Level 3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our other marketable securities represented Level 2 assets.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Changes in Level 3 marketable securities during the six months ended June 30, 2008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2"/>
              </w:rPr>
              <w:t>Level 3</w:t>
            </w:r>
          </w:p>
        </w:tc>
      </w:tr>
      <w:tr>
        <w:trPr>
          <w:trHeight w:val="149"/>
        </w:trPr>
        <w:tc>
          <w:tcPr>
            <w:tcW w:w="10600" w:type="dxa"/>
            <w:vAlign w:val="bottom"/>
          </w:tcPr>
          <w:p>
            <w:pPr>
              <w:spacing w:after="0"/>
              <w:rPr>
                <w:sz w:val="12"/>
                <w:szCs w:val="12"/>
                <w:color w:val="auto"/>
              </w:rPr>
            </w:pPr>
          </w:p>
        </w:tc>
        <w:tc>
          <w:tcPr>
            <w:tcW w:w="82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marketable</w:t>
            </w:r>
          </w:p>
        </w:tc>
      </w:tr>
      <w:tr>
        <w:trPr>
          <w:trHeight w:val="171"/>
        </w:trPr>
        <w:tc>
          <w:tcPr>
            <w:tcW w:w="10600" w:type="dxa"/>
            <w:vAlign w:val="bottom"/>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 w:type="dxa"/>
            <w:vAlign w:val="bottom"/>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securities</w:t>
            </w:r>
          </w:p>
        </w:tc>
        <w:tc>
          <w:tcPr>
            <w:tcW w:w="100" w:type="dxa"/>
            <w:vAlign w:val="bottom"/>
            <w:gridSpan w:val="2"/>
          </w:tcPr>
          <w:p>
            <w:pPr>
              <w:spacing w:after="0"/>
              <w:rPr>
                <w:sz w:val="14"/>
                <w:szCs w:val="14"/>
                <w:color w:val="auto"/>
              </w:rPr>
            </w:pPr>
          </w:p>
        </w:tc>
      </w:tr>
      <w:tr>
        <w:trPr>
          <w:trHeight w:val="210"/>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2008</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8"/>
                <w:szCs w:val="18"/>
                <w:color w:val="auto"/>
              </w:rPr>
            </w:pP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Settlements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(2.4)</w:t>
            </w: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Impairments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r>
      <w:tr>
        <w:trPr>
          <w:trHeight w:val="223"/>
        </w:trPr>
        <w:tc>
          <w:tcPr>
            <w:tcW w:w="10600" w:type="dxa"/>
            <w:vAlign w:val="bottom"/>
          </w:tcPr>
          <w:p>
            <w:pPr>
              <w:spacing w:after="0"/>
              <w:rPr>
                <w:sz w:val="20"/>
                <w:szCs w:val="20"/>
                <w:color w:val="auto"/>
              </w:rPr>
            </w:pPr>
            <w:r>
              <w:rPr>
                <w:rFonts w:ascii="Arial" w:cs="Arial" w:eastAsia="Arial" w:hAnsi="Arial"/>
                <w:sz w:val="18"/>
                <w:szCs w:val="18"/>
                <w:color w:val="auto"/>
              </w:rPr>
              <w:t>Balance June 30, 2008</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225"/>
        <w:spacing w:after="0" w:line="277" w:lineRule="auto"/>
        <w:rPr>
          <w:sz w:val="20"/>
          <w:szCs w:val="20"/>
          <w:color w:val="auto"/>
        </w:rPr>
      </w:pPr>
      <w:r>
        <w:rPr>
          <w:rFonts w:ascii="Arial" w:cs="Arial" w:eastAsia="Arial" w:hAnsi="Arial"/>
          <w:sz w:val="18"/>
          <w:szCs w:val="18"/>
          <w:color w:val="auto"/>
        </w:rPr>
        <w:t>During the six months ended June 30, 2008, there were no transfers of marketable securities between Level 2 and Level 3 classifications. We held no Level 1 marketable securities during the first half of 2008.</w:t>
      </w:r>
    </w:p>
    <w:p>
      <w:pPr>
        <w:spacing w:after="0" w:line="62"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Our methods for valuing our marketable securities are described in Note 5 to our condensed financial statements included in this quarterly report on Form 10-Q. With respect to valuations received from our investment advisors for pricing our Level 2 marketable securities, we review our investment advisors’ policies and procedures for valuation. For valuations that we determine for our Level 3 marketable securities, we regularly monitor these securities and adjust their valuations as deemed appropriate based on the facts and circumstances.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Since our inception in 1988, we have financed our operations primarily through offerings of our equity securities, a private placement of convertible debt, revenue earned under our past and present research and development and contract manufacturing agreements, including our agreements with sanofi-aventis and Bayer HealthCare, and investment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2008 and 2007</w:t>
      </w:r>
    </w:p>
    <w:p>
      <w:pPr>
        <w:spacing w:after="0" w:line="117" w:lineRule="exact"/>
        <w:rPr>
          <w:sz w:val="20"/>
          <w:szCs w:val="20"/>
          <w:color w:val="auto"/>
        </w:rPr>
      </w:pPr>
    </w:p>
    <w:p>
      <w:pPr>
        <w:ind w:right="240" w:firstLine="215"/>
        <w:spacing w:after="0" w:line="264" w:lineRule="auto"/>
        <w:rPr>
          <w:sz w:val="20"/>
          <w:szCs w:val="20"/>
          <w:color w:val="auto"/>
        </w:rPr>
      </w:pPr>
      <w:r>
        <w:rPr>
          <w:rFonts w:ascii="Arial" w:cs="Arial" w:eastAsia="Arial" w:hAnsi="Arial"/>
          <w:sz w:val="18"/>
          <w:szCs w:val="18"/>
          <w:color w:val="auto"/>
        </w:rPr>
        <w:t>At June 30, 2008, we had $744.5 million in cash, cash equivalents, restricted cash, and marketable securities compared with $846.3 million at December 31, 2007. In February and June 2008, we received a $20.0 million annual, non-refundable payment in connection with our non-exclusive license agreements with AstraZeneca and Astellas,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Operations:</w:t>
      </w:r>
    </w:p>
    <w:p>
      <w:pPr>
        <w:spacing w:after="0" w:line="117"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Net cash used in operations was $11.7 million in the first six months of 2008 compared to $12.7 million in the first six months of 2007. Our net losses of $30.1 million in the first half of 2008 and $56.7 million in the first half of 2007 included $16.5 million and $13.5 million, respectively, of Non-cash Compensation Expense.</w:t>
      </w:r>
    </w:p>
    <w:p>
      <w:pPr>
        <w:spacing w:after="0" w:line="73" w:lineRule="exact"/>
        <w:rPr>
          <w:sz w:val="20"/>
          <w:szCs w:val="20"/>
          <w:color w:val="auto"/>
        </w:rPr>
      </w:pPr>
    </w:p>
    <w:p>
      <w:pPr>
        <w:ind w:right="20" w:firstLine="215"/>
        <w:spacing w:after="0" w:line="312" w:lineRule="auto"/>
        <w:rPr>
          <w:sz w:val="20"/>
          <w:szCs w:val="20"/>
          <w:color w:val="auto"/>
        </w:rPr>
      </w:pPr>
      <w:r>
        <w:rPr>
          <w:rFonts w:ascii="Arial" w:cs="Arial" w:eastAsia="Arial" w:hAnsi="Arial"/>
          <w:sz w:val="16"/>
          <w:szCs w:val="16"/>
          <w:color w:val="auto"/>
        </w:rPr>
        <w:t>At June 30, 2008, accounts receivable increased by $14.5 million, compared to end-of-year 2007, primarily due to higher receivable balances related to our collaborations with sanofi-aventis. Also, our deferred revenue balances at June 30, 2008 increased by $6.5 million, compared to end-of-year 2007, primarily due to the receipt of the $20.0 million payments from AstraZeneca and Astellas, as described above, which were deferred and are being recognized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ratably over the ensuing year. This increase was partly offset by amortization of previously received deferred payments under our collaborations with sanofi-aventis and Bayer HealthCare.</w:t>
      </w:r>
    </w:p>
    <w:p>
      <w:pPr>
        <w:spacing w:after="0" w:line="62" w:lineRule="exact"/>
        <w:rPr>
          <w:sz w:val="20"/>
          <w:szCs w:val="20"/>
          <w:color w:val="auto"/>
        </w:rPr>
      </w:pPr>
    </w:p>
    <w:p>
      <w:pPr>
        <w:ind w:right="40" w:firstLine="215"/>
        <w:spacing w:after="0" w:line="293" w:lineRule="auto"/>
        <w:rPr>
          <w:sz w:val="20"/>
          <w:szCs w:val="20"/>
          <w:color w:val="auto"/>
        </w:rPr>
      </w:pPr>
      <w:r>
        <w:rPr>
          <w:rFonts w:ascii="Arial" w:cs="Arial" w:eastAsia="Arial" w:hAnsi="Arial"/>
          <w:sz w:val="16"/>
          <w:szCs w:val="16"/>
          <w:color w:val="auto"/>
        </w:rPr>
        <w:t>At June 30, 2007, accounts receivable balances increased by $13.0 million, compared to end-of-year 2006, primarily due to amounts receivable from sanofi-aventis and Bayer HealthCare for reimbursements of our aflibercept and VEGF Trap-Eye development costs, respectively. Also, our deferred revenue balances at June 30, 2007 increased by $36.6 million, compared to end-of-year 2006, primarily due to the initial $20.0 million up-front payments received from each of AstraZeneca and Astellas. These up-front payments have been recognized as revenue ratably over approximately the ensuing year of each non-exclusive license agreement. In addition, for the first six months of 2007, reimbursements from Bayer HealthCare of our 2007 VEGF Trap-Eye development expenses, totaling $10.6 million, had been fully deferred and included in deferred revenue for financial statement purposes, as described above.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(Used in) Investing Activities:</w:t>
      </w:r>
    </w:p>
    <w:p>
      <w:pPr>
        <w:spacing w:after="0" w:line="117" w:lineRule="exact"/>
        <w:rPr>
          <w:sz w:val="20"/>
          <w:szCs w:val="20"/>
          <w:color w:val="auto"/>
        </w:rPr>
      </w:pPr>
    </w:p>
    <w:p>
      <w:pPr>
        <w:ind w:right="120" w:firstLine="225"/>
        <w:spacing w:after="0" w:line="312" w:lineRule="auto"/>
        <w:rPr>
          <w:sz w:val="20"/>
          <w:szCs w:val="20"/>
          <w:color w:val="auto"/>
        </w:rPr>
      </w:pPr>
      <w:r>
        <w:rPr>
          <w:rFonts w:ascii="Arial" w:cs="Arial" w:eastAsia="Arial" w:hAnsi="Arial"/>
          <w:sz w:val="16"/>
          <w:szCs w:val="16"/>
          <w:color w:val="auto"/>
        </w:rPr>
        <w:t>Net cash used in investing activities was $116.6 million in the first six months of 2008 compared to $120.3 million in the same period of 2007, due primarily to a decrease in purchases of marketable securities net of sales or maturities. In the first half of 2008, purchases of marketable securities exceeded sales or maturities by $106.8 million, whereas in the first half of 2007, purchases of marketable securities exceeded sales or maturities by $117.3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Provided by Financing Activities:</w:t>
      </w:r>
    </w:p>
    <w:p>
      <w:pPr>
        <w:spacing w:after="0" w:line="117"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Cash used in financing activities was $78.5 million in the first six months of 2008 compared to cash provided by financing activities of $4.8 million in the same period of 2007. In the second quarter of 2008, the Company repurchased $81.3 million in principal amount of our convertible senior subordinated notes for $82.1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ind w:right="80" w:firstLine="225"/>
        <w:spacing w:after="0" w:line="297" w:lineRule="auto"/>
        <w:rPr>
          <w:sz w:val="20"/>
          <w:szCs w:val="20"/>
          <w:color w:val="auto"/>
        </w:rPr>
      </w:pPr>
      <w:r>
        <w:rPr>
          <w:rFonts w:ascii="Arial" w:cs="Arial" w:eastAsia="Arial" w:hAnsi="Arial"/>
          <w:sz w:val="16"/>
          <w:szCs w:val="16"/>
          <w:color w:val="auto"/>
        </w:rPr>
        <w:t>Our additions to property, plant, and equipment totaled $11.3 million and $3.5 million for the first half of 2008 and 2007, respectively. During the remainder of 2008, we expect to incur approximately $45 to $55 million in capital expenditures primarily in connection with expanding our manufacturing capacity at our Rensselaer, New York facilities and tenant improvements and related costs in connection with our new Tarrytown operating lease. We expect that approximately $30 million of projected 2008 Tarrytown tenant improvement costs will be reimbursed by our landlord in connection with our new operating lease. We currently anticipate that other 2008 capital expenditures will be funded from our existing capital resources.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Debt:</w:t>
      </w:r>
    </w:p>
    <w:p>
      <w:pPr>
        <w:spacing w:after="0" w:line="117" w:lineRule="exact"/>
        <w:rPr>
          <w:sz w:val="20"/>
          <w:szCs w:val="20"/>
          <w:color w:val="auto"/>
        </w:rPr>
      </w:pPr>
    </w:p>
    <w:p>
      <w:pPr>
        <w:jc w:val="both"/>
        <w:ind w:right="180" w:firstLine="225"/>
        <w:spacing w:after="0" w:line="312" w:lineRule="auto"/>
        <w:rPr>
          <w:sz w:val="20"/>
          <w:szCs w:val="20"/>
          <w:color w:val="auto"/>
        </w:rPr>
      </w:pPr>
      <w:r>
        <w:rPr>
          <w:rFonts w:ascii="Arial" w:cs="Arial" w:eastAsia="Arial" w:hAnsi="Arial"/>
          <w:sz w:val="16"/>
          <w:szCs w:val="16"/>
          <w:color w:val="auto"/>
        </w:rPr>
        <w:t>In 2001, we issued $200.0 million aggregate principal amount of convertible senior subordinated notes, which bear interest at 5.5% per annum, payable semi-annually, and mature in October 2008. In June 2008, we repurchased $81.3 million in principal amount of our notes for $82.1 million. The remaining $118.7 million of outstanding notes are convertible into shares of our Common Stock at a conversion price of approximately $30.25 per share, subject to</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adjustment in certain circumstances. We may repurchase some or all of the remaining notes prior to maturity from our existing capital resources. If the price per share of our Common Stock is above $30.25 at maturity, we would expect the remaining outstanding notes to convert into shares of Common Stock. Otherwise, we will be required to repay the remaining aggregate principal amount of the notes at maturity from our existing capital resources.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Cellectis:</w:t>
      </w:r>
    </w:p>
    <w:p>
      <w:pPr>
        <w:spacing w:after="0" w:line="117" w:lineRule="exact"/>
        <w:rPr>
          <w:sz w:val="20"/>
          <w:szCs w:val="20"/>
          <w:color w:val="auto"/>
        </w:rPr>
      </w:pPr>
    </w:p>
    <w:p>
      <w:pPr>
        <w:jc w:val="center"/>
        <w:spacing w:after="0" w:line="291" w:lineRule="auto"/>
        <w:rPr>
          <w:sz w:val="20"/>
          <w:szCs w:val="20"/>
          <w:color w:val="auto"/>
        </w:rPr>
      </w:pPr>
      <w:r>
        <w:rPr>
          <w:rFonts w:ascii="Arial" w:cs="Arial" w:eastAsia="Arial" w:hAnsi="Arial"/>
          <w:sz w:val="16"/>
          <w:szCs w:val="16"/>
          <w:color w:val="auto"/>
        </w:rPr>
        <w:t>As described above, in July 2008, we and Cellectis entered into an Amended and Restated Non-Exclusive License Agreement. Pursuant to the amended license agreement, in July 2008, we made a non-refundable $12.5 million payment to Cellectis and agreed to pay Cellectis a low single-digit royalty based on</w:t>
      </w:r>
    </w:p>
    <w:p>
      <w:pPr>
        <w:spacing w:after="0" w:line="217" w:lineRule="auto"/>
        <w:rPr>
          <w:sz w:val="20"/>
          <w:szCs w:val="20"/>
          <w:color w:val="auto"/>
        </w:rPr>
      </w:pPr>
      <w:r>
        <w:rPr>
          <w:rFonts w:ascii="Arial" w:cs="Arial" w:eastAsia="Arial" w:hAnsi="Arial"/>
          <w:sz w:val="18"/>
          <w:szCs w:val="18"/>
          <w:color w:val="auto"/>
        </w:rPr>
        <w:t xml:space="preserve">revenue received by us from any future licenses or sales of our </w:t>
      </w:r>
      <w:r>
        <w:rPr>
          <w:rFonts w:ascii="Arial" w:cs="Arial" w:eastAsia="Arial" w:hAnsi="Arial"/>
          <w:sz w:val="18"/>
          <w:szCs w:val="18"/>
          <w:i w:val="1"/>
          <w:iCs w:val="1"/>
          <w:color w:val="auto"/>
        </w:rPr>
        <w:t>VelociGene</w:t>
      </w:r>
      <w:r>
        <w:rPr>
          <w:rFonts w:ascii="Arial" w:cs="Arial" w:eastAsia="Arial" w:hAnsi="Arial"/>
          <w:sz w:val="30"/>
          <w:szCs w:val="30"/>
          <w:i w:val="1"/>
          <w:iCs w:val="1"/>
          <w:color w:val="auto"/>
          <w:vertAlign w:val="superscript"/>
        </w:rPr>
        <w:t>®</w:t>
      </w:r>
      <w:r>
        <w:rPr>
          <w:rFonts w:ascii="Arial" w:cs="Arial" w:eastAsia="Arial" w:hAnsi="Arial"/>
          <w:sz w:val="18"/>
          <w:szCs w:val="18"/>
          <w:color w:val="auto"/>
        </w:rPr>
        <w:t xml:space="preserve"> or </w:t>
      </w:r>
      <w:r>
        <w:rPr>
          <w:rFonts w:ascii="Arial" w:cs="Arial" w:eastAsia="Arial" w:hAnsi="Arial"/>
          <w:sz w:val="18"/>
          <w:szCs w:val="18"/>
          <w:i w:val="1"/>
          <w:iCs w:val="1"/>
          <w:color w:val="auto"/>
        </w:rPr>
        <w:t>VelocImmune</w:t>
      </w:r>
      <w:r>
        <w:rPr>
          <w:rFonts w:ascii="Arial" w:cs="Arial" w:eastAsia="Arial" w:hAnsi="Arial"/>
          <w:sz w:val="30"/>
          <w:szCs w:val="30"/>
          <w:i w:val="1"/>
          <w:iCs w:val="1"/>
          <w:color w:val="auto"/>
          <w:vertAlign w:val="superscript"/>
        </w:rPr>
        <w:t>®</w:t>
      </w:r>
      <w:r>
        <w:rPr>
          <w:rFonts w:ascii="Arial" w:cs="Arial" w:eastAsia="Arial" w:hAnsi="Arial"/>
          <w:sz w:val="18"/>
          <w:szCs w:val="18"/>
          <w:color w:val="auto"/>
        </w:rPr>
        <w:t xml:space="preserve"> products and services. No royalties are payable with respect to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license agreements with AstraZeneca and Astellas or our November 2007 collaboration with sanofi-aventis. Moreover, no royalties are payable on any revenue from commercial sales of antibodies from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w:t>
      </w:r>
    </w:p>
    <w:p>
      <w:pPr>
        <w:spacing w:after="0" w:line="96" w:lineRule="exact"/>
        <w:rPr>
          <w:sz w:val="20"/>
          <w:szCs w:val="20"/>
          <w:color w:val="auto"/>
        </w:rPr>
      </w:pPr>
    </w:p>
    <w:p>
      <w:pPr>
        <w:ind w:right="60" w:firstLine="225"/>
        <w:spacing w:after="0" w:line="312" w:lineRule="auto"/>
        <w:rPr>
          <w:sz w:val="20"/>
          <w:szCs w:val="20"/>
          <w:color w:val="auto"/>
        </w:rPr>
      </w:pPr>
      <w:r>
        <w:rPr>
          <w:rFonts w:ascii="Arial" w:cs="Arial" w:eastAsia="Arial" w:hAnsi="Arial"/>
          <w:sz w:val="16"/>
          <w:szCs w:val="16"/>
          <w:color w:val="auto"/>
        </w:rPr>
        <w:t>In July 2008, we and Cellectis also entered into a Subscription Agreement pursuant to which we would purchase 368,301 ordinary shares of Cellectis at a price of EUR 8.63 per share (which is equivalent to $13.59 at the June 30 EUR exchange rate). The purchase is contingent upon approval by the board of directors of Cellectis and by the shareholders of Cellectis at an extraordinary general meeting to be held no later than October 30, 2008.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40" w:firstLine="222"/>
        <w:spacing w:after="0" w:line="291" w:lineRule="auto"/>
        <w:rPr>
          <w:sz w:val="20"/>
          <w:szCs w:val="20"/>
          <w:color w:val="auto"/>
        </w:rPr>
      </w:pPr>
      <w:r>
        <w:rPr>
          <w:rFonts w:ascii="Arial" w:cs="Arial" w:eastAsia="Arial" w:hAnsi="Arial"/>
          <w:sz w:val="16"/>
          <w:szCs w:val="16"/>
          <w:color w:val="auto"/>
        </w:rPr>
        <w:t>We expect to continue to incur substantial funding requirements primarily for research and development activities (including preclinical and clinical testing). Before taking into account reimbursements from collaborators and potential repayment of our remaining convertible debt (as described above), and exclusive of product revenues and costs in connection with ARCALYST</w:t>
      </w:r>
      <w:r>
        <w:rPr>
          <w:rFonts w:ascii="Arial" w:cs="Arial" w:eastAsia="Arial" w:hAnsi="Arial"/>
          <w:sz w:val="13"/>
          <w:szCs w:val="13"/>
          <w:color w:val="auto"/>
        </w:rPr>
        <w:t>®</w:t>
      </w:r>
      <w:r>
        <w:rPr>
          <w:rFonts w:ascii="Arial" w:cs="Arial" w:eastAsia="Arial" w:hAnsi="Arial"/>
          <w:sz w:val="16"/>
          <w:szCs w:val="16"/>
          <w:color w:val="auto"/>
        </w:rPr>
        <w:t xml:space="preserve"> (rilonacept) for the treatment of CAPS, we currently anticipate that approximately 50-60% of our expenditures for 2008 will be directed toward the preclinical and clinical development of product candidates, including ARCALYST in other indications, aflibercept, VEGF Trap-Eye, and monoclonal antibodies (including REGN88 and the Dll4 antibody); approximately 15-20% of our expenditures for 2008 will be applied to our basic research and early preclinical activities, and the remainder of our expenditures for 2008 will be used for the continued development of our novel technology platforms, capital expenditures, and general corporate purposes.</w:t>
      </w:r>
    </w:p>
    <w:p>
      <w:pPr>
        <w:spacing w:after="0" w:line="59"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We currently anticipate that in 2008 the commercialization of ARCALYST for the treatment of CAPS will not materially enhance or otherwise materially impact the Company’s cash flows.</w:t>
      </w:r>
    </w:p>
    <w:p>
      <w:pPr>
        <w:spacing w:after="0" w:line="62"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amount we need to fund our operations will depend on various factors, including the status of competitive products, sales of ARCALYST, the success of our research and development programs, the potential future need to expand our professional and support staff and facilities, the status of patents and other intellectual property rights, the delay or failure of a clinical trial of any of our potential drug candidates, and the continuation, extent, and success of our collaborations with sanofi-aventis and Bayer HealthCare. Clinical trial costs are dependent, among other things, on the size and duration of trials, fees charged for services provided by</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clinical trial investigators and other third parties, the costs for manufacturing the product candidate for use in the trials, and for supplies, laboratory tests, and other expenses. The amount of funding that will be required for our clinical programs depends upon the results of our research and preclinical programs and early-stage clinical trials, regulatory requirements, the duration and results of clinical trials underway and of additional clinical trials that we decide to initiate, and the various factors that affect the cost of each trial as described above. In the future, if we are able to successfully develop, market, and sell certain of our product candidates, we may be required to pay royalties or otherwise share the profits generated on such sales in connection with our collaboration and licensing agreements.</w:t>
      </w:r>
    </w:p>
    <w:p>
      <w:pPr>
        <w:spacing w:after="0" w:line="85"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We expect that expenses related to the filing, prosecution, defense, and enforcement of patent and other intellectual property claims will continue to be substantial as a result of patent filings and prosecutions in the United States and foreign countries.</w:t>
      </w:r>
    </w:p>
    <w:p>
      <w:pPr>
        <w:spacing w:after="0" w:line="62"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We believe that our existing capital resources, including funding we are entitled to receive under our collaboration and licensing agreements, will enable us to meet operating needs through at least 2012. However, this is a forward-looking statement based on our current operating plan, and there may be a change in projected revenues or expenses that would lead to our capital being consumed significantly before such time. If there is insufficient capital to fund all of our planned operations and activities, we believe we would prioritize available capital to fund the continued commercialization of ARCALYST</w:t>
      </w:r>
      <w:r>
        <w:rPr>
          <w:rFonts w:ascii="Arial" w:cs="Arial" w:eastAsia="Arial" w:hAnsi="Arial"/>
          <w:sz w:val="15"/>
          <w:szCs w:val="15"/>
          <w:color w:val="auto"/>
        </w:rPr>
        <w:t>®</w:t>
      </w:r>
      <w:r>
        <w:rPr>
          <w:rFonts w:ascii="Arial" w:cs="Arial" w:eastAsia="Arial" w:hAnsi="Arial"/>
          <w:sz w:val="18"/>
          <w:szCs w:val="18"/>
          <w:color w:val="auto"/>
        </w:rPr>
        <w:t xml:space="preserve"> (rilonacept) and the cost of preclinical and clinical development of our product candidates.</w:t>
      </w:r>
    </w:p>
    <w:p>
      <w:pPr>
        <w:spacing w:after="0" w:line="80" w:lineRule="exact"/>
        <w:rPr>
          <w:sz w:val="20"/>
          <w:szCs w:val="20"/>
          <w:color w:val="auto"/>
        </w:rPr>
      </w:pPr>
    </w:p>
    <w:p>
      <w:pPr>
        <w:ind w:right="20" w:firstLine="225"/>
        <w:spacing w:after="0" w:line="271" w:lineRule="auto"/>
        <w:rPr>
          <w:sz w:val="20"/>
          <w:szCs w:val="20"/>
          <w:color w:val="auto"/>
        </w:rPr>
      </w:pPr>
      <w:r>
        <w:rPr>
          <w:rFonts w:ascii="Arial" w:cs="Arial" w:eastAsia="Arial" w:hAnsi="Arial"/>
          <w:sz w:val="17"/>
          <w:szCs w:val="17"/>
          <w:color w:val="auto"/>
        </w:rPr>
        <w:t>Other than letters of credit totaling $1.7 million, including a $1.6 million letter of credit issued to our landlord in connection with our new operating lease for facilities in Tarrytown, New York, we have no off-balance sheet arrangements. In addition, we do not guarantee the obligations of any other entity. As of June 30, 2008, we had no established banking arrangements through which we could obtain short-term financing or a line of credit. In the event we need additional financing for the operation of our business, we will consider collaborative arrangements and additional public or private financing, including additional equity financing. Factors influencing the availability of additional financing include our progress in product development, investor perception of our prospects, and the general condition of the financial markets. We may not be able to secure the necessary funding through new collaborative arrangements or additional public or private offerings. If we cannot raise adequate funds to satisfy our capital requirements, we may have to delay, scale-back, or eliminate certain of our research and development activities or future operations. This could materially harm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Impact of Recently Issued Accounting Standards</w:t>
      </w:r>
    </w:p>
    <w:p>
      <w:pPr>
        <w:spacing w:after="0" w:line="121"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color w:val="auto"/>
        </w:rPr>
        <w:t xml:space="preserve">In November 2007, the Emerging Issues Task Force issued Statement No. 07-1, </w:t>
      </w:r>
      <w:r>
        <w:rPr>
          <w:rFonts w:ascii="Arial" w:cs="Arial" w:eastAsia="Arial" w:hAnsi="Arial"/>
          <w:sz w:val="18"/>
          <w:szCs w:val="18"/>
          <w:i w:val="1"/>
          <w:iCs w:val="1"/>
          <w:color w:val="auto"/>
        </w:rPr>
        <w:t>Accounting for Collaborative Arrangements</w:t>
      </w:r>
      <w:r>
        <w:rPr>
          <w:rFonts w:ascii="Arial" w:cs="Arial" w:eastAsia="Arial" w:hAnsi="Arial"/>
          <w:sz w:val="18"/>
          <w:szCs w:val="18"/>
          <w:color w:val="auto"/>
        </w:rPr>
        <w:t xml:space="preserve"> (EITF 07-1). EITF 07-01 defines collaborative arrangements and establishes reporting requirements for transactions between participants in a collaborative arrangement and between participants in the arrangement and third parties. EITF 07-1 also establishes the appropriate income statement presentation and classification for joint operating activities and payments between participants, as well as the sufficiency of the disclosures related to these arrangements. EITF 07-1 is effective for fiscal years beginning after December 15,</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2008, and will be applied retrospectively as a change in accounting principle for collaborative arrangements existing at the effective date. We are required to adopt EITF 07-1 for the fiscal year beginning January 1, 2009. Our management does not anticipate that the adoption of EITF 07-1 will have a material impact on our financial statements.</w:t>
      </w:r>
    </w:p>
    <w:p>
      <w:pPr>
        <w:spacing w:after="0" w:line="73" w:lineRule="exact"/>
        <w:rPr>
          <w:sz w:val="20"/>
          <w:szCs w:val="20"/>
          <w:color w:val="auto"/>
        </w:rPr>
      </w:pPr>
    </w:p>
    <w:p>
      <w:pPr>
        <w:ind w:right="60" w:firstLine="225"/>
        <w:spacing w:after="0" w:line="293" w:lineRule="auto"/>
        <w:rPr>
          <w:sz w:val="20"/>
          <w:szCs w:val="20"/>
          <w:color w:val="auto"/>
        </w:rPr>
      </w:pPr>
      <w:r>
        <w:rPr>
          <w:rFonts w:ascii="Arial" w:cs="Arial" w:eastAsia="Arial" w:hAnsi="Arial"/>
          <w:sz w:val="16"/>
          <w:szCs w:val="16"/>
          <w:color w:val="auto"/>
        </w:rPr>
        <w:t xml:space="preserve">In March 2008, the FASB issued SFAS 161, </w:t>
      </w:r>
      <w:r>
        <w:rPr>
          <w:rFonts w:ascii="Arial" w:cs="Arial" w:eastAsia="Arial" w:hAnsi="Arial"/>
          <w:sz w:val="16"/>
          <w:szCs w:val="16"/>
          <w:i w:val="1"/>
          <w:iCs w:val="1"/>
          <w:color w:val="auto"/>
        </w:rPr>
        <w:t>Disclosures about Derivative Instruments and Hedging Activities — an Amendment of FASB Statement 133</w:t>
      </w:r>
      <w:r>
        <w:rPr>
          <w:rFonts w:ascii="Arial" w:cs="Arial" w:eastAsia="Arial" w:hAnsi="Arial"/>
          <w:sz w:val="16"/>
          <w:szCs w:val="16"/>
          <w:color w:val="auto"/>
        </w:rPr>
        <w:t xml:space="preserve">. SFAS 161 enhances required disclosures regarding derivatives and hedging activities, including enhanced disclosures regarding how (a) an entity uses derivative instruments, (b) derivative instruments and related hedged items are accounted for under SFAS 133, </w:t>
      </w:r>
      <w:r>
        <w:rPr>
          <w:rFonts w:ascii="Arial" w:cs="Arial" w:eastAsia="Arial" w:hAnsi="Arial"/>
          <w:sz w:val="16"/>
          <w:szCs w:val="16"/>
          <w:i w:val="1"/>
          <w:iCs w:val="1"/>
          <w:color w:val="auto"/>
        </w:rPr>
        <w:t>Accounting for Derivative Instruments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Hedging Activities, </w:t>
      </w:r>
      <w:r>
        <w:rPr>
          <w:rFonts w:ascii="Arial" w:cs="Arial" w:eastAsia="Arial" w:hAnsi="Arial"/>
          <w:sz w:val="16"/>
          <w:szCs w:val="16"/>
          <w:color w:val="auto"/>
        </w:rPr>
        <w:t>and (c) derivative instruments and related hedged items affect an entity’s financial position, financial performance, and cash flows. SFAS</w:t>
      </w:r>
      <w:r>
        <w:rPr>
          <w:rFonts w:ascii="Arial" w:cs="Arial" w:eastAsia="Arial" w:hAnsi="Arial"/>
          <w:sz w:val="16"/>
          <w:szCs w:val="16"/>
          <w:i w:val="1"/>
          <w:iCs w:val="1"/>
          <w:color w:val="auto"/>
        </w:rPr>
        <w:t xml:space="preserve"> </w:t>
      </w:r>
      <w:r>
        <w:rPr>
          <w:rFonts w:ascii="Arial" w:cs="Arial" w:eastAsia="Arial" w:hAnsi="Arial"/>
          <w:sz w:val="16"/>
          <w:szCs w:val="16"/>
          <w:color w:val="auto"/>
        </w:rPr>
        <w:t>161 is effective for fiscal years and interim periods beginning after November 15, 2008. We are required to adopt SFAS 161 for the fiscal year beginning January 1, 2009. Our management does not anticipate that the adoption of SFAS 161 will have a material impact on our financial statements.</w:t>
      </w:r>
    </w:p>
    <w:p>
      <w:pPr>
        <w:spacing w:after="0" w:line="5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In April 2008, the FASB issued FASB Staff Position (FSP) FAS 142-3, </w:t>
      </w:r>
      <w:r>
        <w:rPr>
          <w:rFonts w:ascii="Arial" w:cs="Arial" w:eastAsia="Arial" w:hAnsi="Arial"/>
          <w:sz w:val="18"/>
          <w:szCs w:val="18"/>
          <w:i w:val="1"/>
          <w:iCs w:val="1"/>
          <w:color w:val="auto"/>
        </w:rPr>
        <w:t>Determination of the Useful Life of Intangible Assets</w:t>
      </w:r>
      <w:r>
        <w:rPr>
          <w:rFonts w:ascii="Arial" w:cs="Arial" w:eastAsia="Arial" w:hAnsi="Arial"/>
          <w:sz w:val="18"/>
          <w:szCs w:val="18"/>
          <w:color w:val="auto"/>
        </w:rPr>
        <w:t xml:space="preserve">. This FSP amends the factors that should be considered in developing renewal or extension assumptions used to determine the useful life of a recognized intangible asset under SFAS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The intent of this FSP is to improve the consistency between the useful life of a recognized intangible asset under</w:t>
      </w:r>
      <w:r>
        <w:rPr>
          <w:rFonts w:ascii="Arial" w:cs="Arial" w:eastAsia="Arial" w:hAnsi="Arial"/>
          <w:sz w:val="18"/>
          <w:szCs w:val="18"/>
          <w:i w:val="1"/>
          <w:iCs w:val="1"/>
          <w:color w:val="auto"/>
        </w:rPr>
        <w:t xml:space="preserve"> </w:t>
      </w:r>
      <w:r>
        <w:rPr>
          <w:rFonts w:ascii="Arial" w:cs="Arial" w:eastAsia="Arial" w:hAnsi="Arial"/>
          <w:sz w:val="18"/>
          <w:szCs w:val="18"/>
          <w:color w:val="auto"/>
        </w:rPr>
        <w:t>SFAS 142 and the period of expected cash flows used to measure the fair value of the asset under SFAS 141R, and other generally accepted accounting principles (GAAP). This FSP is effective for fiscal years beginning after December 15, 2008. Early adoption is prohibited. We are required to adopt FSP FAS 142-3 for the fiscal year beginning January 1, 2009. Our management does not anticipate that the adoption of this FSP will have a material impact on our financial statements.</w:t>
      </w:r>
    </w:p>
    <w:p>
      <w:pPr>
        <w:spacing w:after="0" w:line="81" w:lineRule="exact"/>
        <w:rPr>
          <w:sz w:val="20"/>
          <w:szCs w:val="20"/>
          <w:color w:val="auto"/>
        </w:rPr>
      </w:pPr>
    </w:p>
    <w:p>
      <w:pPr>
        <w:ind w:right="140" w:firstLine="225"/>
        <w:spacing w:after="0" w:line="255" w:lineRule="auto"/>
        <w:rPr>
          <w:sz w:val="20"/>
          <w:szCs w:val="20"/>
          <w:color w:val="auto"/>
        </w:rPr>
      </w:pPr>
      <w:r>
        <w:rPr>
          <w:rFonts w:ascii="Arial" w:cs="Arial" w:eastAsia="Arial" w:hAnsi="Arial"/>
          <w:sz w:val="18"/>
          <w:szCs w:val="18"/>
          <w:color w:val="auto"/>
        </w:rPr>
        <w:t xml:space="preserve">In May 2008, the FASB issued SFAS 162, </w:t>
      </w:r>
      <w:r>
        <w:rPr>
          <w:rFonts w:ascii="Arial" w:cs="Arial" w:eastAsia="Arial" w:hAnsi="Arial"/>
          <w:sz w:val="18"/>
          <w:szCs w:val="18"/>
          <w:i w:val="1"/>
          <w:iCs w:val="1"/>
          <w:color w:val="auto"/>
        </w:rPr>
        <w:t>The Hierarchy of Generally Accepted Accounting Principles</w:t>
      </w:r>
      <w:r>
        <w:rPr>
          <w:rFonts w:ascii="Arial" w:cs="Arial" w:eastAsia="Arial" w:hAnsi="Arial"/>
          <w:sz w:val="18"/>
          <w:szCs w:val="18"/>
          <w:color w:val="auto"/>
        </w:rPr>
        <w:t xml:space="preserve">. SFAS 162 identifies the sources of accounting principles and the framework for selecting the principles used in the preparation of financial statements of nongovernmental entities that are presented in conformity with GAAP in the United States. Any effect of applying the provisions of SFAS 162 shall be reported as a change in accounting principle in accordance with SFAS 154, </w:t>
      </w:r>
      <w:r>
        <w:rPr>
          <w:rFonts w:ascii="Arial" w:cs="Arial" w:eastAsia="Arial" w:hAnsi="Arial"/>
          <w:sz w:val="18"/>
          <w:szCs w:val="18"/>
          <w:i w:val="1"/>
          <w:iCs w:val="1"/>
          <w:color w:val="auto"/>
        </w:rPr>
        <w:t>Accounting Changes and Error Corrections</w:t>
      </w:r>
      <w:r>
        <w:rPr>
          <w:rFonts w:ascii="Arial" w:cs="Arial" w:eastAsia="Arial" w:hAnsi="Arial"/>
          <w:sz w:val="18"/>
          <w:szCs w:val="18"/>
          <w:color w:val="auto"/>
        </w:rPr>
        <w:t xml:space="preserve">. SFAS 162 is effective 60 days following approval by the Securities and Exchange Commission of the Public Company Accounting Oversight Board amendments to AU Section 411, </w:t>
      </w:r>
      <w:r>
        <w:rPr>
          <w:rFonts w:ascii="Arial" w:cs="Arial" w:eastAsia="Arial" w:hAnsi="Arial"/>
          <w:sz w:val="18"/>
          <w:szCs w:val="18"/>
          <w:i w:val="1"/>
          <w:iCs w:val="1"/>
          <w:color w:val="auto"/>
        </w:rPr>
        <w:t>The Meaning of Present Fairly in Conformity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Generally Accepted Accounting Principles. </w:t>
      </w:r>
      <w:r>
        <w:rPr>
          <w:rFonts w:ascii="Arial" w:cs="Arial" w:eastAsia="Arial" w:hAnsi="Arial"/>
          <w:sz w:val="18"/>
          <w:szCs w:val="18"/>
          <w:color w:val="auto"/>
        </w:rPr>
        <w:t>Our management does not anticipate that the adoption of SFAS 162 will have a material impact on our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color w:val="auto"/>
        </w:rPr>
        <w:t>Our earnings and cash flows are subject to fluctuations due to changes in interest rates primarily from our investment of available cash balances in investment grade corporate, asset-backed, and U.S. government securities. We do not believe we are materially exposed to changes in interest rates. Under our current policies, we do not use interest rate derivative instruments to manage exposure to interest rate changes. We estimated that a one percent unfavorable change in interest rates would result in approximately a $2.0 million decrease in the fair value of our investment portfolio at both June 30, 2008 and 2007.</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Quality Risk:</w:t>
      </w:r>
    </w:p>
    <w:p>
      <w:pPr>
        <w:spacing w:after="0" w:line="117"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We have an investment policy that includes guidelines on acceptable investment securities, minimum credit quality, maturity parameters, and concentration and diversification. Nonetheless, deterioration of the credit quality of an investment security subsequent to purchase may subject us to the risk of not being able to recover the full principal value of the security. In the second half of 2007, we recognized a $5.9 million charge related to marketable securities from two issuers which we considered to be other than temporarily impaired in value. In the second quarter of 2008, an additional $0.5 million impairment charge was recognized related to one of these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Our management, with the participation of our chief executive officer and chief financial officer, conducted an evaluation of the effectiveness of our disclosure controls and procedures (as such term is defined in Rules 13a-15(e) and 15d-15(e) under the Securities Exchange Act of 1934, as amended (the “Exchange Act”)), as of the end of the period covered by this report. Based on this evaluation, our chief executive officer and chief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within the time periods specified in applicable rules and forms of the Securities and Exchange Commission, and is accumulated and communicated to our management, including our chief executive officer and chief financial officer, as appropriate to allow timely decisions regarding required disclosure.</w:t>
      </w:r>
    </w:p>
    <w:p>
      <w:pPr>
        <w:spacing w:after="0" w:line="70" w:lineRule="exact"/>
        <w:rPr>
          <w:sz w:val="20"/>
          <w:szCs w:val="20"/>
          <w:color w:val="auto"/>
        </w:rPr>
      </w:pPr>
    </w:p>
    <w:p>
      <w:pPr>
        <w:ind w:right="320" w:firstLine="222"/>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quarter ended June 30, 2008 that has materially affected, or is reasonably likely to materially affect, our internal control over financial reporting.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From time to time, we are a party to legal proceedings in the course of our business. We do not expect any such current legal proceedings to have a material adverse effect on our business or financial condition.</w:t>
      </w:r>
    </w:p>
    <w:p>
      <w:pPr>
        <w:spacing w:after="0" w:line="62" w:lineRule="exact"/>
        <w:rPr>
          <w:sz w:val="20"/>
          <w:szCs w:val="20"/>
          <w:color w:val="auto"/>
        </w:rPr>
      </w:pPr>
    </w:p>
    <w:p>
      <w:pPr>
        <w:jc w:val="both"/>
        <w:ind w:right="140" w:firstLine="225"/>
        <w:spacing w:after="0" w:line="302" w:lineRule="auto"/>
        <w:rPr>
          <w:sz w:val="20"/>
          <w:szCs w:val="20"/>
          <w:color w:val="auto"/>
        </w:rPr>
      </w:pPr>
      <w:r>
        <w:rPr>
          <w:rFonts w:ascii="Arial" w:cs="Arial" w:eastAsia="Arial" w:hAnsi="Arial"/>
          <w:sz w:val="16"/>
          <w:szCs w:val="16"/>
          <w:color w:val="auto"/>
        </w:rPr>
        <w:t>On July 1, 2008, we and Cellectis S.A. entered into an Amended and Restated Non-Exclusive License Agreement. This agreement resolved a previously disclosed dispute between the parties related to the interpretation of a license agreement entered into by the parties in December 2003 pursuant to which we licensed certain patents and patent applications relating to a process for the specific replacement of a copy of a gene in the receiver genome by homologous recombination. For a description of the Amended and Restated Non-Exclusive License Agreement, see “License Agreement with Cellectis” above.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We operate in an environment that involves a number of significant risks and uncertainties. We caution you to read the following risk factors, which have affected, and/or in the future could affect, our business, operating results, financial condition, and cash flows. The risks described below include forward-looking statements, and actual events and our actual results may differ substantially from those discussed in these forward-looking statements. Additional risks and uncertainties not currently known to us or that we currently deem immaterial may also impair our business operations. Furthermore, additional risks and uncertainties are described under other captions in this report and should be considered by our investors.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Need for Additional Financing</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have had a history of operating losses and we may never achieve profitability. If we continue to incur operating losses, we may be unable to continue our operations.</w:t>
      </w:r>
    </w:p>
    <w:p>
      <w:pPr>
        <w:spacing w:after="0" w:line="62" w:lineRule="exact"/>
        <w:rPr>
          <w:sz w:val="20"/>
          <w:szCs w:val="20"/>
          <w:color w:val="auto"/>
        </w:rPr>
      </w:pPr>
    </w:p>
    <w:p>
      <w:pPr>
        <w:jc w:val="both"/>
        <w:ind w:right="40" w:firstLine="225"/>
        <w:spacing w:after="0" w:line="312" w:lineRule="auto"/>
        <w:rPr>
          <w:sz w:val="20"/>
          <w:szCs w:val="20"/>
          <w:color w:val="auto"/>
        </w:rPr>
      </w:pPr>
      <w:r>
        <w:rPr>
          <w:rFonts w:ascii="Arial" w:cs="Arial" w:eastAsia="Arial" w:hAnsi="Arial"/>
          <w:sz w:val="16"/>
          <w:szCs w:val="16"/>
          <w:color w:val="auto"/>
        </w:rPr>
        <w:t>From inception on January 8, 1988 through June 30, 2008, we had a cumulative loss of $823.3 million. If we continue to incur operating losses and fail to become a profitable company, we may be unable to continue our operations. In the absence of substantial revenue from the sale of products or other sources, the amount, timing, nature or source of which cannot be predicted, our losses will continue as we conduct our research and development activities.</w:t>
      </w:r>
    </w:p>
    <w:p>
      <w:pPr>
        <w:spacing w:after="0" w:line="3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62"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We will need to expend substantial resources for research and development, including costs associated with clinical testing of our product candidates. We believe our existing capital resources, including funding we are entitled to receive under our collaboration agreements, will enable us to meet operating needs through at least 2012; however, one or more of our collaboration agreements may terminate, our projected revenue may decrease, or our expenses may increase and that would lead to our capital being consumed significantly before such time.</w:t>
      </w:r>
    </w:p>
    <w:p>
      <w:pPr>
        <w:spacing w:after="0" w:line="1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may require additional financing in the future and we may not be able to raise such additional funds. If we are able to obtain additional financing through the sale of equity or convertible debt securities, such sales may be dilutive to our shareholders. Debt financing arrangements may require us to pledge certain assets or enter into covenants that would restrict our business activities or our ability to incur further indebtedness and may contain other terms that are not favorable to our shareholders. If we are unable to raise sufficient funds to complete the development of our product candidates, we may face delay, reduction or elimination of our research and development programs or preclinical or clinical trials, in which case our business, financial condition or results of operations may be materially harmed.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significant amount of debt that is scheduled to mature in 2008.</w:t>
      </w:r>
    </w:p>
    <w:p>
      <w:pPr>
        <w:spacing w:after="0" w:line="117"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Following our recent repurchase of a portion of our outstanding convertible senior subordinated notes, we now have $118.7 million of convertible debt that, unless converted to shares of our Common Stock, will mature in October 2008. We could be required to use a significant portion of our cash to repay the principal amount of our debt.</w:t>
      </w:r>
    </w:p>
    <w:p>
      <w:pPr>
        <w:spacing w:after="0" w:line="177" w:lineRule="exact"/>
        <w:rPr>
          <w:sz w:val="20"/>
          <w:szCs w:val="20"/>
          <w:color w:val="auto"/>
        </w:rPr>
      </w:pPr>
    </w:p>
    <w:p>
      <w:pPr>
        <w:ind w:right="4280"/>
        <w:spacing w:after="0" w:line="425" w:lineRule="auto"/>
        <w:rPr>
          <w:sz w:val="20"/>
          <w:szCs w:val="20"/>
          <w:color w:val="auto"/>
        </w:rPr>
      </w:pPr>
      <w:r>
        <w:rPr>
          <w:rFonts w:ascii="Arial" w:cs="Arial" w:eastAsia="Arial" w:hAnsi="Arial"/>
          <w:sz w:val="16"/>
          <w:szCs w:val="16"/>
          <w:b w:val="1"/>
          <w:bCs w:val="1"/>
          <w:color w:val="auto"/>
        </w:rPr>
        <w:t>Risks Related to ARCALYST</w:t>
      </w:r>
      <w:r>
        <w:rPr>
          <w:rFonts w:ascii="Arial" w:cs="Arial" w:eastAsia="Arial" w:hAnsi="Arial"/>
          <w:sz w:val="13"/>
          <w:szCs w:val="13"/>
          <w:color w:val="auto"/>
        </w:rPr>
        <w:t>®</w:t>
      </w:r>
      <w:r>
        <w:rPr>
          <w:rFonts w:ascii="Arial" w:cs="Arial" w:eastAsia="Arial" w:hAnsi="Arial"/>
          <w:sz w:val="16"/>
          <w:szCs w:val="16"/>
          <w:b w:val="1"/>
          <w:bCs w:val="1"/>
          <w:color w:val="auto"/>
        </w:rPr>
        <w:t xml:space="preserve"> (rilonacept) and the Development of Our Product Candidates </w:t>
      </w:r>
      <w:r>
        <w:rPr>
          <w:rFonts w:ascii="Arial" w:cs="Arial" w:eastAsia="Arial" w:hAnsi="Arial"/>
          <w:sz w:val="16"/>
          <w:szCs w:val="16"/>
          <w:b w:val="1"/>
          <w:bCs w:val="1"/>
          <w:i w:val="1"/>
          <w:iCs w:val="1"/>
          <w:color w:val="auto"/>
        </w:rPr>
        <w:t>Successful development of any of our product candidates is highly uncertain.</w:t>
      </w:r>
    </w:p>
    <w:p>
      <w:pPr>
        <w:spacing w:after="0" w:line="1"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Only a small minority of all research and development programs ultimately result in commercially successful drugs. Even if clinical trials demonstrate safety and effectiveness of any of our product candidates for a specific disease and the necessary regulatory approvals are obtained, the commercial success of any of our product candidates will depend upon their acceptance by patients, the medical community, and third-party payers and on our partners’ ability to successfully manufacture and commercialize our product candidates. Our product candidates are delivered either by intravenous infusion or by intravitreal or subcutaneous injections, which are generally less well received by patients than tablet or capsule delivery. If our products are not successfully commercialized, we will not be able to recover the significant investment we have made in developing such products and our business would be severely harmed.</w:t>
      </w:r>
    </w:p>
    <w:p>
      <w:pPr>
        <w:spacing w:after="0" w:line="81" w:lineRule="exact"/>
        <w:rPr>
          <w:sz w:val="20"/>
          <w:szCs w:val="20"/>
          <w:color w:val="auto"/>
        </w:rPr>
      </w:pPr>
    </w:p>
    <w:p>
      <w:pPr>
        <w:ind w:right="160" w:firstLine="222"/>
        <w:spacing w:after="0" w:line="273" w:lineRule="auto"/>
        <w:rPr>
          <w:sz w:val="20"/>
          <w:szCs w:val="20"/>
          <w:color w:val="auto"/>
        </w:rPr>
      </w:pPr>
      <w:r>
        <w:rPr>
          <w:rFonts w:ascii="Arial" w:cs="Arial" w:eastAsia="Arial" w:hAnsi="Arial"/>
          <w:sz w:val="17"/>
          <w:szCs w:val="17"/>
          <w:color w:val="auto"/>
        </w:rPr>
        <w:t>We are studying aflibercept, VEGF Trap-Eye, ARCALYST, and REGN88 in a wide variety of indications. We are studying aflibercept in a variety of cancer settings, VEGF Trap-Eye in different eye diseases and ophthalmologic indications, ARCALYST in a variety of systemic inflammatory disorders, and REGN88 in a phase 1 rheumatoid arthritis trial. Many of these current trials are exploratory studies designed to identify what diseases and uses, if any, are best suited for our product candidates. It is likely that our product candidates will not demonstrate the requisite efficacy and/or safety profile to support continued development for most of the indications that are being, or are planned to be, studied. In fact, our product candidates may not demonstrate the requisite efficacy and safety profile to support the continued development for any of the indications or uses.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Clinical trials required for our product candidates are expensive and time-consuming, and their outcome is highly uncertain. If any of our drug trials are delayed or yield unfavorable results, we will have to delay or may be unable to obtain regulatory approval for our product candidates.</w:t>
      </w:r>
    </w:p>
    <w:p>
      <w:pPr>
        <w:spacing w:after="0" w:line="16" w:lineRule="exact"/>
        <w:rPr>
          <w:sz w:val="20"/>
          <w:szCs w:val="20"/>
          <w:color w:val="auto"/>
        </w:rPr>
      </w:pPr>
    </w:p>
    <w:p>
      <w:pPr>
        <w:ind w:right="20" w:firstLine="222"/>
        <w:spacing w:after="0" w:line="290" w:lineRule="auto"/>
        <w:rPr>
          <w:sz w:val="20"/>
          <w:szCs w:val="20"/>
          <w:color w:val="auto"/>
        </w:rPr>
      </w:pPr>
      <w:r>
        <w:rPr>
          <w:rFonts w:ascii="Arial" w:cs="Arial" w:eastAsia="Arial" w:hAnsi="Arial"/>
          <w:sz w:val="16"/>
          <w:szCs w:val="16"/>
          <w:color w:val="auto"/>
        </w:rPr>
        <w:t>We must conduct extensive testing of our product candidates before we can obtain regulatory approval to market and sell them. We need to conduct both preclinical animal testing and human clinical trials. Conducting these trials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difficulty in enrolling and maintaining subjects in the clinical trial, lack of sufficient supplies of the product candidate or comparator drug, and the failure of clinical investigators, trial monitors and other consultants, or trial subjects to comply with the trial plan or protocol. A clinical trial may fail because it did not include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w:t>
      </w:r>
    </w:p>
    <w:p>
      <w:pPr>
        <w:spacing w:after="0" w:line="58" w:lineRule="exact"/>
        <w:rPr>
          <w:sz w:val="20"/>
          <w:szCs w:val="20"/>
          <w:color w:val="auto"/>
        </w:rPr>
      </w:pPr>
    </w:p>
    <w:p>
      <w:pPr>
        <w:ind w:right="40" w:firstLine="222"/>
        <w:spacing w:after="0" w:line="276" w:lineRule="auto"/>
        <w:rPr>
          <w:sz w:val="20"/>
          <w:szCs w:val="20"/>
          <w:color w:val="auto"/>
        </w:rPr>
      </w:pPr>
      <w:r>
        <w:rPr>
          <w:rFonts w:ascii="Arial" w:cs="Arial" w:eastAsia="Arial" w:hAnsi="Arial"/>
          <w:sz w:val="17"/>
          <w:szCs w:val="17"/>
          <w:color w:val="auto"/>
        </w:rPr>
        <w:t>We will need to reevaluate any drug candidate that does not test favorably and either conduct new trials, which are expensive and time consuming, or abandon the drug development program. Even if we obtain positive results from preclinical or clinical trials, we may not achieve the same success in future trials. Many companies in the biopharmaceutical industry, including us, have suffered significant setbacks in clinical trials, even after promising results have been obtained in earlier trials. The failure of clinical trials to demonstrate safety and effectiveness for the desired indication(s) could harm the development of our product candidate(s), and our business, financial condition, and results of operations may be materially harmed.</w:t>
      </w:r>
    </w:p>
    <w:p>
      <w:pPr>
        <w:spacing w:after="0" w:line="64"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b w:val="1"/>
          <w:bCs w:val="1"/>
          <w:i w:val="1"/>
          <w:iCs w:val="1"/>
          <w:color w:val="auto"/>
        </w:rPr>
        <w:t>Serious complications or side effects have occurred, and may continue to occur, in connection with the use of our approved product and in clinical trials of some of our product candidates which could cause our regulatory approval to be revoked or otherwise negatively affected or lead to delay or discontinuation of development of our product candidates which could severely harm our business.</w:t>
      </w:r>
    </w:p>
    <w:p>
      <w:pPr>
        <w:spacing w:after="0" w:line="57"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It is possible as we test our drug candidates in larger, longer, and more extensive clinical programs, illnesses, injuries, and discomforts that were observed in earlier trials, as well as conditions that did not occur or went undetected in smaller previous trials, will be reported by patients. Many times, side effects are only detectable after investigational drugs are tested in large scale, Phase 3 clinical trials or, in some cases, after they are made available to patients after approval. If additional clinical experience indicates that any of our product candidates has many side effects or causes serious or life-threatening side effects, the development of the product candidate may fail or be delayed, which would severely harm our business.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Our aflibercept (VEGF Trap) is being studied for the potential treatment of certain types of cancer and our VEGF Trap-Eye candidate is being studied in diseases of the eye. There are many potential safety concerns associated with significant blockade of vascular endothelial growth factor, or VEGF. These serious and potentially life-threatening risks, based on the clinical and preclinical experience of systemically delivered VEGF inhibitors, including the systemic delivery of the VEGF Trap, include bleeding, intestinal perforation, hypertension, and proteinuria. These serious side effects and other serious side effects have been reported in our systemic VEGF Trap studies in cancer and diseases of the eye. In addition, patients given infusions of any protein, including the VEGF Trap delivered through intravenous administration, may develop severe hypersensitivity reactions or infusion reactions. Other VEGF blockers have reported side effects that became evident only after large scale trials or after marketing approval and large number of patients were treated. These include side effects that we have not yet seen in our trials such as heart attack and stroke. These and other complications or side effects could harm the development of aflibercept for the treatment of cancer or VEGF Trap-Eye for the treatment of diseases of the eye.</w:t>
      </w:r>
    </w:p>
    <w:p>
      <w:pPr>
        <w:spacing w:after="0" w:line="59"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We have tested ARCALYST in only a small number of patients with CAPS. As more patients begin to use our product and as we test it in new disease settings, new risks and side effects associated with ARCALYST may be discovered, and risks previously viewed as inconsequential could be determined to be significant. Like cytokine antagonists such as Kineret</w:t>
      </w:r>
      <w:r>
        <w:rPr>
          <w:rFonts w:ascii="Arial" w:cs="Arial" w:eastAsia="Arial" w:hAnsi="Arial"/>
          <w:sz w:val="14"/>
          <w:szCs w:val="14"/>
          <w:color w:val="auto"/>
        </w:rPr>
        <w:t>®</w:t>
      </w:r>
      <w:r>
        <w:rPr>
          <w:rFonts w:ascii="Arial" w:cs="Arial" w:eastAsia="Arial" w:hAnsi="Arial"/>
          <w:sz w:val="17"/>
          <w:szCs w:val="17"/>
          <w:color w:val="auto"/>
        </w:rPr>
        <w:t xml:space="preserve"> (Amgen, Inc.), Enbrel</w:t>
      </w:r>
      <w:r>
        <w:rPr>
          <w:rFonts w:ascii="Arial" w:cs="Arial" w:eastAsia="Arial" w:hAnsi="Arial"/>
          <w:sz w:val="14"/>
          <w:szCs w:val="14"/>
          <w:color w:val="auto"/>
        </w:rPr>
        <w:t>Ò</w:t>
      </w:r>
      <w:r>
        <w:rPr>
          <w:rFonts w:ascii="Arial" w:cs="Arial" w:eastAsia="Arial" w:hAnsi="Arial"/>
          <w:sz w:val="17"/>
          <w:szCs w:val="17"/>
          <w:color w:val="auto"/>
        </w:rPr>
        <w:t xml:space="preserve"> (Immunex Corporation), and Remicade</w:t>
      </w:r>
      <w:r>
        <w:rPr>
          <w:rFonts w:ascii="Arial" w:cs="Arial" w:eastAsia="Arial" w:hAnsi="Arial"/>
          <w:sz w:val="14"/>
          <w:szCs w:val="14"/>
          <w:color w:val="auto"/>
        </w:rPr>
        <w:t>Ò</w:t>
      </w:r>
      <w:r>
        <w:rPr>
          <w:rFonts w:ascii="Arial" w:cs="Arial" w:eastAsia="Arial" w:hAnsi="Arial"/>
          <w:sz w:val="17"/>
          <w:szCs w:val="17"/>
          <w:color w:val="auto"/>
        </w:rPr>
        <w:t xml:space="preserve"> (Centocor, Inc.), ARCALYST affects the immune defense system of the body by blocking some of its functions. Therefore, ARCALYST may interfere with the body’s ability to fight infections. Treatment with Kineret</w:t>
      </w:r>
      <w:r>
        <w:rPr>
          <w:rFonts w:ascii="Arial" w:cs="Arial" w:eastAsia="Arial" w:hAnsi="Arial"/>
          <w:sz w:val="14"/>
          <w:szCs w:val="14"/>
          <w:color w:val="auto"/>
        </w:rPr>
        <w:t>®</w:t>
      </w:r>
      <w:r>
        <w:rPr>
          <w:rFonts w:ascii="Arial" w:cs="Arial" w:eastAsia="Arial" w:hAnsi="Arial"/>
          <w:sz w:val="17"/>
          <w:szCs w:val="17"/>
          <w:color w:val="auto"/>
        </w:rPr>
        <w:t xml:space="preserve"> (Amgen), a medication that works through the inhibition of IL-1, has been associated with an increased risk of serious infections, and serious, life threatening infections have been reported in patients taking ARCALYST. These or other complications or side effects could cause regulatory authorities to revoke approvals of ARCALYST. Alternatively, we may be required to conduct additional clinical trials, make changes in the labeling of our product, or limit or abandon our efforts to develop ARCALYST in new disease settings. These side effects may also result in a reduction, or even the elimination, of sales of ARCALYST in approved indications.</w:t>
      </w:r>
    </w:p>
    <w:p>
      <w:pPr>
        <w:spacing w:after="0" w:line="7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ARCALYST</w:t>
      </w:r>
      <w:r>
        <w:rPr>
          <w:rFonts w:ascii="Arial" w:cs="Arial" w:eastAsia="Arial" w:hAnsi="Arial"/>
          <w:sz w:val="15"/>
          <w:szCs w:val="15"/>
          <w:color w:val="auto"/>
        </w:rPr>
        <w:t>®</w:t>
      </w:r>
      <w:r>
        <w:rPr>
          <w:rFonts w:ascii="Arial" w:cs="Arial" w:eastAsia="Arial" w:hAnsi="Arial"/>
          <w:sz w:val="18"/>
          <w:szCs w:val="18"/>
          <w:b w:val="1"/>
          <w:bCs w:val="1"/>
          <w:i w:val="1"/>
          <w:iCs w:val="1"/>
          <w:color w:val="auto"/>
        </w:rPr>
        <w:t xml:space="preserve"> (rilonacept) and our product candidates in development are recombinant proteins that could cause an immune response, resulting in the creation of harmful or neutralizing antibodies against the therapeutic protein.</w:t>
      </w:r>
    </w:p>
    <w:p>
      <w:pPr>
        <w:spacing w:after="0" w:line="62"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 react with the patient’s own proteins, resulting in an “auto-immune” type disease. Whether antibodies will be created can often not be predicted from preclinical or clinical experiments, and their detection or appearance is often delayed, so that there can be no assurance that neutralizing antibodies will not be detected at a later date, in some cases even after pivotal clinical trials have been completed. Antibodies directed against the receptor domains of rilonacept were detected in patients with CAPS after treatment with ARCALYST</w:t>
      </w:r>
      <w:r>
        <w:rPr>
          <w:rFonts w:ascii="Arial" w:cs="Arial" w:eastAsia="Arial" w:hAnsi="Arial"/>
          <w:sz w:val="14"/>
          <w:szCs w:val="14"/>
          <w:color w:val="auto"/>
        </w:rPr>
        <w:t>®</w:t>
      </w:r>
      <w:r>
        <w:rPr>
          <w:rFonts w:ascii="Arial" w:cs="Arial" w:eastAsia="Arial" w:hAnsi="Arial"/>
          <w:sz w:val="17"/>
          <w:szCs w:val="17"/>
          <w:color w:val="auto"/>
        </w:rPr>
        <w:t xml:space="preserve"> (rilonacept). Nineteen of 55 subjects (35%) who</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received ARCALYST for at least 6 weeks tested positive for treatment-emerging binding antibodies on at least one occasion. To date, no side effects related to antibodies were observed in these subjects and there were no observed effects on drug efficacy or drug levels. It is possible that as we continue to test aflibercept and VEGF Trap-Eye with more sensitive assays in different patient populations and larger clinical trials, we will find that subjects given aflibercept and VEGF Trap-Eye develop antibodies to these product candidates, and may also experience side effects related to the antibodies, which could adversely impact the development of such candidates.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formulate or manufacture our product candidates in a way that is suitable for clinical or commercial use.</w:t>
      </w:r>
    </w:p>
    <w:p>
      <w:pPr>
        <w:spacing w:after="0" w:line="117" w:lineRule="exact"/>
        <w:rPr>
          <w:sz w:val="20"/>
          <w:szCs w:val="20"/>
          <w:color w:val="auto"/>
        </w:rPr>
      </w:pPr>
    </w:p>
    <w:p>
      <w:pPr>
        <w:ind w:right="100" w:firstLine="225"/>
        <w:spacing w:after="0" w:line="276" w:lineRule="auto"/>
        <w:rPr>
          <w:sz w:val="20"/>
          <w:szCs w:val="20"/>
          <w:color w:val="auto"/>
        </w:rPr>
      </w:pPr>
      <w:r>
        <w:rPr>
          <w:rFonts w:ascii="Arial" w:cs="Arial" w:eastAsia="Arial" w:hAnsi="Arial"/>
          <w:sz w:val="17"/>
          <w:szCs w:val="17"/>
          <w:color w:val="auto"/>
        </w:rPr>
        <w:t>Changes in product formulations and manufacturing processes may be required as product candidates progress in clinical development and are ultimately commercialized. If we are unable to develop suitable product formulations or manufacturing processes to support large scale clinical testing of our product candidates, including aflibercept, VEGF Trap-Eye, and REGN88, we may be unable to supply necessary materials for our clinical trials, which would delay the development of our product candidates. Similarly, if we are unable to supply sufficient quantities of our product or develop product formulations suitable for commercial use, we will not be able to successfully commercialize our product candidates.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62"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Our business requires using sensitive and proprietary technology and other information that we protect as trade secrets. We seek to prevent improper disclosure of these trade secrets through confidentiality agreements. If our trade secrets are improperly exposed, either by our own employees or our collaborators, it would help our competitors and adversely affect our business. We will be able to protect our proprietary rights from unauthorized use by third parties only to the extent that our rights are covered by valid and enforceable patents or are effectively maintained as trade secrets. The patent position of biotechnology companies involves complex legal and factual questions and, therefore, enforceability cannot be predicted with certainty. Our patents may be challenged, invalidated, or circumvented. Patent applications filed outside the United States may be challenged by third parties who file an opposition. Such opposition proceedings are increasingly common in the European Union and are costly to defend. We have patent applications that are being opposed and it is likely that we will need to defend additional patent applications in the future.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be restricted in our development and/or commercialization activities by, and could be subject to damage awards if we are found to have infringed, third party patents or other proprietary rights.</w:t>
      </w:r>
    </w:p>
    <w:p>
      <w:pPr>
        <w:spacing w:after="0" w:line="62"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Our commercial success depends significantly on our ability to operate without infringing the patents and other proprietary rights of third parties. Other parties may allege that they have blocking patents to our products in clinical development, either because they claim to hold proprietary rights to the composition of a product or the way it is manufactured or used. Moreover, other parties may allege that they have blocking patents to antibody products made</w:t>
      </w:r>
    </w:p>
    <w:p>
      <w:pPr>
        <w:ind w:right="280"/>
        <w:spacing w:after="0" w:line="205" w:lineRule="auto"/>
        <w:rPr>
          <w:sz w:val="20"/>
          <w:szCs w:val="20"/>
          <w:color w:val="auto"/>
        </w:rPr>
      </w:pPr>
      <w:r>
        <w:rPr>
          <w:rFonts w:ascii="Arial" w:cs="Arial" w:eastAsia="Arial" w:hAnsi="Arial"/>
          <w:sz w:val="18"/>
          <w:szCs w:val="18"/>
          <w:color w:val="auto"/>
        </w:rPr>
        <w:t xml:space="preserve">using our </w:t>
      </w:r>
      <w:r>
        <w:rPr>
          <w:rFonts w:ascii="Arial" w:cs="Arial" w:eastAsia="Arial" w:hAnsi="Arial"/>
          <w:sz w:val="18"/>
          <w:szCs w:val="18"/>
          <w:i w:val="1"/>
          <w:iCs w:val="1"/>
          <w:color w:val="auto"/>
        </w:rPr>
        <w:t>VelocImmune</w:t>
      </w:r>
      <w:r>
        <w:rPr>
          <w:rFonts w:ascii="Arial" w:cs="Arial" w:eastAsia="Arial" w:hAnsi="Arial"/>
          <w:sz w:val="30"/>
          <w:szCs w:val="30"/>
          <w:i w:val="1"/>
          <w:iCs w:val="1"/>
          <w:color w:val="auto"/>
          <w:vertAlign w:val="superscript"/>
        </w:rPr>
        <w:t>®</w:t>
      </w:r>
      <w:r>
        <w:rPr>
          <w:rFonts w:ascii="Arial" w:cs="Arial" w:eastAsia="Arial" w:hAnsi="Arial"/>
          <w:sz w:val="18"/>
          <w:szCs w:val="18"/>
          <w:color w:val="auto"/>
        </w:rPr>
        <w:t xml:space="preserve"> technology, either because of the way the antibodies are discovered or produced or because of a proprietary position covering an antibody or the antibody’s target.</w:t>
      </w:r>
    </w:p>
    <w:p>
      <w:pPr>
        <w:spacing w:after="0" w:line="95"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We are aware of patents and pending applications owned by Genentech that claim certain chimeric VEGF receptor compositions. Although we do not believe that aflibercept or VEGF Trap-Eye infringes any valid claim in these patents or patent applications, Genentech could initiate a lawsuit for patent infringement and assert that its patents are valid and cover aflibercept or VEGF Trap-Eye. Genentech may be motivated to initiate such a lawsuit at some point in an effort to impair our ability to develop and sell aflibercept or VEGF Trap-Eye, which represents a potential competitive threat to Genentech’s VEGF-binding products and product candidates. An adverse determination by a court in any such potential patent litigation would likely materially harm our business by requiring us to seek a license, which may not be available, or resulting in our inability to manufacture, develop and sell aflibercept or VEGF Trap-Eye or in a damage award.</w:t>
      </w:r>
    </w:p>
    <w:p>
      <w:pPr>
        <w:spacing w:after="0" w:line="81"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We are aware of patents and pending applications owned by Roche that claim antibodies to the interleukin-6 receptor and methods of treating rheumatoid arthritis with such antibodies. We are developing REGN88, an antibody to the interleukin-6 receptor, for the treatment of rheumatoid arthritis. Although we do not believe that REGN88 infringes any valid claim in these patents or patent applications, Roche could initiate a lawsuit for patent infringement and assert its patents are valid and cover REGN88.</w:t>
      </w:r>
    </w:p>
    <w:p>
      <w:pPr>
        <w:spacing w:after="0" w:line="79" w:lineRule="exact"/>
        <w:rPr>
          <w:sz w:val="20"/>
          <w:szCs w:val="20"/>
          <w:color w:val="auto"/>
        </w:rPr>
      </w:pPr>
    </w:p>
    <w:p>
      <w:pPr>
        <w:ind w:right="140" w:firstLine="225"/>
        <w:spacing w:after="0" w:line="342" w:lineRule="auto"/>
        <w:rPr>
          <w:sz w:val="20"/>
          <w:szCs w:val="20"/>
          <w:color w:val="auto"/>
        </w:rPr>
      </w:pPr>
      <w:r>
        <w:rPr>
          <w:rFonts w:ascii="Arial" w:cs="Arial" w:eastAsia="Arial" w:hAnsi="Arial"/>
          <w:sz w:val="16"/>
          <w:szCs w:val="16"/>
          <w:color w:val="auto"/>
        </w:rPr>
        <w:t>Further, we are aware of a number of other third party patent applications that, if granted, with claims as currently drafted, may cover our current or planned activities. We cannot assure you that our products and/or actions in manufacturing and selling our product candidates will not infringe such patents.</w:t>
      </w:r>
    </w:p>
    <w:p>
      <w:pPr>
        <w:spacing w:after="0" w:line="16" w:lineRule="exact"/>
        <w:rPr>
          <w:sz w:val="20"/>
          <w:szCs w:val="20"/>
          <w:color w:val="auto"/>
        </w:rPr>
      </w:pPr>
    </w:p>
    <w:p>
      <w:pPr>
        <w:ind w:right="20" w:firstLine="215"/>
        <w:spacing w:after="0" w:line="257" w:lineRule="auto"/>
        <w:rPr>
          <w:sz w:val="20"/>
          <w:szCs w:val="20"/>
          <w:color w:val="auto"/>
        </w:rPr>
      </w:pPr>
      <w:r>
        <w:rPr>
          <w:rFonts w:ascii="Arial" w:cs="Arial" w:eastAsia="Arial" w:hAnsi="Arial"/>
          <w:sz w:val="18"/>
          <w:szCs w:val="18"/>
          <w:color w:val="auto"/>
        </w:rPr>
        <w:t>Any patent holders could sue us for damages and seek to prevent us from manufacturing, selling, or developing our drug candidates, and a court may find that we are infringing validly issued patents of third parties. In the event that the manufacture, use, or sale of any of our clinical candidates infringes on the patents or violates other proprietary rights of third parties, we may be prevented from pursuing product development, manufacturing, and commercialization of our drugs and may be required to pay costly damages. Such a result may materially harm our business, financial condition, and results of operations. Legal disputes are likely to be costly and time consuming to defend.</w:t>
      </w:r>
    </w:p>
    <w:p>
      <w:pPr>
        <w:spacing w:after="0" w:line="80" w:lineRule="exact"/>
        <w:rPr>
          <w:sz w:val="20"/>
          <w:szCs w:val="20"/>
          <w:color w:val="auto"/>
        </w:rPr>
      </w:pPr>
    </w:p>
    <w:p>
      <w:pPr>
        <w:ind w:right="400" w:firstLine="222"/>
        <w:spacing w:after="0" w:line="277" w:lineRule="auto"/>
        <w:rPr>
          <w:sz w:val="20"/>
          <w:szCs w:val="20"/>
          <w:color w:val="auto"/>
        </w:rPr>
      </w:pPr>
      <w:r>
        <w:rPr>
          <w:rFonts w:ascii="Arial" w:cs="Arial" w:eastAsia="Arial" w:hAnsi="Arial"/>
          <w:sz w:val="18"/>
          <w:szCs w:val="18"/>
          <w:color w:val="auto"/>
        </w:rPr>
        <w:t>We seek to obtain licenses to patents when, in our judgment, such licenses are needed. If any licenses are required, we may not be able to obtain such licenses on commercially reasonable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terms, if at all. The failure to obtain any such license could prevent us from developing or commercializing any one or more of our product candidates, which could severely harm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Litigation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regulatory approval for our product candidates, we will not be able to market or sell them.</w:t>
      </w:r>
    </w:p>
    <w:p>
      <w:pPr>
        <w:spacing w:after="0" w:line="117"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We cannot sell or market products without regulatory approval. Although we obtained regulatory approval for ARCALYST</w:t>
      </w:r>
      <w:r>
        <w:rPr>
          <w:rFonts w:ascii="Arial" w:cs="Arial" w:eastAsia="Arial" w:hAnsi="Arial"/>
          <w:sz w:val="15"/>
          <w:szCs w:val="15"/>
          <w:color w:val="auto"/>
        </w:rPr>
        <w:t>®</w:t>
      </w:r>
      <w:r>
        <w:rPr>
          <w:rFonts w:ascii="Arial" w:cs="Arial" w:eastAsia="Arial" w:hAnsi="Arial"/>
          <w:sz w:val="18"/>
          <w:szCs w:val="18"/>
          <w:color w:val="auto"/>
        </w:rPr>
        <w:t xml:space="preserve"> (rilonacept) for the treatment of CAPS in the United States, we may be unable to obtain regulatory approval of ARCALYST in any other country or in any other indication. Regulatory agencies outside the United States may require additional information or data with respect to any future submission for ARCALYST for the treatment of CAPS.</w:t>
      </w:r>
    </w:p>
    <w:p>
      <w:pPr>
        <w:spacing w:after="0" w:line="79"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If we do not obtain and maintain regulatory approval for our product candidates, including ARCALYST for the treatment of diseases other than CAPS, the value of our company and our results of operations will be harmed. In the United States, we must obtain and maintain approval from the United States Food and Drug Administration (FDA) for each drug we intend to sell. Obtaining FDA approval is typically a lengthy and expensive process, and approval is highly uncertain. Foreign governments also regulate drugs distributed in their country and approval in any country is likely to be a lengthy and expensive process, and approval is highly uncertain. Except for the recent FDA approval of ARCALYST for the treatment of CAPS, none of our product candidates has ever received regulatory approval to be marketed and sold in the United States or any other country. We may never receive regulatory approval for any of our product candidates.</w:t>
      </w:r>
    </w:p>
    <w:p>
      <w:pPr>
        <w:spacing w:after="0" w:line="81"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Before approving a new drug or biologic product, the FDA requires that the facilities at which the product will be manufactured be in compliance with current good manufacturing practices, or cGMP requirements. Manufacturing product candidates in compliance with these regulatory requirements is complex, time-consuming, and expensive. To be successful, our products must be manufactured for development, following approval, in commercial quantities, in compliance with regulatory requirements, and at competitive costs. If we or any of our product collaborators or third-party manufacturers, product packagers, or labelers are unable to maintain regulatory compliance, the FDA can impose regulatory sanctions, including, among other things, refusal to approve a pending application for a new drug or biologic product, or revocation of a pre-existing approval. As a result, our business, financial condition, and results of operations may be materially harmed.</w:t>
      </w:r>
    </w:p>
    <w:p>
      <w:pPr>
        <w:spacing w:after="0" w:line="81"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foreign countries. The foreign regulatory approval process includes all of the risks associated with FDA approval as well as country specific regulations. Whether or not we obtain FDA approval for a product in the United States, we must obtain approval by the comparable</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regulatory authorities of foreign countries before we can commence clinical trials or marketing of ARCALYST for the treatment of CAPS or any of our product candidates in those countries.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testing or use of our products harms people, we could be subject to costly and damaging product liability claims.</w:t>
      </w:r>
    </w:p>
    <w:p>
      <w:pPr>
        <w:spacing w:after="0" w:line="117"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The testing, manufacturing, marketing, and sale of drugs for use in people expose us to product liability risk. Any informed consent or waivers obtained from people who sign up for our clinical trials may not protect us from liability or the cost of litigation. We may be subject to claims by CAPS patients who use ARCALYST that they have been injured by a side effect associated with the drug. Our product liability insurance may not cover all potential liabilities or may not completely cover any liability arising from any such litigation. Moreover, we may not have access to liability insurance or be able to maintain our insurance on acceptable terms.</w:t>
      </w:r>
    </w:p>
    <w:p>
      <w:pPr>
        <w:spacing w:after="0" w:line="80" w:lineRule="exact"/>
        <w:rPr>
          <w:sz w:val="20"/>
          <w:szCs w:val="20"/>
          <w:color w:val="auto"/>
        </w:rPr>
      </w:pPr>
    </w:p>
    <w:p>
      <w:pPr>
        <w:ind w:right="640"/>
        <w:spacing w:after="0" w:line="211" w:lineRule="auto"/>
        <w:rPr>
          <w:sz w:val="20"/>
          <w:szCs w:val="20"/>
          <w:color w:val="auto"/>
        </w:rPr>
      </w:pPr>
      <w:r>
        <w:rPr>
          <w:rFonts w:ascii="Arial" w:cs="Arial" w:eastAsia="Arial" w:hAnsi="Arial"/>
          <w:sz w:val="18"/>
          <w:szCs w:val="18"/>
          <w:b w:val="1"/>
          <w:bCs w:val="1"/>
          <w:i w:val="1"/>
          <w:iCs w:val="1"/>
          <w:color w:val="auto"/>
        </w:rPr>
        <w:t>If we market and sell ARCALYST</w:t>
      </w:r>
      <w:r>
        <w:rPr>
          <w:rFonts w:ascii="Arial" w:cs="Arial" w:eastAsia="Arial" w:hAnsi="Arial"/>
          <w:sz w:val="26"/>
          <w:szCs w:val="26"/>
          <w:b w:val="1"/>
          <w:bCs w:val="1"/>
          <w:color w:val="auto"/>
          <w:vertAlign w:val="superscript"/>
        </w:rPr>
        <w:t>®</w:t>
      </w:r>
      <w:r>
        <w:rPr>
          <w:rFonts w:ascii="Arial" w:cs="Arial" w:eastAsia="Arial" w:hAnsi="Arial"/>
          <w:sz w:val="18"/>
          <w:szCs w:val="18"/>
          <w:b w:val="1"/>
          <w:bCs w:val="1"/>
          <w:i w:val="1"/>
          <w:iCs w:val="1"/>
          <w:color w:val="auto"/>
        </w:rPr>
        <w:t xml:space="preserve"> (rilonacept) in a way that violates federal or state fraud and abuse laws, we may be subject to civil or criminal penalties.</w:t>
      </w:r>
    </w:p>
    <w:p>
      <w:pPr>
        <w:spacing w:after="0" w:line="95"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knowingly and willfully offering, paying, soliciting or receiving remuneration to induce, or in return for, purchasing, leasing, ordering or arranging for the purchase, lease or order of any health care item or service reimbursable under Medicare, Medicaid, or other federally or state financed health care programs.</w:t>
      </w:r>
    </w:p>
    <w:p>
      <w:pPr>
        <w:spacing w:after="0" w:line="80"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color w:val="auto"/>
        </w:rPr>
        <w:t>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or off-label uses, that caused claims to be submitted to Medicaid for non-covered off-label uses; and submitting inflated best price information to the Medicaid Rebate program.</w:t>
      </w:r>
    </w:p>
    <w:p>
      <w:pPr>
        <w:spacing w:after="0" w:line="57" w:lineRule="exact"/>
        <w:rPr>
          <w:sz w:val="20"/>
          <w:szCs w:val="20"/>
          <w:color w:val="auto"/>
        </w:rPr>
      </w:pPr>
    </w:p>
    <w:p>
      <w:pPr>
        <w:ind w:right="60" w:firstLine="222"/>
        <w:spacing w:after="0" w:line="312" w:lineRule="auto"/>
        <w:rPr>
          <w:sz w:val="20"/>
          <w:szCs w:val="20"/>
          <w:color w:val="auto"/>
        </w:rPr>
      </w:pPr>
      <w:r>
        <w:rPr>
          <w:rFonts w:ascii="Arial" w:cs="Arial" w:eastAsia="Arial" w:hAnsi="Arial"/>
          <w:sz w:val="16"/>
          <w:szCs w:val="16"/>
          <w:color w:val="auto"/>
        </w:rPr>
        <w:t>The majority of states also have statutes or regulations similar to the federal anti-kickback law and false claims laws, which apply to items and services reimbursed under Medicaid and other state programs, or, in several states, apply regardless of the payer. Sanctions under these federal and state laws may include civil monetary penalties, exclusion of a manufacturer’s products from reimbursement under government programs, criminal fines, and imprisonment.</w:t>
      </w:r>
    </w:p>
    <w:p>
      <w:pPr>
        <w:spacing w:after="0" w:line="39" w:lineRule="exact"/>
        <w:rPr>
          <w:sz w:val="20"/>
          <w:szCs w:val="20"/>
          <w:color w:val="auto"/>
        </w:rPr>
      </w:pPr>
    </w:p>
    <w:p>
      <w:pPr>
        <w:ind w:right="20" w:firstLine="225"/>
        <w:spacing w:after="0" w:line="286" w:lineRule="auto"/>
        <w:rPr>
          <w:sz w:val="20"/>
          <w:szCs w:val="20"/>
          <w:color w:val="auto"/>
        </w:rPr>
      </w:pPr>
      <w:r>
        <w:rPr>
          <w:rFonts w:ascii="Arial" w:cs="Arial" w:eastAsia="Arial" w:hAnsi="Arial"/>
          <w:sz w:val="17"/>
          <w:szCs w:val="17"/>
          <w:color w:val="auto"/>
        </w:rPr>
        <w:t>Even if we are not determined to have violated these laws, government investigations into these issues typically require the expenditure of significant resources and generate negative publicity, which would also harm our financial condition. Because of the breadth of these laws and the narrowness of the safe harbors, it is possible that some of our business activities could be subject to challenge under one or more of such laws.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firstLine="225"/>
        <w:spacing w:after="0" w:line="297" w:lineRule="auto"/>
        <w:rPr>
          <w:sz w:val="20"/>
          <w:szCs w:val="20"/>
          <w:color w:val="auto"/>
        </w:rPr>
      </w:pPr>
      <w:r>
        <w:rPr>
          <w:rFonts w:ascii="Arial" w:cs="Arial" w:eastAsia="Arial" w:hAnsi="Arial"/>
          <w:sz w:val="16"/>
          <w:szCs w:val="16"/>
          <w:color w:val="auto"/>
        </w:rPr>
        <w:t>In recent years, several states and localities, including California, the District of Columbia, Maine, Minnesota, Nevada, New Mexico, Vermont, and West Virginia, have enacted legislation requiring pharmaceutical companies to establish marketing compliance programs, and file periodic reports with the state or make periodic public disclosures on sales, marketing, pricing, clinical trials, and other activities. Similar legislation is being considered in other states. Many of these requirements are new and uncertain, and the penalties for failure to comply with these requirements are unclear. Nonetheless, if we are found not to be in full compliance with these laws, we could face enforcement action and fines and other penalties, and could receive adverse publicity.</w:t>
      </w:r>
    </w:p>
    <w:p>
      <w:pPr>
        <w:spacing w:after="0" w:line="5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operations may involve hazardous materials and are subject to environmental, health, and safety laws and regulations. We may incur substantial liability arising from our activities involving the use of hazardous materials.</w:t>
      </w:r>
    </w:p>
    <w:p>
      <w:pPr>
        <w:spacing w:after="0" w:line="62" w:lineRule="exact"/>
        <w:rPr>
          <w:sz w:val="20"/>
          <w:szCs w:val="20"/>
          <w:color w:val="auto"/>
        </w:rPr>
      </w:pPr>
    </w:p>
    <w:p>
      <w:pPr>
        <w:ind w:right="100" w:firstLine="215"/>
        <w:spacing w:after="0" w:line="276" w:lineRule="auto"/>
        <w:rPr>
          <w:sz w:val="20"/>
          <w:szCs w:val="20"/>
          <w:color w:val="auto"/>
        </w:rPr>
      </w:pPr>
      <w:r>
        <w:rPr>
          <w:rFonts w:ascii="Arial" w:cs="Arial" w:eastAsia="Arial" w:hAnsi="Arial"/>
          <w:sz w:val="17"/>
          <w:szCs w:val="17"/>
          <w:color w:val="auto"/>
        </w:rPr>
        <w:t>As a biopharmaceutical company with significant manufacturing operations, we are subject to extensive environmental, health, and safety laws and regulations, including those governing the use of hazardous materials. Our research and development and manufacturing activities involve the controlled use of chemicals, viruses,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securities laws and regulations have increased, and are likely to continue to increase, our costs.</w:t>
      </w:r>
    </w:p>
    <w:p>
      <w:pPr>
        <w:spacing w:after="0" w:line="117" w:lineRule="exact"/>
        <w:rPr>
          <w:sz w:val="20"/>
          <w:szCs w:val="20"/>
          <w:color w:val="auto"/>
        </w:rPr>
      </w:pPr>
    </w:p>
    <w:p>
      <w:pPr>
        <w:ind w:right="80" w:firstLine="222"/>
        <w:spacing w:after="0" w:line="255" w:lineRule="auto"/>
        <w:rPr>
          <w:sz w:val="20"/>
          <w:szCs w:val="20"/>
          <w:color w:val="auto"/>
        </w:rPr>
      </w:pPr>
      <w:r>
        <w:rPr>
          <w:rFonts w:ascii="Arial" w:cs="Arial" w:eastAsia="Arial" w:hAnsi="Arial"/>
          <w:sz w:val="18"/>
          <w:szCs w:val="18"/>
          <w:color w:val="auto"/>
        </w:rPr>
        <w:t>The Sarbanes-Oxley Act of 2002, which became law in July 2002, has required changes in some of our corporate governance, securities disclosure and compliance practices. In response to the requirements of that Act, the SEC and the NASDAQ Stock Market have promulgated rules and listing standards covering a variety of subjects. Compliance with these rules and listing standards has increased our legal costs, and significantly increased our accounting and auditing costs, and we expect these costs to continue. These developments may make it more difficult and more expensive for us to obtain directors’ and officers’ liability insurance. Likewise, these developments may make it more difficult for us to attract and retain qualified members of our board of directors, particularly independent directors, or qualified executive officers.</w:t>
      </w:r>
    </w:p>
    <w:p>
      <w:pPr>
        <w:spacing w:after="0" w:line="8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In future years, if we are unable to conclude that our internal control over financial reporting is effective, the market value of our common stock could be adversely affected.</w:t>
      </w:r>
    </w:p>
    <w:p>
      <w:pPr>
        <w:spacing w:after="0" w:line="62" w:lineRule="exact"/>
        <w:rPr>
          <w:sz w:val="20"/>
          <w:szCs w:val="20"/>
          <w:color w:val="auto"/>
        </w:rPr>
      </w:pPr>
    </w:p>
    <w:p>
      <w:pPr>
        <w:ind w:right="60" w:firstLine="215"/>
        <w:spacing w:after="0" w:line="297" w:lineRule="auto"/>
        <w:rPr>
          <w:sz w:val="20"/>
          <w:szCs w:val="20"/>
          <w:color w:val="auto"/>
        </w:rPr>
      </w:pPr>
      <w:r>
        <w:rPr>
          <w:rFonts w:ascii="Arial" w:cs="Arial" w:eastAsia="Arial" w:hAnsi="Arial"/>
          <w:sz w:val="16"/>
          <w:szCs w:val="16"/>
          <w:color w:val="auto"/>
        </w:rPr>
        <w:t>As directed by Section 404 of the Sarbanes-Oxley Act of 2002, the SEC adopted rules requiring public companies to include a report of management on the Company’s internal control over financial reporting in their annual reports on Form 10-K that contains an assessment by management of the effectiveness of our internal control over financial reporting. In addition, the independent registered public accounting firm auditing our financial statements must attest to and report on the effectiveness of our internal control over financial reporting. Our independent registered public accounting firm provided us with an unqualified report as to the effectiveness of our internal control over financial reporting as of December 31, 2007, which report is included in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Annual Report on Form 10-K for the fiscal year ended December 31, 2007 which was filed with the Securities and Exchange Commission on February 27, 2008. However, we cannot assure you that management or our independent registered public accounting firm will be able to provide such an unqualified report as of future year-ends. In this event, investors could lose confidence in the reliability of our financial statements, which could result in a decrease in the market value of our common stock. In addition, if it is determined that deficiencies in the design or operation of internal controls exist and that they are reasonably likely to adversely affect our ability to record, process, summarize, and report financial information, we would likely incur additional costs to remediate these deficiencies and the costs of such remediation could be material.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900"/>
        <w:spacing w:after="0" w:line="308" w:lineRule="auto"/>
        <w:rPr>
          <w:sz w:val="20"/>
          <w:szCs w:val="20"/>
          <w:color w:val="auto"/>
        </w:rPr>
      </w:pPr>
      <w:r>
        <w:rPr>
          <w:rFonts w:ascii="Arial" w:cs="Arial" w:eastAsia="Arial" w:hAnsi="Arial"/>
          <w:sz w:val="17"/>
          <w:szCs w:val="17"/>
          <w:b w:val="1"/>
          <w:bCs w:val="1"/>
          <w:i w:val="1"/>
          <w:iCs w:val="1"/>
          <w:color w:val="auto"/>
        </w:rPr>
        <w:t>If our antibody collaboration with sanofi-aventis is terminated, our business operations and our ability to discover, develop, manufacture, and commercialize our pipeline of product candidates in the time expected, or at all, would be materially harmed.</w:t>
      </w:r>
    </w:p>
    <w:p>
      <w:pPr>
        <w:spacing w:after="0" w:line="38" w:lineRule="exact"/>
        <w:rPr>
          <w:sz w:val="20"/>
          <w:szCs w:val="20"/>
          <w:color w:val="auto"/>
        </w:rPr>
      </w:pPr>
    </w:p>
    <w:p>
      <w:pPr>
        <w:ind w:firstLine="222"/>
        <w:spacing w:after="0" w:line="285" w:lineRule="auto"/>
        <w:rPr>
          <w:sz w:val="20"/>
          <w:szCs w:val="20"/>
          <w:color w:val="auto"/>
        </w:rPr>
      </w:pPr>
      <w:r>
        <w:rPr>
          <w:rFonts w:ascii="Arial" w:cs="Arial" w:eastAsia="Arial" w:hAnsi="Arial"/>
          <w:sz w:val="16"/>
          <w:szCs w:val="16"/>
          <w:color w:val="auto"/>
        </w:rPr>
        <w:t>We rely heavily on the funding from sanofi-aventis to support our target discovery and antibody research and development programs. Sanofi-aventis has committed to pay up to $475.0 million between 2008 and 2012 to fund our efforts to identify and validate drug discovery targets and pre-clinically develop fully human monoclonal antibodies against such targets. In addition, sanofi-aventis funds almost all of the development expenses incurred by both companies in connection with the clinical development of antibodies that sanofi-aventis elects to co-develop with us. We rely on sanofi-aventis to fund these activities. In addition, with respect to those antibodies that sanofi-aventis elects to co-develop with us, such as REGN88, we rely on sanofi-aventis to lead much of the clinical development efforts and assist with obtaining regulatory approval, particularly outside the United States. We also rely on sanofi-aventis to lead the commercialization efforts to support all of the antibody products that are co-developed by sanofi-aventis and us. If sanofi-aventis does not elect to co-develop the antibodies that we discover or opts-out of their development, we would be required to fund and oversee on our own the clinical trials, any regulatory responsibilities, and the ensuing commercialization efforts to support our antibody products. Sanofi-aventis may terminate the collaboration for our material breach or, in the case of the discovery agreement, if certain minimal criteria for the discovery program are not achieved by December 31, 2010. If sanofi-aventis terminates the antibody collaboration or fails to comply with its payment obligations thereunder, our business, financial condition, and results of operations would be materially harmed. We would be required to either expend substantially more resources than we have anticipated to support our research and development efforts, which could require us to seek additional funding that might not be available on favorable terms or at all, or materially cut back on such activities. While we cannot assure you that any of the antibodies from this collaboration will ever be successfully developed and commercialized, if sanofi-aventis does not perform its obligations with respect to antibodies that it elects to co-develop, our ability to develop, manufacture, and commercialize these antibody product candidates will be significantly adversely affected.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If our collaboration with sanofi-aventis for aflibercept (VEGF Trap) is terminated, or sanofi-aventis materially breaches its obligations thereunder, our business, operations and financial condition, and our ability to develop, manufacture, and commercialize aflibercept in the time expected, or at all, would be materially harmed.</w:t>
      </w:r>
    </w:p>
    <w:p>
      <w:pPr>
        <w:spacing w:after="0" w:line="73" w:lineRule="exact"/>
        <w:rPr>
          <w:sz w:val="20"/>
          <w:szCs w:val="20"/>
          <w:color w:val="auto"/>
        </w:rPr>
      </w:pPr>
    </w:p>
    <w:p>
      <w:pPr>
        <w:ind w:right="20" w:firstLine="222"/>
        <w:spacing w:after="0" w:line="269" w:lineRule="auto"/>
        <w:rPr>
          <w:sz w:val="20"/>
          <w:szCs w:val="20"/>
          <w:color w:val="auto"/>
        </w:rPr>
      </w:pPr>
      <w:r>
        <w:rPr>
          <w:rFonts w:ascii="Arial" w:cs="Arial" w:eastAsia="Arial" w:hAnsi="Arial"/>
          <w:sz w:val="17"/>
          <w:szCs w:val="17"/>
          <w:color w:val="auto"/>
        </w:rPr>
        <w:t>We rely heavily on sanofi-aventis to lead much of the development of aflibercept. Sanofi-aventis funds all of the development expenses incurred by both companies in connection with the aflibercept program. If the aflibercept program continues, we will rely on sanofi-aventis to assist with funding the aflibercept program, provide commercial manufacturing capacity, enroll and monitor clinical trials, obtain regulatory approval, particularly outside the United States, and lead the commercialization of aflibercept. While we cannot assure you that aflibercept will ever be successfully developed and commercialized, if sanofi-aventis does not perform its obligations in a timely manner, or at all, our ability to develop, manufacture, and commercialize aflibercept in cancer indications will be significantly adversely affected. Sanofi-aventis has the right to terminate its collaboration agreement with us at any time upon twelve months advance notice. If sanofi-aventis were to terminate its collaboration agreement with us, we would not have the resources or skills to replace those of our partner, which could require us to seek additional funding that might not be available on favorable terms or at all, and could cause significant delays in the development and/or manufacture of aflibercept and result in substantial additional costs to us. We have limited commercial capabilities and would have to develop or outsource these capabilities. Termination of the sanofi-aventis collaboration agreement for aflibercept would create substantial new and additional risks to the successful development and commercialization of aflibercept.</w:t>
      </w:r>
    </w:p>
    <w:p>
      <w:pPr>
        <w:spacing w:after="0" w:line="7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If our collaboration with Bayer HealthCare for VEGF Trap-Eye is terminated, or Bayer HealthCare materially breaches its obligations thereunder, our business, operations and financial condition, and our ability to develop and commercialize VEGF Trap-Eye in the time expected, or at all, would be materially harmed.</w:t>
      </w:r>
    </w:p>
    <w:p>
      <w:pPr>
        <w:spacing w:after="0" w:line="73" w:lineRule="exact"/>
        <w:rPr>
          <w:sz w:val="20"/>
          <w:szCs w:val="20"/>
          <w:color w:val="auto"/>
        </w:rPr>
      </w:pPr>
    </w:p>
    <w:p>
      <w:pPr>
        <w:ind w:firstLine="222"/>
        <w:spacing w:after="0" w:line="287" w:lineRule="auto"/>
        <w:rPr>
          <w:sz w:val="20"/>
          <w:szCs w:val="20"/>
          <w:color w:val="auto"/>
        </w:rPr>
      </w:pPr>
      <w:r>
        <w:rPr>
          <w:rFonts w:ascii="Arial" w:cs="Arial" w:eastAsia="Arial" w:hAnsi="Arial"/>
          <w:sz w:val="16"/>
          <w:szCs w:val="16"/>
          <w:color w:val="auto"/>
        </w:rPr>
        <w:t>We rely heavily on Bayer HealthCare to assist with the development of VEGF Trap-Eye. Under our agreement with them, Bayer HealthCare is required to fund approximately half of the development expenses incurred by both companies in connection with the global VEGF Trap-Eye development program. If the VEGF Trap-Eye program continues, we will rely on Bayer HealthCare to assist with funding the VEGF Trap-Eye development program, lead the development of VEGF Trap-Eye outside the United States, obtain regulatory approval outside the United States, and provide all sales, marketing and commercial support for the product outside the United States. In particular, Bayer HealthCare has responsibility for selling VEGF Trap-Eye outside the United States using its sales force. While we cannot assure you that VEGF Trap-Eye will ever be successfully developed and commercialized, if Bayer HealthCare does not perform its obligations in a timely manner, or at all, our ability to develop, manufacture, and commercialize VEGF Trap-Eye outside the United States will be significantly adversely affected. Bayer HealthCare has the right to terminate its collaboration agreement with us at any time upon six or twelve months advance notice, depending on the circumstances giving rise to termination. If Bayer HealthCare were to terminate its collaboration agreement with us, we would not have the resources or skills to replace those of our partner, which could require us to seek additional funding that might not be available on favorable terms or at all, and could cause significant delays in the development and/or commercialization of VEGF Trap-Eye outside the United States and result in substantial additional costs to us. We have limited commercial capabilities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and would have to develop or outsource these capabilities outside the United States. Termination of the Bayer HealthCare collaboration agreement would create substantial new and additional risks to the successful development and commercialization of VEGF Trap-Eye.</w:t>
      </w:r>
    </w:p>
    <w:p>
      <w:pPr>
        <w:spacing w:after="0" w:line="6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Our collaborators and service providers may fail to perform adequately in their efforts to support the development, manufacture, and commercialization of ARCALYST</w:t>
      </w:r>
      <w:r>
        <w:rPr>
          <w:rFonts w:ascii="Arial" w:cs="Arial" w:eastAsia="Arial" w:hAnsi="Arial"/>
          <w:sz w:val="26"/>
          <w:szCs w:val="26"/>
          <w:b w:val="1"/>
          <w:bCs w:val="1"/>
          <w:color w:val="auto"/>
          <w:vertAlign w:val="superscript"/>
        </w:rPr>
        <w:t>®</w:t>
      </w:r>
      <w:r>
        <w:rPr>
          <w:rFonts w:ascii="Arial" w:cs="Arial" w:eastAsia="Arial" w:hAnsi="Arial"/>
          <w:sz w:val="18"/>
          <w:szCs w:val="18"/>
          <w:b w:val="1"/>
          <w:bCs w:val="1"/>
          <w:i w:val="1"/>
          <w:iCs w:val="1"/>
          <w:color w:val="auto"/>
        </w:rPr>
        <w:t xml:space="preserve"> (rilonacept) and our drug candidates.</w:t>
      </w:r>
    </w:p>
    <w:p>
      <w:pPr>
        <w:spacing w:after="0" w:line="2" w:lineRule="exact"/>
        <w:rPr>
          <w:sz w:val="20"/>
          <w:szCs w:val="20"/>
          <w:color w:val="auto"/>
        </w:rPr>
      </w:pPr>
    </w:p>
    <w:p>
      <w:pPr>
        <w:ind w:right="220" w:firstLine="222"/>
        <w:spacing w:after="0" w:line="271" w:lineRule="auto"/>
        <w:rPr>
          <w:sz w:val="20"/>
          <w:szCs w:val="20"/>
          <w:color w:val="auto"/>
        </w:rPr>
      </w:pPr>
      <w:r>
        <w:rPr>
          <w:rFonts w:ascii="Arial" w:cs="Arial" w:eastAsia="Arial" w:hAnsi="Arial"/>
          <w:sz w:val="17"/>
          <w:szCs w:val="17"/>
          <w:color w:val="auto"/>
        </w:rPr>
        <w:t>We depend upon third-party collaborators, including sanofi-aventis, Bayer HealthCare, and service providers such as clinical research organizations, outside testing laboratories, clinical investigator sites, and third-party manufacturers and product packagers and labelers, to assist us in the manufacture and development of our product candidates. If any of our existing collaborators or service providers breaches or terminates its agreement with us or does not perform its development or manufacturing services under an agreement in a timely manner or at all, we could experience additional costs, delays, and difficulties in the manufacture, development or ultimate commercialization of our product candidates.</w:t>
      </w:r>
    </w:p>
    <w:p>
      <w:pPr>
        <w:spacing w:after="0" w:line="69" w:lineRule="exact"/>
        <w:rPr>
          <w:sz w:val="20"/>
          <w:szCs w:val="20"/>
          <w:color w:val="auto"/>
        </w:rPr>
      </w:pPr>
    </w:p>
    <w:p>
      <w:pPr>
        <w:ind w:right="60" w:firstLine="222"/>
        <w:spacing w:after="0" w:line="286" w:lineRule="auto"/>
        <w:rPr>
          <w:sz w:val="20"/>
          <w:szCs w:val="20"/>
          <w:color w:val="auto"/>
        </w:rPr>
      </w:pPr>
      <w:r>
        <w:rPr>
          <w:rFonts w:ascii="Arial" w:cs="Arial" w:eastAsia="Arial" w:hAnsi="Arial"/>
          <w:sz w:val="17"/>
          <w:szCs w:val="17"/>
          <w:color w:val="auto"/>
        </w:rPr>
        <w:t>We rely on third party service providers to support the distribution of ARCALYST and many other related activities in connection with the commercialization of ARCALYST for the treatment of CAPS. We cannot be certain that these third parties will perform adequately. If these service providers do not perform their services adequately, our efforts to market and sell ARCALYST for the treatment of CAPS will not be successful.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Manufacture of Our Product Candidates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manufacturing capacity, which could inhibit our ability to successfully develop or commercialize our drugs.</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Our manufacturing facility is likely to be inadequate to produce sufficient quantities of product for commercial sale. We intend to rely on our corporate collaborators, as well as contract manufacturers, to produce the large quantities of drug material needed for commercialization of our products. We rely entirely on third-party manufacturers for filling and finishing services. We will have to depend on these manufacturers to deliver material on a timely basis and to comply with regulatory requirements. If we are unable to supply sufficient material on acceptable terms, or if we should encounter delays or difficulties in our relationships with our corporate collaborators or contract manufacturers, our business, financial condition, and results of operations may be materially harmed.</w:t>
      </w:r>
    </w:p>
    <w:p>
      <w:pPr>
        <w:spacing w:after="0" w:line="85" w:lineRule="exact"/>
        <w:rPr>
          <w:sz w:val="20"/>
          <w:szCs w:val="20"/>
          <w:color w:val="auto"/>
        </w:rPr>
      </w:pPr>
    </w:p>
    <w:p>
      <w:pPr>
        <w:ind w:right="100" w:firstLine="222"/>
        <w:spacing w:after="0" w:line="273" w:lineRule="auto"/>
        <w:rPr>
          <w:sz w:val="20"/>
          <w:szCs w:val="20"/>
          <w:color w:val="auto"/>
        </w:rPr>
      </w:pPr>
      <w:r>
        <w:rPr>
          <w:rFonts w:ascii="Arial" w:cs="Arial" w:eastAsia="Arial" w:hAnsi="Arial"/>
          <w:sz w:val="17"/>
          <w:szCs w:val="17"/>
          <w:color w:val="auto"/>
        </w:rPr>
        <w:t>We must expand our own manufacturing capacity to support the planned growth of our clinical pipeline. Moreover, we may expand our manufacturing capacity to support commercial production of active pharmaceutical ingredients, or API, for our product candidates. This will require substantial additional expenditures, and we will need to hire and train significant numbers of employees and managerial personnel to staff our facility. Start-up costs can be large and scale-up entails significant risks related to process development and manufacturing yields. We may be unable to develop manufacturing facilities that are sufficient to produce drug material for clinical trials or commercial use. This may delay our clinical development plans and interfere with our efforts to commercialize our products. In addition, we may be unable to secure adequate filling</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and finishing services to support our products. As a result, our business, financial condition, and results of operations may be materially harmed.</w:t>
      </w:r>
    </w:p>
    <w:p>
      <w:pPr>
        <w:spacing w:after="0" w:line="129" w:lineRule="exact"/>
        <w:rPr>
          <w:sz w:val="20"/>
          <w:szCs w:val="20"/>
          <w:color w:val="auto"/>
        </w:rPr>
      </w:pPr>
    </w:p>
    <w:p>
      <w:pPr>
        <w:ind w:right="20" w:firstLine="222"/>
        <w:spacing w:after="0" w:line="312" w:lineRule="auto"/>
        <w:rPr>
          <w:sz w:val="20"/>
          <w:szCs w:val="20"/>
          <w:color w:val="auto"/>
        </w:rPr>
      </w:pPr>
      <w:r>
        <w:rPr>
          <w:rFonts w:ascii="Arial" w:cs="Arial" w:eastAsia="Arial" w:hAnsi="Arial"/>
          <w:sz w:val="16"/>
          <w:szCs w:val="16"/>
          <w:color w:val="auto"/>
        </w:rPr>
        <w:t>We may be unable to obtain key raw materials and supplies for the manufacture of ARCALYST</w:t>
      </w:r>
      <w:r>
        <w:rPr>
          <w:rFonts w:ascii="Arial" w:cs="Arial" w:eastAsia="Arial" w:hAnsi="Arial"/>
          <w:sz w:val="13"/>
          <w:szCs w:val="13"/>
          <w:color w:val="auto"/>
        </w:rPr>
        <w:t>®</w:t>
      </w:r>
      <w:r>
        <w:rPr>
          <w:rFonts w:ascii="Arial" w:cs="Arial" w:eastAsia="Arial" w:hAnsi="Arial"/>
          <w:sz w:val="16"/>
          <w:szCs w:val="16"/>
          <w:color w:val="auto"/>
        </w:rPr>
        <w:t xml:space="preserve"> (rilonacept) and our product candidates. In addition, we may face difficulties in developing or acquiring production technology and managerial personnel to manufacture sufficient quantities of our product candidates at reasonable costs and in compliance with applicable quality assurance and environmental regulations and governmental permitting requirements.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any of our clinical programs are discontinued, we may face costs related to the unused capacity at our manufacturing facilities.</w:t>
      </w:r>
    </w:p>
    <w:p>
      <w:pPr>
        <w:spacing w:after="0" w:line="117" w:lineRule="exact"/>
        <w:rPr>
          <w:sz w:val="20"/>
          <w:szCs w:val="20"/>
          <w:color w:val="auto"/>
        </w:rPr>
      </w:pPr>
    </w:p>
    <w:p>
      <w:pPr>
        <w:ind w:right="200" w:firstLine="222"/>
        <w:spacing w:after="0" w:line="264" w:lineRule="auto"/>
        <w:rPr>
          <w:sz w:val="20"/>
          <w:szCs w:val="20"/>
          <w:color w:val="auto"/>
        </w:rPr>
      </w:pPr>
      <w:r>
        <w:rPr>
          <w:rFonts w:ascii="Arial" w:cs="Arial" w:eastAsia="Arial" w:hAnsi="Arial"/>
          <w:sz w:val="18"/>
          <w:szCs w:val="18"/>
          <w:color w:val="auto"/>
        </w:rPr>
        <w:t>We have large-scale manufacturing operations in Rensselaer, New York. We use our facilities to produce bulk product for clinical and preclinical candidates for ourselves and our collaborations. If our clinical candidates are discontinued, we will have to absorb one hundred percent of related overhead costs and inefficiencies.</w:t>
      </w:r>
    </w:p>
    <w:p>
      <w:pPr>
        <w:spacing w:after="0" w:line="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Third-party supply failures or a business interruption at our manufacturing facility in Rensselaer, New York could adversely affect our ability to supply our products.</w:t>
      </w:r>
    </w:p>
    <w:p>
      <w:pPr>
        <w:spacing w:after="0" w:line="62" w:lineRule="exact"/>
        <w:rPr>
          <w:sz w:val="20"/>
          <w:szCs w:val="20"/>
          <w:color w:val="auto"/>
        </w:rPr>
      </w:pPr>
    </w:p>
    <w:p>
      <w:pPr>
        <w:jc w:val="both"/>
        <w:ind w:right="300" w:firstLine="222"/>
        <w:spacing w:after="0" w:line="264" w:lineRule="auto"/>
        <w:rPr>
          <w:sz w:val="20"/>
          <w:szCs w:val="20"/>
          <w:color w:val="auto"/>
        </w:rPr>
      </w:pPr>
      <w:r>
        <w:rPr>
          <w:rFonts w:ascii="Arial" w:cs="Arial" w:eastAsia="Arial" w:hAnsi="Arial"/>
          <w:sz w:val="18"/>
          <w:szCs w:val="18"/>
          <w:color w:val="auto"/>
        </w:rPr>
        <w:t>We manufacture all of our bulk drug materials for ARCALYST and our product candidates at our manufacturing facility in Rensselaer, New York. We would be unable to supply our product requirements if we were to cease production due to regulatory requirements or action, business interruptions, labor shortages or disputes, contaminations, or other problems at the facility.</w:t>
      </w:r>
    </w:p>
    <w:p>
      <w:pPr>
        <w:spacing w:after="0" w:line="73"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Certain raw materials necessary for manufacturing and formulation of ARCALYST and our product candidates are provided by single-source unaffiliated third-party suppliers. In addition, we rely on certain third parties to perform filling, finishing, distribution, and other services related to the manufacture of our products. We would be unable to obtain these raw materials or services for an indeterminate period of time if any of these third-parties were to cease or interrupt production or otherwise fail to supply these materials, products, or services to us for any reason, including due to regulatory requirements or action, adverse financial developments at or affecting the supplier, business interruptions, or labor shortages or disputes. This, in turn, could materially and adversely affect our ability to manufacture or supply ARCALYST or our product candidates for use in clinical trials, which could materially and adversely affect our business and future prospects.</w:t>
      </w:r>
    </w:p>
    <w:p>
      <w:pPr>
        <w:spacing w:after="0" w:line="81" w:lineRule="exact"/>
        <w:rPr>
          <w:sz w:val="20"/>
          <w:szCs w:val="20"/>
          <w:color w:val="auto"/>
        </w:rPr>
      </w:pPr>
    </w:p>
    <w:p>
      <w:pPr>
        <w:ind w:right="180" w:firstLine="215"/>
        <w:spacing w:after="0" w:line="259" w:lineRule="auto"/>
        <w:rPr>
          <w:sz w:val="20"/>
          <w:szCs w:val="20"/>
          <w:color w:val="auto"/>
        </w:rPr>
      </w:pPr>
      <w:r>
        <w:rPr>
          <w:rFonts w:ascii="Arial" w:cs="Arial" w:eastAsia="Arial" w:hAnsi="Arial"/>
          <w:sz w:val="18"/>
          <w:szCs w:val="18"/>
          <w:color w:val="auto"/>
        </w:rPr>
        <w:t>Also, certain of the raw materials required in the manufacturing and the formulation of our clinical candidates may be derived from biological sources, including mammalian tissues, bovine serum, and human serum albumin. There are certain European regulatory restrictions on using these biological source materials. If we are required to substitute for these sources to comply with European regulatory requirements, our clinical development activities may be delayed or interrupted.</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Products</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or enter into agreements with third parties to do so, we will be unable to successfully market and sell future products.</w:t>
      </w:r>
    </w:p>
    <w:p>
      <w:pPr>
        <w:spacing w:after="0" w:line="62"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We are marketing and selling ARCALYST for the treatment of CAPS ourselves in the United States, primarily through third party service providers. We have no sales or distribution personnel and have only a small staff with commercial capabilities. For product candidates in development, if we are unable to obtain those capabilities, either by developing our own organizations or entering into agreements with service providers, we will not be able to successfully sell any products that we may obtain regulatory approval for and bring to market in the future. In that event, we will not be able to generate significant revenue, even if our product candidates are approved. We cannot guarantee that we will be able to hire the qualified sales and marketing personnel we need or that we will be able to enter into marketing or distribution agreements with third-party providers on acceptable terms, if at all. Under the terms of our collaboration agreement with sanofi-aventis, we currently rely on sanofi-aventis for sales, marketing, and distribution of aflibercept in cancer indications, should it be approved in the future by regulatory authorities for marketing. We will have to rely on a third party or devote significant resources to develop our own sales, marketing, and distribution capabilities for our other product candidates, including VEGF Trap-Eye in the United States, and we may be unsuccessful in developing our own sales, marketing, and distribution organization.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too few patients with CAPS to profitably commercialize ARCALYST</w:t>
      </w:r>
      <w:r>
        <w:rPr>
          <w:rFonts w:ascii="Arial" w:cs="Arial" w:eastAsia="Arial" w:hAnsi="Arial"/>
          <w:sz w:val="26"/>
          <w:szCs w:val="26"/>
          <w:b w:val="1"/>
          <w:bCs w:val="1"/>
          <w:color w:val="auto"/>
          <w:vertAlign w:val="superscript"/>
        </w:rPr>
        <w:t>®</w:t>
      </w:r>
      <w:r>
        <w:rPr>
          <w:rFonts w:ascii="Arial" w:cs="Arial" w:eastAsia="Arial" w:hAnsi="Arial"/>
          <w:sz w:val="18"/>
          <w:szCs w:val="18"/>
          <w:b w:val="1"/>
          <w:bCs w:val="1"/>
          <w:i w:val="1"/>
          <w:iCs w:val="1"/>
          <w:color w:val="auto"/>
        </w:rPr>
        <w:t xml:space="preserve"> (rilonacept) in this indication.</w:t>
      </w:r>
    </w:p>
    <w:p>
      <w:pPr>
        <w:spacing w:after="0" w:line="41" w:lineRule="exact"/>
        <w:rPr>
          <w:sz w:val="20"/>
          <w:szCs w:val="20"/>
          <w:color w:val="auto"/>
        </w:rPr>
      </w:pPr>
    </w:p>
    <w:p>
      <w:pPr>
        <w:jc w:val="both"/>
        <w:ind w:right="120" w:firstLine="225"/>
        <w:spacing w:after="0" w:line="254" w:lineRule="auto"/>
        <w:rPr>
          <w:sz w:val="20"/>
          <w:szCs w:val="20"/>
          <w:color w:val="auto"/>
        </w:rPr>
      </w:pPr>
      <w:r>
        <w:rPr>
          <w:rFonts w:ascii="Arial" w:cs="Arial" w:eastAsia="Arial" w:hAnsi="Arial"/>
          <w:sz w:val="18"/>
          <w:szCs w:val="18"/>
          <w:color w:val="auto"/>
        </w:rPr>
        <w:t>Our only approved product is ARCALYST for the treatment of CAPS, a group of rare, inherited auto-inflammatory diseases. These rare diseases affect a very small group of people. The incidence of CAPS has been reported to be approximately 1 in 1,000,000 people in the United States. As a result, there may be too few patients with CAPS to profitably commercialize ARCALYST in this indication.</w:t>
      </w:r>
    </w:p>
    <w:p>
      <w:pPr>
        <w:spacing w:after="0" w:line="83"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Even if our product candidates are approved for marketing, their commercial success is highly uncertain because our competitors have received approval for products with the same mechanism of action, and competitors may get to the marketplace with better or lower cost drugs.</w:t>
      </w:r>
    </w:p>
    <w:p>
      <w:pPr>
        <w:spacing w:after="0" w:line="16"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There is substantial competition in the biotechnology and pharmaceutical industries from pharmaceutical, biotechnology, and chemical companies. Many of our competitors have substantially greater research, preclinical and clinical product development and manufacturing capabilities, and financial, marketing, and human resources than we do. Our smaller competitors may also enhance their competitive position if they acquire or discover patentable inventions, form collaborative arrangements, or merge with large pharmaceutical companies. Even if we achieve product commercialization, our competitors have achieved, and may continue to achieve, product commercialization before our products are approved for marketing and sale.</w:t>
      </w:r>
    </w:p>
    <w:p>
      <w:pPr>
        <w:spacing w:after="0" w:line="64" w:lineRule="exact"/>
        <w:rPr>
          <w:sz w:val="20"/>
          <w:szCs w:val="20"/>
          <w:color w:val="auto"/>
        </w:rPr>
      </w:pPr>
    </w:p>
    <w:p>
      <w:pPr>
        <w:ind w:right="640" w:firstLine="225"/>
        <w:spacing w:after="0" w:line="277" w:lineRule="auto"/>
        <w:rPr>
          <w:sz w:val="20"/>
          <w:szCs w:val="20"/>
          <w:color w:val="auto"/>
        </w:rPr>
      </w:pPr>
      <w:r>
        <w:rPr>
          <w:rFonts w:ascii="Arial" w:cs="Arial" w:eastAsia="Arial" w:hAnsi="Arial"/>
          <w:sz w:val="18"/>
          <w:szCs w:val="18"/>
          <w:color w:val="auto"/>
        </w:rPr>
        <w:t>Genentech has an approved VEGF antagonist, Avastin</w:t>
      </w:r>
      <w:r>
        <w:rPr>
          <w:rFonts w:ascii="Arial" w:cs="Arial" w:eastAsia="Arial" w:hAnsi="Arial"/>
          <w:sz w:val="15"/>
          <w:szCs w:val="15"/>
          <w:color w:val="auto"/>
        </w:rPr>
        <w:t>®</w:t>
      </w:r>
      <w:r>
        <w:rPr>
          <w:rFonts w:ascii="Arial" w:cs="Arial" w:eastAsia="Arial" w:hAnsi="Arial"/>
          <w:sz w:val="18"/>
          <w:szCs w:val="18"/>
          <w:color w:val="auto"/>
        </w:rPr>
        <w:t xml:space="preserve"> (beracizumab) (Genentech), on the market for treating certain cancers and many different pharmaceutical and biotechnology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companies are working to develop competing VEGF antagonists, including Novartis, OSI Pharmaceuticals, Inc., and Pfizer, Inc. Many of these molecules are farther along in development than aflibercept and may offer competitive advantages over our molecule. Novartis has an ongoing Phase 3 clinical development program evaluating an orally delivered VEGF tyrosine kinase inhibitor in different cancer settings. Each of Pfizer and Onyx Pharmaceuticals, Inc., (together with its partner Bayer HealthCare) has received approval from the FDA to market and sell an oral medication that targets tumor cell growth and new vasculature formation that fuels the growth of tumors. The marketing approvals for Genentech’s VEGF antagonist, Avastin</w:t>
      </w:r>
      <w:r>
        <w:rPr>
          <w:rFonts w:ascii="Arial" w:cs="Arial" w:eastAsia="Arial" w:hAnsi="Arial"/>
          <w:sz w:val="14"/>
          <w:szCs w:val="14"/>
          <w:color w:val="auto"/>
        </w:rPr>
        <w:t>®</w:t>
      </w:r>
      <w:r>
        <w:rPr>
          <w:rFonts w:ascii="Arial" w:cs="Arial" w:eastAsia="Arial" w:hAnsi="Arial"/>
          <w:sz w:val="17"/>
          <w:szCs w:val="17"/>
          <w:color w:val="auto"/>
        </w:rPr>
        <w:t xml:space="preserve"> (Genentech), and their extensive, ongoing clinical development plan for Avastin</w:t>
      </w:r>
      <w:r>
        <w:rPr>
          <w:rFonts w:ascii="Arial" w:cs="Arial" w:eastAsia="Arial" w:hAnsi="Arial"/>
          <w:sz w:val="14"/>
          <w:szCs w:val="14"/>
          <w:color w:val="auto"/>
        </w:rPr>
        <w:t>®</w:t>
      </w:r>
      <w:r>
        <w:rPr>
          <w:rFonts w:ascii="Arial" w:cs="Arial" w:eastAsia="Arial" w:hAnsi="Arial"/>
          <w:sz w:val="17"/>
          <w:szCs w:val="17"/>
          <w:color w:val="auto"/>
        </w:rPr>
        <w:t xml:space="preserve"> (Genentech) in other cancer indications, make it more difficult for us to enroll patients in clinical trials to support aflibercept and to obtain regulatory approval of aflibercept in these cancer settings. This may delay or impair our ability to successfully develop and commercialize aflibercept. In addition, even if aflibercept is ever approved for sale for the treatment of certain cancers, it will be difficult for our drug to compete against Avastin</w:t>
      </w:r>
      <w:r>
        <w:rPr>
          <w:rFonts w:ascii="Arial" w:cs="Arial" w:eastAsia="Arial" w:hAnsi="Arial"/>
          <w:sz w:val="14"/>
          <w:szCs w:val="14"/>
          <w:color w:val="auto"/>
        </w:rPr>
        <w:t>®</w:t>
      </w:r>
      <w:r>
        <w:rPr>
          <w:rFonts w:ascii="Arial" w:cs="Arial" w:eastAsia="Arial" w:hAnsi="Arial"/>
          <w:sz w:val="17"/>
          <w:szCs w:val="17"/>
          <w:color w:val="auto"/>
        </w:rPr>
        <w:t xml:space="preserve"> (Genentech) and the FDA approved kinase inhibitors, because doctors and patients will have significant experience using these medicines. In addition, an oral medication may be considerably less expensive for patients than a biologic medication, providing a competitive advantage to companies that market such products.</w:t>
      </w:r>
    </w:p>
    <w:p>
      <w:pPr>
        <w:spacing w:after="0" w:line="75" w:lineRule="exact"/>
        <w:rPr>
          <w:sz w:val="20"/>
          <w:szCs w:val="20"/>
          <w:color w:val="auto"/>
        </w:rPr>
      </w:pPr>
    </w:p>
    <w:p>
      <w:pPr>
        <w:ind w:right="40" w:firstLine="222"/>
        <w:spacing w:after="0" w:line="288" w:lineRule="auto"/>
        <w:rPr>
          <w:sz w:val="20"/>
          <w:szCs w:val="20"/>
          <w:color w:val="auto"/>
        </w:rPr>
      </w:pPr>
      <w:r>
        <w:rPr>
          <w:rFonts w:ascii="Arial" w:cs="Arial" w:eastAsia="Arial" w:hAnsi="Arial"/>
          <w:sz w:val="16"/>
          <w:szCs w:val="16"/>
          <w:color w:val="auto"/>
        </w:rPr>
        <w:t>The market for eye disease products is also very competitive. Novartis and Genentech are collaborating on the commercialization and further development of a VEGF antibody fragment, ranibizumab (Lucentis</w:t>
      </w:r>
      <w:r>
        <w:rPr>
          <w:rFonts w:ascii="Arial" w:cs="Arial" w:eastAsia="Arial" w:hAnsi="Arial"/>
          <w:sz w:val="13"/>
          <w:szCs w:val="13"/>
          <w:color w:val="auto"/>
        </w:rPr>
        <w:t>®</w:t>
      </w:r>
      <w:r>
        <w:rPr>
          <w:rFonts w:ascii="Arial" w:cs="Arial" w:eastAsia="Arial" w:hAnsi="Arial"/>
          <w:sz w:val="16"/>
          <w:szCs w:val="16"/>
          <w:color w:val="auto"/>
        </w:rPr>
        <w:t>), for the treatment of age-related macular degeneration (wet AMD) and other eye indications that was approved by the FDA in June 2006. Many other companies are working on the development of product candidates for the potential treatment of wet AMD that act by blocking VEGF, VEGF receptors, and through the use of soluble ribonucleic acids (sRNAs) that modulate gene expression. In addition, ophthalmologists are using off-label a third-party reformatted version of Genentech’s approved VEGF antagonist, Avastin</w:t>
      </w:r>
      <w:r>
        <w:rPr>
          <w:rFonts w:ascii="Arial" w:cs="Arial" w:eastAsia="Arial" w:hAnsi="Arial"/>
          <w:sz w:val="13"/>
          <w:szCs w:val="13"/>
          <w:color w:val="auto"/>
        </w:rPr>
        <w:t>®</w:t>
      </w:r>
      <w:r>
        <w:rPr>
          <w:rFonts w:ascii="Arial" w:cs="Arial" w:eastAsia="Arial" w:hAnsi="Arial"/>
          <w:sz w:val="16"/>
          <w:szCs w:val="16"/>
          <w:color w:val="auto"/>
        </w:rPr>
        <w:t>, with success for the treatment of wet AMD. The National Eye Institute recently initiated a Phase 3 trial comparing Lucentis</w:t>
      </w:r>
      <w:r>
        <w:rPr>
          <w:rFonts w:ascii="Arial" w:cs="Arial" w:eastAsia="Arial" w:hAnsi="Arial"/>
          <w:sz w:val="13"/>
          <w:szCs w:val="13"/>
          <w:color w:val="auto"/>
        </w:rPr>
        <w:t>®</w:t>
      </w:r>
      <w:r>
        <w:rPr>
          <w:rFonts w:ascii="Arial" w:cs="Arial" w:eastAsia="Arial" w:hAnsi="Arial"/>
          <w:sz w:val="16"/>
          <w:szCs w:val="16"/>
          <w:color w:val="auto"/>
        </w:rPr>
        <w:t xml:space="preserve"> (Genentech) to Avastin</w:t>
      </w:r>
      <w:r>
        <w:rPr>
          <w:rFonts w:ascii="Arial" w:cs="Arial" w:eastAsia="Arial" w:hAnsi="Arial"/>
          <w:sz w:val="13"/>
          <w:szCs w:val="13"/>
          <w:color w:val="auto"/>
        </w:rPr>
        <w:t>®</w:t>
      </w:r>
      <w:r>
        <w:rPr>
          <w:rFonts w:ascii="Arial" w:cs="Arial" w:eastAsia="Arial" w:hAnsi="Arial"/>
          <w:sz w:val="16"/>
          <w:szCs w:val="16"/>
          <w:color w:val="auto"/>
        </w:rPr>
        <w:t xml:space="preserve"> (Genentech) in the treatment of wet AMD. The marketing approval of Lucentis</w:t>
      </w:r>
      <w:r>
        <w:rPr>
          <w:rFonts w:ascii="Arial" w:cs="Arial" w:eastAsia="Arial" w:hAnsi="Arial"/>
          <w:sz w:val="13"/>
          <w:szCs w:val="13"/>
          <w:color w:val="auto"/>
        </w:rPr>
        <w:t>®</w:t>
      </w:r>
      <w:r>
        <w:rPr>
          <w:rFonts w:ascii="Arial" w:cs="Arial" w:eastAsia="Arial" w:hAnsi="Arial"/>
          <w:sz w:val="16"/>
          <w:szCs w:val="16"/>
          <w:color w:val="auto"/>
        </w:rPr>
        <w:t xml:space="preserve"> (Genentech) and the potential off-label use of Avastin</w:t>
      </w:r>
      <w:r>
        <w:rPr>
          <w:rFonts w:ascii="Arial" w:cs="Arial" w:eastAsia="Arial" w:hAnsi="Arial"/>
          <w:sz w:val="13"/>
          <w:szCs w:val="13"/>
          <w:color w:val="auto"/>
        </w:rPr>
        <w:t>®</w:t>
      </w:r>
      <w:r>
        <w:rPr>
          <w:rFonts w:ascii="Arial" w:cs="Arial" w:eastAsia="Arial" w:hAnsi="Arial"/>
          <w:sz w:val="16"/>
          <w:szCs w:val="16"/>
          <w:color w:val="auto"/>
        </w:rPr>
        <w:t xml:space="preserve"> (Genentech) make it more difficult for us to enroll patients in our clinical trials and successfully develop VEGF Trap-Eye. Even if VEGF Trap-Eye is ever approved for sale for the treatment of eye diseases, it may be difficult for our drug to compete against Lucentis</w:t>
      </w:r>
      <w:r>
        <w:rPr>
          <w:rFonts w:ascii="Arial" w:cs="Arial" w:eastAsia="Arial" w:hAnsi="Arial"/>
          <w:sz w:val="13"/>
          <w:szCs w:val="13"/>
          <w:color w:val="auto"/>
        </w:rPr>
        <w:t>®</w:t>
      </w:r>
      <w:r>
        <w:rPr>
          <w:rFonts w:ascii="Arial" w:cs="Arial" w:eastAsia="Arial" w:hAnsi="Arial"/>
          <w:sz w:val="16"/>
          <w:szCs w:val="16"/>
          <w:color w:val="auto"/>
        </w:rPr>
        <w:t xml:space="preserve"> (Genentech), because doctors and patients will have significant experience using this medicine. Moreover, the relatively low cost of therapy with Avastin</w:t>
      </w:r>
      <w:r>
        <w:rPr>
          <w:rFonts w:ascii="Arial" w:cs="Arial" w:eastAsia="Arial" w:hAnsi="Arial"/>
          <w:sz w:val="13"/>
          <w:szCs w:val="13"/>
          <w:color w:val="auto"/>
        </w:rPr>
        <w:t>®</w:t>
      </w:r>
      <w:r>
        <w:rPr>
          <w:rFonts w:ascii="Arial" w:cs="Arial" w:eastAsia="Arial" w:hAnsi="Arial"/>
          <w:sz w:val="16"/>
          <w:szCs w:val="16"/>
          <w:color w:val="auto"/>
        </w:rPr>
        <w:t xml:space="preserve"> (Genentech) in patients with wet AMD presents a further competitive challenge in this indication.</w:t>
      </w:r>
    </w:p>
    <w:p>
      <w:pPr>
        <w:spacing w:after="0" w:line="61" w:lineRule="exact"/>
        <w:rPr>
          <w:sz w:val="20"/>
          <w:szCs w:val="20"/>
          <w:color w:val="auto"/>
        </w:rPr>
      </w:pPr>
    </w:p>
    <w:p>
      <w:pPr>
        <w:ind w:right="40" w:firstLine="222"/>
        <w:spacing w:after="0" w:line="273" w:lineRule="auto"/>
        <w:rPr>
          <w:sz w:val="20"/>
          <w:szCs w:val="20"/>
          <w:color w:val="auto"/>
        </w:rPr>
      </w:pPr>
      <w:r>
        <w:rPr>
          <w:rFonts w:ascii="Arial" w:cs="Arial" w:eastAsia="Arial" w:hAnsi="Arial"/>
          <w:sz w:val="17"/>
          <w:szCs w:val="17"/>
          <w:color w:val="auto"/>
        </w:rPr>
        <w:t>The availability of highly effective FDA approved TNF-antagonists such as Enbrel</w:t>
      </w:r>
      <w:r>
        <w:rPr>
          <w:rFonts w:ascii="Arial" w:cs="Arial" w:eastAsia="Arial" w:hAnsi="Arial"/>
          <w:sz w:val="14"/>
          <w:szCs w:val="14"/>
          <w:color w:val="auto"/>
        </w:rPr>
        <w:t>®</w:t>
      </w:r>
      <w:r>
        <w:rPr>
          <w:rFonts w:ascii="Arial" w:cs="Arial" w:eastAsia="Arial" w:hAnsi="Arial"/>
          <w:sz w:val="17"/>
          <w:szCs w:val="17"/>
          <w:color w:val="auto"/>
        </w:rPr>
        <w:t xml:space="preserve"> (Immunex), Remicade</w:t>
      </w:r>
      <w:r>
        <w:rPr>
          <w:rFonts w:ascii="Arial" w:cs="Arial" w:eastAsia="Arial" w:hAnsi="Arial"/>
          <w:sz w:val="14"/>
          <w:szCs w:val="14"/>
          <w:color w:val="auto"/>
        </w:rPr>
        <w:t>®</w:t>
      </w:r>
      <w:r>
        <w:rPr>
          <w:rFonts w:ascii="Arial" w:cs="Arial" w:eastAsia="Arial" w:hAnsi="Arial"/>
          <w:sz w:val="17"/>
          <w:szCs w:val="17"/>
          <w:color w:val="auto"/>
        </w:rPr>
        <w:t xml:space="preserve"> (Centocor), and Humira</w:t>
      </w:r>
      <w:r>
        <w:rPr>
          <w:rFonts w:ascii="Arial" w:cs="Arial" w:eastAsia="Arial" w:hAnsi="Arial"/>
          <w:sz w:val="14"/>
          <w:szCs w:val="14"/>
          <w:color w:val="auto"/>
        </w:rPr>
        <w:t>®</w:t>
      </w:r>
      <w:r>
        <w:rPr>
          <w:rFonts w:ascii="Arial" w:cs="Arial" w:eastAsia="Arial" w:hAnsi="Arial"/>
          <w:sz w:val="17"/>
          <w:szCs w:val="17"/>
          <w:color w:val="auto"/>
        </w:rPr>
        <w:t xml:space="preserve"> (Abbott Laboratories), and the IL-1 receptor antagonist Kineret</w:t>
      </w:r>
      <w:r>
        <w:rPr>
          <w:rFonts w:ascii="Arial" w:cs="Arial" w:eastAsia="Arial" w:hAnsi="Arial"/>
          <w:sz w:val="14"/>
          <w:szCs w:val="14"/>
          <w:color w:val="auto"/>
        </w:rPr>
        <w:t>®</w:t>
      </w:r>
      <w:r>
        <w:rPr>
          <w:rFonts w:ascii="Arial" w:cs="Arial" w:eastAsia="Arial" w:hAnsi="Arial"/>
          <w:sz w:val="17"/>
          <w:szCs w:val="17"/>
          <w:color w:val="auto"/>
        </w:rPr>
        <w:t xml:space="preserve"> (Amgen), and other marketed therapies makes it more difficult to successfully develop and commercialize ARCALYST</w:t>
      </w:r>
      <w:r>
        <w:rPr>
          <w:rFonts w:ascii="Arial" w:cs="Arial" w:eastAsia="Arial" w:hAnsi="Arial"/>
          <w:sz w:val="14"/>
          <w:szCs w:val="14"/>
          <w:color w:val="auto"/>
        </w:rPr>
        <w:t>®</w:t>
      </w:r>
      <w:r>
        <w:rPr>
          <w:rFonts w:ascii="Arial" w:cs="Arial" w:eastAsia="Arial" w:hAnsi="Arial"/>
          <w:sz w:val="17"/>
          <w:szCs w:val="17"/>
          <w:color w:val="auto"/>
        </w:rPr>
        <w:t xml:space="preserve"> (rilonacept). This is one of the reasons we discontinued the development of ARCALYST in adult rheumatoid arthritis. In addition, even if ARCALYST is ever approved for sale in indications where TNF-antagonists are approved, it will be difficult for our drug to compete against these FDA approved TNF-antagonists because doctors and patients will have significant experience using these effective medicines. Moreover, in such indications these approved therapeutics may offer competitive advantages over ARCALYST, such as requiring fewer injections.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222"/>
        <w:spacing w:after="0" w:line="272" w:lineRule="auto"/>
        <w:rPr>
          <w:sz w:val="20"/>
          <w:szCs w:val="20"/>
          <w:color w:val="auto"/>
        </w:rPr>
      </w:pPr>
      <w:r>
        <w:rPr>
          <w:rFonts w:ascii="Arial" w:cs="Arial" w:eastAsia="Arial" w:hAnsi="Arial"/>
          <w:sz w:val="17"/>
          <w:szCs w:val="17"/>
          <w:color w:val="auto"/>
        </w:rPr>
        <w:t>There are both small molecules and antibodies in development by other companies that are designed to block the synthesis of interleukin-1 or inhibit the signaling of interleukin-1. For example, Eli Lilly and Company, Xoma Ltd., and Novartis are each developing antibodies to interleukin-1 and Amgen is developing an antibody to the interleukin-1 receptor. Novartis has commenced advanced clinical testing of its IL-1 antibody in Muckle-Wells Syndrome, which is part of the group of rare genetic diseases called CAPS. Novartis recently announced that its IL-1 antibody demonstrated long-lasting clinical remission in patients with CAPS and that its clinical candidate could develop into a major therapeutic advance in the treatment of CAPS. Novartis’ IL-1 antibody and these other drug candidates could offer competitive advantages over ARCALYST. The successful development of these competing molecules could impair our ability to successfully commercialize ARCALYST.</w:t>
      </w:r>
    </w:p>
    <w:p>
      <w:pPr>
        <w:spacing w:after="0" w:line="70" w:lineRule="exact"/>
        <w:rPr>
          <w:sz w:val="20"/>
          <w:szCs w:val="20"/>
          <w:color w:val="auto"/>
        </w:rPr>
      </w:pPr>
    </w:p>
    <w:p>
      <w:pPr>
        <w:ind w:right="40" w:firstLine="222"/>
        <w:spacing w:after="0" w:line="273" w:lineRule="auto"/>
        <w:rPr>
          <w:sz w:val="20"/>
          <w:szCs w:val="20"/>
          <w:color w:val="auto"/>
        </w:rPr>
      </w:pPr>
      <w:r>
        <w:rPr>
          <w:rFonts w:ascii="Arial" w:cs="Arial" w:eastAsia="Arial" w:hAnsi="Arial"/>
          <w:sz w:val="17"/>
          <w:szCs w:val="17"/>
          <w:color w:val="auto"/>
        </w:rPr>
        <w:t>We are developing REGN88 for the treatment of rheumatoid arthritis. The availability of highly effective FDA approved TNF-antagonists such as Enbrel</w:t>
      </w:r>
      <w:r>
        <w:rPr>
          <w:rFonts w:ascii="Arial" w:cs="Arial" w:eastAsia="Arial" w:hAnsi="Arial"/>
          <w:sz w:val="14"/>
          <w:szCs w:val="14"/>
          <w:color w:val="auto"/>
        </w:rPr>
        <w:t>®</w:t>
      </w:r>
      <w:r>
        <w:rPr>
          <w:rFonts w:ascii="Arial" w:cs="Arial" w:eastAsia="Arial" w:hAnsi="Arial"/>
          <w:sz w:val="17"/>
          <w:szCs w:val="17"/>
          <w:color w:val="auto"/>
        </w:rPr>
        <w:t xml:space="preserve"> (Immunex), Remicade</w:t>
      </w:r>
      <w:r>
        <w:rPr>
          <w:rFonts w:ascii="Arial" w:cs="Arial" w:eastAsia="Arial" w:hAnsi="Arial"/>
          <w:sz w:val="14"/>
          <w:szCs w:val="14"/>
          <w:color w:val="auto"/>
        </w:rPr>
        <w:t>®</w:t>
      </w:r>
      <w:r>
        <w:rPr>
          <w:rFonts w:ascii="Arial" w:cs="Arial" w:eastAsia="Arial" w:hAnsi="Arial"/>
          <w:sz w:val="17"/>
          <w:szCs w:val="17"/>
          <w:color w:val="auto"/>
        </w:rPr>
        <w:t xml:space="preserve"> (Centocor), and Humira</w:t>
      </w:r>
      <w:r>
        <w:rPr>
          <w:rFonts w:ascii="Arial" w:cs="Arial" w:eastAsia="Arial" w:hAnsi="Arial"/>
          <w:sz w:val="14"/>
          <w:szCs w:val="14"/>
          <w:color w:val="auto"/>
        </w:rPr>
        <w:t>®</w:t>
      </w:r>
      <w:r>
        <w:rPr>
          <w:rFonts w:ascii="Arial" w:cs="Arial" w:eastAsia="Arial" w:hAnsi="Arial"/>
          <w:sz w:val="17"/>
          <w:szCs w:val="17"/>
          <w:color w:val="auto"/>
        </w:rPr>
        <w:t xml:space="preserve"> (Abbott), and other marketed therapies makes it more difficult to successfully develop and commercialize REGN88. REGN88 is a human monoclonal antibody targeting the interleukin-6 receptor. Roche is developing an antibody against the interleukin-6 (IL-6) receptor. Roche’s antibody has completed Phase 3 clinical trials and is the subject of a filed Biologics License Application with the FDA. Roche’s IL-6 receptor antibody, other clinical candidates in development, and drugs now or in the future on the market to treat rheumatoid arthritis could offer competitive advantages over REGN88. This could delay or impair our ability to successfully develop and commercialize REGN88.</w:t>
      </w:r>
    </w:p>
    <w:p>
      <w:pPr>
        <w:spacing w:after="0" w:line="70"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b w:val="1"/>
          <w:bCs w:val="1"/>
          <w:i w:val="1"/>
          <w:iCs w:val="1"/>
          <w:color w:val="auto"/>
        </w:rPr>
        <w:t>The successful commercialization of ARCALYST</w:t>
      </w:r>
      <w:r>
        <w:rPr>
          <w:rFonts w:ascii="Arial" w:cs="Arial" w:eastAsia="Arial" w:hAnsi="Arial"/>
          <w:sz w:val="23"/>
          <w:szCs w:val="23"/>
          <w:b w:val="1"/>
          <w:bCs w:val="1"/>
          <w:color w:val="auto"/>
          <w:vertAlign w:val="superscript"/>
        </w:rPr>
        <w:t>®</w:t>
      </w:r>
      <w:r>
        <w:rPr>
          <w:rFonts w:ascii="Arial" w:cs="Arial" w:eastAsia="Arial" w:hAnsi="Arial"/>
          <w:sz w:val="16"/>
          <w:szCs w:val="16"/>
          <w:b w:val="1"/>
          <w:bCs w:val="1"/>
          <w:i w:val="1"/>
          <w:iCs w:val="1"/>
          <w:color w:val="auto"/>
        </w:rPr>
        <w:t xml:space="preserve"> (rilonacept) and our product candidates will depend on obtaining coverage and reimbursement for use of these products from third-party payers and these payers may not agree to cover or reimburse for use of our products.</w:t>
      </w:r>
    </w:p>
    <w:p>
      <w:pPr>
        <w:spacing w:after="0" w:line="95"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Our product candidates, if commercialized, may be significantly more expensive than traditional drug treatments. Our future revenues and profitability will be adversely affected if United States and foreign governmental, private third-party insurers and payers, and other third-party payers, including Medicare and Medicaid, do not agree to defray or reimburse the cost of our products to the patients. If these entities refuse to provide coverage and reimbursement with respect to our products or provide an insufficient level of coverage and reimbursement, our products may be too costly for many patients to afford them, and physicians may not prescribe them. Many third-party payers cover only selected drugs, making drugs that are not preferred by such payer more expensive for patients, and require prior authorization or failure on another type of treatment before covering a particular drug. Payers may especially impose these obstacles to coverage on higher-priced drugs, as our product candidates are likely to be.</w:t>
      </w:r>
    </w:p>
    <w:p>
      <w:pPr>
        <w:spacing w:after="0" w:line="70" w:lineRule="exact"/>
        <w:rPr>
          <w:sz w:val="20"/>
          <w:szCs w:val="20"/>
          <w:color w:val="auto"/>
        </w:rPr>
      </w:pPr>
    </w:p>
    <w:p>
      <w:pPr>
        <w:ind w:right="140" w:firstLine="222"/>
        <w:spacing w:after="0" w:line="259" w:lineRule="auto"/>
        <w:rPr>
          <w:sz w:val="20"/>
          <w:szCs w:val="20"/>
          <w:color w:val="auto"/>
        </w:rPr>
      </w:pPr>
      <w:r>
        <w:rPr>
          <w:rFonts w:ascii="Arial" w:cs="Arial" w:eastAsia="Arial" w:hAnsi="Arial"/>
          <w:sz w:val="18"/>
          <w:szCs w:val="18"/>
          <w:color w:val="auto"/>
        </w:rPr>
        <w:t>We market and sell ARCALYST in the United States for the treatment of a group of rare genetic disorders called CAPS. There may be too few patients with CAPS to profitably commercialize ARCALYST. Physicians may not prescribe ARCALYST, and CAPS patients may not be able to afford ARCALYST, if third party payers do not agree to reimburse the cost of ARCALYST therapy and this would adversely affect our ability to commercialize ARCALYST profitably.</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addition to potential restrictions on coverage, the amount of reimbursement for our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products may also reduce our profitability. In the United States, there have been, and we expect will continue to be, actions and proposals to control and reduce healthcare costs. Government and other third-party payers are challenging the prices charged for healthcare products and increasingly limiting, and attempting to limit, both coverage and level of reimbursement for prescription drugs.</w:t>
      </w:r>
    </w:p>
    <w:p>
      <w:pPr>
        <w:spacing w:after="0" w:line="73"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Since ARCALYST</w:t>
      </w:r>
      <w:r>
        <w:rPr>
          <w:rFonts w:ascii="Arial" w:cs="Arial" w:eastAsia="Arial" w:hAnsi="Arial"/>
          <w:sz w:val="15"/>
          <w:szCs w:val="15"/>
          <w:color w:val="auto"/>
        </w:rPr>
        <w:t>®</w:t>
      </w:r>
      <w:r>
        <w:rPr>
          <w:rFonts w:ascii="Arial" w:cs="Arial" w:eastAsia="Arial" w:hAnsi="Arial"/>
          <w:sz w:val="18"/>
          <w:szCs w:val="18"/>
          <w:color w:val="auto"/>
        </w:rPr>
        <w:t xml:space="preserve"> (rilonacept) and our product candidates in clinical development, will likely be too expensive for most patients to afford without health insurance coverage, if our products are unable to obtain adequate coverage and reimbursement by third-party payers our ability to successfully commercialize our product candidates may be adversely impacted. Any limitation on the use of our products or any decrease in the price of our products will have a material adverse effect on our ability to achieve profitability.</w:t>
      </w:r>
    </w:p>
    <w:p>
      <w:pPr>
        <w:spacing w:after="0" w:line="79" w:lineRule="exact"/>
        <w:rPr>
          <w:sz w:val="20"/>
          <w:szCs w:val="20"/>
          <w:color w:val="auto"/>
        </w:rPr>
      </w:pPr>
    </w:p>
    <w:p>
      <w:pPr>
        <w:ind w:right="40" w:firstLine="225"/>
        <w:spacing w:after="0" w:line="254" w:lineRule="auto"/>
        <w:rPr>
          <w:sz w:val="20"/>
          <w:szCs w:val="20"/>
          <w:color w:val="auto"/>
        </w:rPr>
      </w:pPr>
      <w:r>
        <w:rPr>
          <w:rFonts w:ascii="Arial" w:cs="Arial" w:eastAsia="Arial" w:hAnsi="Arial"/>
          <w:sz w:val="18"/>
          <w:szCs w:val="18"/>
          <w:color w:val="auto"/>
        </w:rPr>
        <w:t>In certain foreign countries, pricing, coverage and level of reimbursement of prescription drugs are subject to governmental control, and we may be unable to negotiate coverage, pricing, and reimbursement on terms that are favorable to us.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are unable to market our products in foreign countries or if coverage and reimbursement for our products in foreign countries is limited.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Employees</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62" w:lineRule="exact"/>
        <w:rPr>
          <w:sz w:val="20"/>
          <w:szCs w:val="20"/>
          <w:color w:val="auto"/>
        </w:rPr>
      </w:pPr>
    </w:p>
    <w:p>
      <w:pPr>
        <w:ind w:right="80" w:firstLine="222"/>
        <w:spacing w:after="0" w:line="273" w:lineRule="auto"/>
        <w:rPr>
          <w:sz w:val="20"/>
          <w:szCs w:val="20"/>
          <w:color w:val="auto"/>
        </w:rPr>
      </w:pPr>
      <w:r>
        <w:rPr>
          <w:rFonts w:ascii="Arial" w:cs="Arial" w:eastAsia="Arial" w:hAnsi="Arial"/>
          <w:sz w:val="17"/>
          <w:szCs w:val="17"/>
          <w:color w:val="auto"/>
        </w:rPr>
        <w:t>We are highly dependent on certain of our executive officers. If we are not able to retain any of these persons or our Chairman, our business may suffer. In particular, we depend on the services of P. Roy Vagelos, M.D., the Chairman of our board of directors, Leonard Schleifer, M.D., Ph.D., our President and Chief Executive Officer, George D. Yancopoulos, M.D., Ph.D., our Executive Vice President, Chief Scientific Officer and President, Regeneron Research Laboratories, and Neil Stahl, Ph.D., our Senior Vice President, Research and Development Sciences. There is intense competition in the biotechnology industry for qualified scientists and managerial personnel in the development, manufacture, and commercialization of drugs. We may not be able to continue to attract and retain the qualified personnel necessary for developing our business.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extremely volatile.</w:t>
      </w:r>
    </w:p>
    <w:p>
      <w:pPr>
        <w:spacing w:after="0" w:line="117" w:lineRule="exact"/>
        <w:rPr>
          <w:sz w:val="20"/>
          <w:szCs w:val="20"/>
          <w:color w:val="auto"/>
        </w:rPr>
      </w:pPr>
    </w:p>
    <w:p>
      <w:pPr>
        <w:ind w:right="360" w:firstLine="222"/>
        <w:spacing w:after="0" w:line="308" w:lineRule="auto"/>
        <w:rPr>
          <w:sz w:val="20"/>
          <w:szCs w:val="20"/>
          <w:color w:val="auto"/>
        </w:rPr>
      </w:pPr>
      <w:r>
        <w:rPr>
          <w:rFonts w:ascii="Arial" w:cs="Arial" w:eastAsia="Arial" w:hAnsi="Arial"/>
          <w:sz w:val="17"/>
          <w:szCs w:val="17"/>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38" w:lineRule="exact"/>
        <w:rPr>
          <w:sz w:val="20"/>
          <w:szCs w:val="20"/>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progress, delays, or adverse results in clinical trials;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announcement of technological innovations or product candidates by us or competitors;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fluctuations in our operating results;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unsuccessful commercialization of ARCALYST</w:t>
      </w:r>
      <w:r>
        <w:rPr>
          <w:rFonts w:ascii="Arial" w:cs="Arial" w:eastAsia="Arial" w:hAnsi="Arial"/>
          <w:sz w:val="15"/>
          <w:szCs w:val="15"/>
          <w:color w:val="auto"/>
        </w:rPr>
        <w:t>®</w:t>
      </w:r>
      <w:r>
        <w:rPr>
          <w:rFonts w:ascii="Arial" w:cs="Arial" w:eastAsia="Arial" w:hAnsi="Arial"/>
          <w:sz w:val="18"/>
          <w:szCs w:val="18"/>
          <w:color w:val="auto"/>
        </w:rPr>
        <w:t xml:space="preserve"> (rilonacept) for the treatment of CAPS;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public concern as to the safety or effectiveness of ARCALYST or any of our product candidates;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developments in our relationship with collaborative partners;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developments in the biotechnology industry or in government regulation of healthcare;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large sales of our common stock by our executive officers, directors, or significant shareholders;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arrivals and departures of key personnel;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general market conditions.</w:t>
      </w:r>
    </w:p>
    <w:p>
      <w:pPr>
        <w:spacing w:after="0" w:line="117"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trading price of our Common Stock has been, and could continue to be, subject to wide fluctuations in response to these and other factors, including the sale or attempted sale of a large amount of our Common Stock in the market. Broad market fluctuations may also adversely affect the market price of our Common Stock.</w:t>
      </w:r>
    </w:p>
    <w:p>
      <w:pPr>
        <w:spacing w:after="0" w:line="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 small number of our shareholders beneficially own a substantial amount of our common stock. As of April 15, 2008, our eight largest shareholders beneficially owned 57.7% of our outstanding shares of Common Stock, assuming, in the case of Leonard S. Schleifer, M.D. Ph.D., our Chief Executive Officer, and P. Roy Vagelos, M.D., our Chairman, the conversion of their Class A Stock into Common Stock and the exercise of all options held by them which are exercisable within 60 days of April 15, 2008. As of April 15, 2008, sanofi-aventis beneficially owned 14,799,552 shares of Common Stock, representing approximately 19.3% of the shares of Common Stock then outstanding. Under our investor agreement with sanofi-aventis, sanofi-aventis may not sell these shares until December 20, 2012 except under limited circumstances and subject to earlier termination rights of these restrictions upon the occurrence of certain events. Notwithstanding these restrictions, if sanofi-aventis, or our other significant shareholders or we, sell substantial amounts of our Common Stock in the public market, or the perception that such sales may occur exists, the market price of our Common Stock could fall. Sales of Common Stock by our significant shareholders, including sanofi-aventis, also might make it more difficult for us to raise funds by selling equity or equity-related securities in the future at a time and price that we deem appropriate.</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existing shareholders may be able to exert significant influence over matters requiring shareholder approval.</w:t>
      </w:r>
    </w:p>
    <w:p>
      <w:pPr>
        <w:spacing w:after="0" w:line="117" w:lineRule="exact"/>
        <w:rPr>
          <w:sz w:val="20"/>
          <w:szCs w:val="20"/>
          <w:color w:val="auto"/>
        </w:rPr>
      </w:pPr>
    </w:p>
    <w:p>
      <w:pPr>
        <w:ind w:right="60" w:firstLine="225"/>
        <w:spacing w:after="0" w:line="273" w:lineRule="auto"/>
        <w:rPr>
          <w:sz w:val="20"/>
          <w:szCs w:val="20"/>
          <w:color w:val="auto"/>
        </w:rPr>
      </w:pPr>
      <w:r>
        <w:rPr>
          <w:rFonts w:ascii="Arial" w:cs="Arial" w:eastAsia="Arial" w:hAnsi="Arial"/>
          <w:sz w:val="17"/>
          <w:szCs w:val="17"/>
          <w:color w:val="auto"/>
        </w:rPr>
        <w:t>Holders of Class A Stock, who are generally the shareholders who purchased their stock from us before our initial public offering, are entitled to ten votes per share, while holders of Common Stock are entitled to one vote per share. As of April 15, 2008, holders of Class A Stock held 22.7% of the combined voting power of all of Common Stock and Class A Stock then outstanding. These shareholders, if acting together, would be in a position to significantly influence the election of our directors and to effect or prevent certain corporate transactions that require majority or supermajority approval of the combined classes, including mergers and other business combinations. This may result in our company taking corporate actions that you may not consider to be in your best interest and may affect the price of our Common Stock. As of April 15, 2008:</w:t>
      </w:r>
    </w:p>
    <w:p>
      <w:pPr>
        <w:spacing w:after="0" w:line="70" w:lineRule="exact"/>
        <w:rPr>
          <w:sz w:val="20"/>
          <w:szCs w:val="20"/>
          <w:color w:val="auto"/>
        </w:rPr>
      </w:pPr>
    </w:p>
    <w:p>
      <w:pPr>
        <w:ind w:left="660" w:right="120" w:hanging="436"/>
        <w:spacing w:after="0" w:line="259"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current executive officers and directors beneficially owned 12.5% of our outstanding shares of Common Stock, assuming conversion of their Class A Stock into Common Stock and the exercise of all options held by such persons which are exercisable within 60 days of April 15, 2008, and 27.6% of the combined voting power of our outstanding shares of Common Stock and Class A Stock, assuming the exercise of all options held by such persons which are exercisable within 60 days of April 15, 2008; and</w:t>
      </w:r>
    </w:p>
    <w:p>
      <w:pPr>
        <w:spacing w:after="0" w:line="92" w:lineRule="exact"/>
        <w:rPr>
          <w:rFonts w:ascii="Arial" w:cs="Arial" w:eastAsia="Arial" w:hAnsi="Arial"/>
          <w:sz w:val="18"/>
          <w:szCs w:val="18"/>
          <w:b w:val="1"/>
          <w:bCs w:val="1"/>
          <w:color w:val="auto"/>
        </w:rPr>
      </w:pPr>
    </w:p>
    <w:p>
      <w:pPr>
        <w:ind w:left="660" w:right="60" w:hanging="436"/>
        <w:spacing w:after="0" w:line="276" w:lineRule="auto"/>
        <w:tabs>
          <w:tab w:leader="none" w:pos="66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our eight largest shareholders beneficially owned 57.7% of our outstanding shares of Common Stock, assuming, in the case of Leonard S. Schleifer, M.D., Ph.D., our Chief Executive Officer, and P. Roy Vagelos, M.D., our Chairman, the conversion of their Class A Stock into Common Stock and the exercise of all options held by them which are exercisable within 60 days of April 15, 2008. In addition, these eight shareholders held 61.0% of the combined voting power of our outstanding shares of Common Stock and Class A Stock, assuming the exercise of all options held by our Chief Executive Officer and our Chairman which are exercisable within 60 days of April 15, 2008.</w:t>
      </w:r>
    </w:p>
    <w:p>
      <w:pPr>
        <w:spacing w:after="0" w:line="6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Pursuant to an investor agreement, sanofi-aventis has agreed to vote its shares, at sanofi-aventis’ election, either as recommended by our board of directors or proportionally with the votes cast by our other shareholders, except with respect to certain change of control transactions, liquidation or dissolution, stock issuances equal to or exceeding 10% of the then outstanding shares or voting rights of Common Stock and Class A Stock, and new equity compensation plans or amendments if not materially consistent with our historical equity compensation practices.</w:t>
      </w:r>
    </w:p>
    <w:p>
      <w:pPr>
        <w:spacing w:after="0" w:line="63"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The anti-takeover effects of provisions of our charter, by-laws, and of New York corporate law and the contractual “standstill” provisions in our investor agreement with sanofi-aventis, could deter, delay, or prevent an acquisition or other “change in control” of us and could adversely affect the price of our Common Stock.</w:t>
      </w:r>
    </w:p>
    <w:p>
      <w:pPr>
        <w:spacing w:after="0" w:line="73" w:lineRule="exact"/>
        <w:rPr>
          <w:sz w:val="20"/>
          <w:szCs w:val="20"/>
          <w:color w:val="auto"/>
        </w:rPr>
      </w:pPr>
    </w:p>
    <w:p>
      <w:pPr>
        <w:ind w:firstLine="225"/>
        <w:spacing w:after="0" w:line="312" w:lineRule="auto"/>
        <w:rPr>
          <w:sz w:val="20"/>
          <w:szCs w:val="20"/>
          <w:color w:val="auto"/>
        </w:rPr>
      </w:pPr>
      <w:r>
        <w:rPr>
          <w:rFonts w:ascii="Arial" w:cs="Arial" w:eastAsia="Arial" w:hAnsi="Arial"/>
          <w:sz w:val="16"/>
          <w:szCs w:val="16"/>
          <w:color w:val="auto"/>
        </w:rPr>
        <w:t>Our amended and restated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you and other shareholders to elect directors and take other corporate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actions. These provisions could also limit the price that investors might be willing to pay in the future for shares of our common stock. These provisions include:</w:t>
      </w:r>
    </w:p>
    <w:p>
      <w:pPr>
        <w:spacing w:after="0" w:line="62" w:lineRule="exact"/>
        <w:rPr>
          <w:sz w:val="20"/>
          <w:szCs w:val="20"/>
          <w:color w:val="auto"/>
        </w:rPr>
      </w:pPr>
    </w:p>
    <w:p>
      <w:pPr>
        <w:ind w:left="660" w:right="18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authorization to issue “blank check” preferred stock, which is preferred stock that can be created and issued by the board of directors without prior shareholder approval, with rights senior to those of our common shareholders;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 staggered board of directors, so that it would take three successive annual meetings to replace all of our directors;</w:t>
      </w:r>
    </w:p>
    <w:p>
      <w:pPr>
        <w:spacing w:after="0" w:line="130" w:lineRule="exact"/>
        <w:rPr>
          <w:rFonts w:ascii="Arial" w:cs="Arial" w:eastAsia="Arial" w:hAnsi="Arial"/>
          <w:sz w:val="18"/>
          <w:szCs w:val="18"/>
          <w:b w:val="1"/>
          <w:bCs w:val="1"/>
          <w:color w:val="auto"/>
        </w:rPr>
      </w:pPr>
    </w:p>
    <w:p>
      <w:pPr>
        <w:ind w:left="660" w:right="360" w:hanging="436"/>
        <w:spacing w:after="0" w:line="264"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86" w:lineRule="exact"/>
        <w:rPr>
          <w:rFonts w:ascii="Arial" w:cs="Arial" w:eastAsia="Arial" w:hAnsi="Arial"/>
          <w:sz w:val="18"/>
          <w:szCs w:val="18"/>
          <w:b w:val="1"/>
          <w:bCs w:val="1"/>
          <w:color w:val="auto"/>
        </w:rPr>
      </w:pPr>
    </w:p>
    <w:p>
      <w:pPr>
        <w:ind w:left="660" w:right="180" w:hanging="436"/>
        <w:spacing w:after="0" w:line="308" w:lineRule="auto"/>
        <w:tabs>
          <w:tab w:leader="none" w:pos="66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spacing w:after="0" w:line="51" w:lineRule="exact"/>
        <w:rPr>
          <w:rFonts w:ascii="Arial" w:cs="Arial" w:eastAsia="Arial" w:hAnsi="Arial"/>
          <w:sz w:val="17"/>
          <w:szCs w:val="17"/>
          <w:b w:val="1"/>
          <w:bCs w:val="1"/>
          <w:color w:val="auto"/>
        </w:rPr>
      </w:pPr>
    </w:p>
    <w:p>
      <w:pPr>
        <w:ind w:left="660" w:right="10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any shareholder seeking to bring business before an annual meeting of shareholders must provide timely notice of this intention in writing and meet various other requirements; and</w:t>
      </w:r>
    </w:p>
    <w:p>
      <w:pPr>
        <w:spacing w:after="0" w:line="75" w:lineRule="exact"/>
        <w:rPr>
          <w:rFonts w:ascii="Arial" w:cs="Arial" w:eastAsia="Arial" w:hAnsi="Arial"/>
          <w:sz w:val="18"/>
          <w:szCs w:val="18"/>
          <w:b w:val="1"/>
          <w:bCs w:val="1"/>
          <w:color w:val="auto"/>
        </w:rPr>
      </w:pPr>
    </w:p>
    <w:p>
      <w:pPr>
        <w:ind w:left="660" w:right="400" w:hanging="436"/>
        <w:spacing w:after="0" w:line="259"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 xml:space="preserve">under the New York Business Corporation Law, in addition to certain restrictions which may apply to “business combinations” involving the Company and an “interested shareholder”, a plan of merger or consolidation of the Company must be approved by two-thirds of the votes of all outstanding shares entitled to vote thereon. See the risk factor immediately above captioned </w:t>
      </w:r>
      <w:r>
        <w:rPr>
          <w:rFonts w:ascii="Arial" w:cs="Arial" w:eastAsia="Arial" w:hAnsi="Arial"/>
          <w:sz w:val="18"/>
          <w:szCs w:val="18"/>
          <w:i w:val="1"/>
          <w:iCs w:val="1"/>
          <w:color w:val="auto"/>
        </w:rPr>
        <w:t>“Our existing shareholders may be able to exert</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 influence over matters requiring shareholder approval.”</w:t>
      </w:r>
    </w:p>
    <w:p>
      <w:pPr>
        <w:spacing w:after="0" w:line="79"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Until the later of the fifth anniversaries of the expiration or earlier termination of our antibody collaboration agreements with sanofi-aventis or our aflibercept collaboration with sanofi-aventis, sanofi-aventis will be bound by certain “standstill” provisions, which contractually prohibit sanofi-aventis from acquiring more than certain specified percentages of the Company’s Class A Stock and Common Stock (taken together) or otherwise seeking to obtain control of the Company.</w:t>
      </w:r>
    </w:p>
    <w:p>
      <w:pPr>
        <w:spacing w:after="0" w:line="79" w:lineRule="exact"/>
        <w:rPr>
          <w:sz w:val="20"/>
          <w:szCs w:val="20"/>
          <w:color w:val="auto"/>
        </w:rPr>
      </w:pPr>
    </w:p>
    <w:p>
      <w:pPr>
        <w:ind w:right="20" w:firstLine="225"/>
        <w:spacing w:after="0" w:line="312" w:lineRule="auto"/>
        <w:rPr>
          <w:sz w:val="20"/>
          <w:szCs w:val="20"/>
          <w:color w:val="auto"/>
        </w:rPr>
      </w:pPr>
      <w:r>
        <w:rPr>
          <w:rFonts w:ascii="Arial" w:cs="Arial" w:eastAsia="Arial" w:hAnsi="Arial"/>
          <w:sz w:val="16"/>
          <w:szCs w:val="16"/>
          <w:color w:val="auto"/>
        </w:rPr>
        <w:t>In addition, we have a Change in Control Severance Plan and our chief executive officer has an employment agreement that provides severance benefits in the event our officers are terminated as a result of a change in control of the Company. Many of our stock options issued under our Amended and Restated 2000 Long-Term Incentive Plan may become fully vested in connection with a “change in control” of our company, as defined in the plan.</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Issuer Purchases of 5.5% Convertible Senior Subordinated Notes due October 17, 2008: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4"/>
              </w:rPr>
              <w:t>Total principal</w:t>
            </w:r>
          </w:p>
        </w:tc>
        <w:tc>
          <w:tcPr>
            <w:tcW w:w="34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principal</w:t>
            </w:r>
          </w:p>
        </w:tc>
        <w:tc>
          <w:tcPr>
            <w:tcW w:w="340" w:type="dxa"/>
            <w:vAlign w:val="bottom"/>
          </w:tcPr>
          <w:p>
            <w:pPr>
              <w:spacing w:after="0"/>
              <w:rPr>
                <w:sz w:val="12"/>
                <w:szCs w:val="12"/>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Average price</w:t>
            </w:r>
          </w:p>
        </w:tc>
        <w:tc>
          <w:tcPr>
            <w:tcW w:w="32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amount purchased as</w:t>
            </w:r>
          </w:p>
        </w:tc>
        <w:tc>
          <w:tcPr>
            <w:tcW w:w="34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principal amount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part of publicly</w:t>
            </w:r>
          </w:p>
        </w:tc>
        <w:tc>
          <w:tcPr>
            <w:tcW w:w="34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vMerge w:val="restart"/>
          </w:tcPr>
          <w:p>
            <w:pPr>
              <w:ind w:left="1560"/>
              <w:spacing w:after="0"/>
              <w:rPr>
                <w:sz w:val="20"/>
                <w:szCs w:val="20"/>
                <w:color w:val="auto"/>
              </w:rPr>
            </w:pPr>
            <w:r>
              <w:rPr>
                <w:rFonts w:ascii="Arial" w:cs="Arial" w:eastAsia="Arial" w:hAnsi="Arial"/>
                <w:sz w:val="14"/>
                <w:szCs w:val="14"/>
                <w:b w:val="1"/>
                <w:bCs w:val="1"/>
                <w:color w:val="auto"/>
              </w:rPr>
              <w:t>Period</w:t>
            </w:r>
          </w:p>
        </w:tc>
        <w:tc>
          <w:tcPr>
            <w:tcW w:w="3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amount</w:t>
            </w:r>
          </w:p>
        </w:tc>
        <w:tc>
          <w:tcPr>
            <w:tcW w:w="34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paid per $1,000</w:t>
            </w:r>
          </w:p>
        </w:tc>
        <w:tc>
          <w:tcPr>
            <w:tcW w:w="32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34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2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purchased (1)</w:t>
            </w:r>
          </w:p>
        </w:tc>
        <w:tc>
          <w:tcPr>
            <w:tcW w:w="340" w:type="dxa"/>
            <w:vAlign w:val="bottom"/>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principal amount</w:t>
            </w:r>
          </w:p>
        </w:tc>
        <w:tc>
          <w:tcPr>
            <w:tcW w:w="320" w:type="dxa"/>
            <w:vAlign w:val="bottom"/>
          </w:tcPr>
          <w:p>
            <w:pPr>
              <w:spacing w:after="0"/>
              <w:rPr>
                <w:sz w:val="14"/>
                <w:szCs w:val="14"/>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w:t>
            </w:r>
          </w:p>
        </w:tc>
        <w:tc>
          <w:tcPr>
            <w:tcW w:w="340" w:type="dxa"/>
            <w:vAlign w:val="bottom"/>
          </w:tcPr>
          <w:p>
            <w:pPr>
              <w:spacing w:after="0"/>
              <w:rPr>
                <w:sz w:val="14"/>
                <w:szCs w:val="14"/>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April 1, 2008 to April 30, 2008</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4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8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42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40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May 1, 2008 to May 31, 2008</w:t>
            </w:r>
          </w:p>
        </w:tc>
        <w:tc>
          <w:tcPr>
            <w:tcW w:w="1600" w:type="dxa"/>
            <w:vAlign w:val="bottom"/>
            <w:gridSpan w:val="2"/>
          </w:tcPr>
          <w:p>
            <w:pPr>
              <w:jc w:val="right"/>
              <w:ind w:right="144"/>
              <w:spacing w:after="0"/>
              <w:rPr>
                <w:sz w:val="20"/>
                <w:szCs w:val="20"/>
                <w:color w:val="auto"/>
              </w:rPr>
            </w:pPr>
            <w:r>
              <w:rPr>
                <w:rFonts w:ascii="Arial" w:cs="Arial" w:eastAsia="Arial" w:hAnsi="Arial"/>
                <w:sz w:val="18"/>
                <w:szCs w:val="18"/>
                <w:color w:val="auto"/>
              </w:rPr>
              <w:t>$50,000,000</w:t>
            </w:r>
          </w:p>
        </w:tc>
        <w:tc>
          <w:tcPr>
            <w:tcW w:w="1900" w:type="dxa"/>
            <w:vAlign w:val="bottom"/>
            <w:gridSpan w:val="2"/>
          </w:tcPr>
          <w:p>
            <w:pPr>
              <w:jc w:val="right"/>
              <w:ind w:right="384"/>
              <w:spacing w:after="0"/>
              <w:rPr>
                <w:sz w:val="20"/>
                <w:szCs w:val="20"/>
                <w:color w:val="auto"/>
              </w:rPr>
            </w:pPr>
            <w:r>
              <w:rPr>
                <w:rFonts w:ascii="Arial" w:cs="Arial" w:eastAsia="Arial" w:hAnsi="Arial"/>
                <w:sz w:val="18"/>
                <w:szCs w:val="18"/>
                <w:color w:val="auto"/>
              </w:rPr>
              <w:t>$1,010.00</w:t>
            </w:r>
          </w:p>
        </w:tc>
        <w:tc>
          <w:tcPr>
            <w:tcW w:w="320" w:type="dxa"/>
            <w:vAlign w:val="bottom"/>
          </w:tcPr>
          <w:p>
            <w:pPr>
              <w:spacing w:after="0"/>
              <w:rPr>
                <w:sz w:val="18"/>
                <w:szCs w:val="18"/>
                <w:color w:val="auto"/>
              </w:rPr>
            </w:pPr>
          </w:p>
        </w:tc>
        <w:tc>
          <w:tcPr>
            <w:tcW w:w="1840" w:type="dxa"/>
            <w:vAlign w:val="bottom"/>
          </w:tcPr>
          <w:p>
            <w:pPr>
              <w:jc w:val="right"/>
              <w:ind w:right="42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80" w:type="dxa"/>
            <w:vAlign w:val="bottom"/>
          </w:tcPr>
          <w:p>
            <w:pPr>
              <w:jc w:val="right"/>
              <w:ind w:right="40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June 1, 2008 to June 30, 2008</w:t>
            </w:r>
          </w:p>
        </w:tc>
        <w:tc>
          <w:tcPr>
            <w:tcW w:w="160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$31,347,000</w:t>
            </w:r>
          </w:p>
        </w:tc>
        <w:tc>
          <w:tcPr>
            <w:tcW w:w="1900" w:type="dxa"/>
            <w:vAlign w:val="bottom"/>
            <w:gridSpan w:val="2"/>
            <w:shd w:val="clear" w:color="auto" w:fill="CCEEFF"/>
          </w:tcPr>
          <w:p>
            <w:pPr>
              <w:jc w:val="right"/>
              <w:ind w:right="384"/>
              <w:spacing w:after="0"/>
              <w:rPr>
                <w:sz w:val="20"/>
                <w:szCs w:val="20"/>
                <w:color w:val="auto"/>
              </w:rPr>
            </w:pPr>
            <w:r>
              <w:rPr>
                <w:rFonts w:ascii="Arial" w:cs="Arial" w:eastAsia="Arial" w:hAnsi="Arial"/>
                <w:sz w:val="18"/>
                <w:szCs w:val="18"/>
                <w:color w:val="auto"/>
              </w:rPr>
              <w:t>$1,009.60</w:t>
            </w:r>
          </w:p>
        </w:tc>
        <w:tc>
          <w:tcPr>
            <w:tcW w:w="2160" w:type="dxa"/>
            <w:vAlign w:val="bottom"/>
            <w:gridSpan w:val="2"/>
            <w:shd w:val="clear" w:color="auto" w:fill="CCEEFF"/>
          </w:tcPr>
          <w:p>
            <w:pPr>
              <w:jc w:val="right"/>
              <w:ind w:right="423"/>
              <w:spacing w:after="0"/>
              <w:rPr>
                <w:sz w:val="20"/>
                <w:szCs w:val="20"/>
                <w:color w:val="auto"/>
              </w:rPr>
            </w:pPr>
            <w:r>
              <w:rPr>
                <w:rFonts w:ascii="Arial" w:cs="Arial" w:eastAsia="Arial" w:hAnsi="Arial"/>
                <w:sz w:val="18"/>
                <w:szCs w:val="18"/>
                <w:color w:val="auto"/>
              </w:rPr>
              <w:t>$31,347,000</w:t>
            </w:r>
          </w:p>
        </w:tc>
        <w:tc>
          <w:tcPr>
            <w:tcW w:w="2220" w:type="dxa"/>
            <w:vAlign w:val="bottom"/>
            <w:gridSpan w:val="2"/>
            <w:shd w:val="clear" w:color="auto" w:fill="CCEEFF"/>
          </w:tcPr>
          <w:p>
            <w:pPr>
              <w:jc w:val="right"/>
              <w:ind w:right="403"/>
              <w:spacing w:after="0"/>
              <w:rPr>
                <w:sz w:val="20"/>
                <w:szCs w:val="20"/>
                <w:color w:val="auto"/>
              </w:rPr>
            </w:pPr>
            <w:r>
              <w:rPr>
                <w:rFonts w:ascii="Arial" w:cs="Arial" w:eastAsia="Arial" w:hAnsi="Arial"/>
                <w:sz w:val="18"/>
                <w:szCs w:val="18"/>
                <w:color w:val="auto"/>
              </w:rPr>
              <w:t>$118,653,000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20" w:hanging="452"/>
        <w:spacing w:after="0" w:line="29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May 2008, through privately negotiated transactions, we repurchased $50,000,000 aggregate principal amount of our 5.5% Convertible Senior Subordinated Notes due October 17, 2008 (the “Notes”). The redemption price averaged $1,010 per $1,000 principal amount outstanding, plus $6.95 of accrued but unpaid interest per $1,000 principal amount outstanding. On June 4, 2008, we filed a Current Report on Form 8-K with the Securities and Exchange Commission to disclose such repurchases and that our board of directors had authorized the repurchase from time to time in privately negotiated transactions of up to the remaining $150.0 million in outstanding principal amount of the Notes. Subsequently, in June 2008, we repurchased in privately negotiated transactions an additional $31,347,000 aggregate principal amount of the Notes at an average redemption price of approximately $1,010 per $1,000 principal amount outstanding, plus $8.12 of accrued but unpaid interest per $1,000 principal amount outstanding.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On June 13, 2008, we conducted our Annual Meeting of Shareholders pursuant to due notice. A quorum being present either in person or by proxy, the shareholders voted on the following matters:</w:t>
      </w:r>
    </w:p>
    <w:p>
      <w:pPr>
        <w:spacing w:after="0" w:line="62" w:lineRule="exact"/>
        <w:rPr>
          <w:sz w:val="20"/>
          <w:szCs w:val="20"/>
          <w:color w:val="auto"/>
        </w:rPr>
      </w:pPr>
    </w:p>
    <w:p>
      <w:pPr>
        <w:ind w:left="400" w:hanging="167"/>
        <w:spacing w:after="0"/>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elect three directors to hold office for a three-year term as Class II directors, and until their successors are duly elected and qualified.</w:t>
      </w:r>
    </w:p>
    <w:p>
      <w:pPr>
        <w:spacing w:after="0" w:line="117" w:lineRule="exact"/>
        <w:rPr>
          <w:rFonts w:ascii="Arial" w:cs="Arial" w:eastAsia="Arial" w:hAnsi="Arial"/>
          <w:sz w:val="18"/>
          <w:szCs w:val="18"/>
          <w:color w:val="auto"/>
        </w:rPr>
      </w:pPr>
    </w:p>
    <w:p>
      <w:pPr>
        <w:ind w:right="100" w:firstLine="233"/>
        <w:spacing w:after="0" w:line="302" w:lineRule="auto"/>
        <w:tabs>
          <w:tab w:leader="none" w:pos="402"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approve the amendment and restatement of the Company’s 2000 Long-Term Incentive Plan, as amended (the “2000 Plan”), which increased by 10,000,000 the number of shares of common stock authorized for issuance under the 2000 Plan, extended the term of the 2000 Plan until December 31, 2013 and included certain “best practices” in stock plan design, which approval also constituted re-approval for purposes of Section 162(m) under the Internal Revenue Code of 1986, as amended, of certain performance goals in the 2000 Plan that may be applied to awards thereunder.</w:t>
      </w:r>
    </w:p>
    <w:p>
      <w:pPr>
        <w:spacing w:after="0" w:line="46" w:lineRule="exact"/>
        <w:rPr>
          <w:rFonts w:ascii="Arial" w:cs="Arial" w:eastAsia="Arial" w:hAnsi="Arial"/>
          <w:sz w:val="16"/>
          <w:szCs w:val="16"/>
          <w:color w:val="auto"/>
        </w:rPr>
      </w:pPr>
    </w:p>
    <w:p>
      <w:pPr>
        <w:ind w:right="240" w:firstLine="233"/>
        <w:spacing w:after="0" w:line="277" w:lineRule="auto"/>
        <w:tabs>
          <w:tab w:leader="none" w:pos="40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the Company’s independent registered public accounting firm for our fiscal year ending December 31, 2008.</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 other matters were voted on. The number of votes cast was: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4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1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color w:val="auto"/>
              </w:rPr>
              <w:t>For</w:t>
            </w:r>
          </w:p>
        </w:tc>
        <w:tc>
          <w:tcPr>
            <w:tcW w:w="360" w:type="dxa"/>
            <w:vAlign w:val="bottom"/>
          </w:tcPr>
          <w:p>
            <w:pPr>
              <w:spacing w:after="0"/>
              <w:rPr>
                <w:sz w:val="14"/>
                <w:szCs w:val="14"/>
                <w:color w:val="auto"/>
              </w:rPr>
            </w:pPr>
          </w:p>
        </w:tc>
        <w:tc>
          <w:tcPr>
            <w:tcW w:w="11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Withheld</w:t>
            </w:r>
          </w:p>
        </w:tc>
      </w:tr>
      <w:tr>
        <w:trPr>
          <w:trHeight w:val="210"/>
        </w:trPr>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1.</w:t>
            </w:r>
          </w:p>
        </w:tc>
        <w:tc>
          <w:tcPr>
            <w:tcW w:w="8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Election of Class II Directors</w:t>
            </w: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8400" w:type="dxa"/>
            <w:vAlign w:val="bottom"/>
          </w:tcPr>
          <w:p>
            <w:pPr>
              <w:ind w:left="200"/>
              <w:spacing w:after="0"/>
              <w:rPr>
                <w:sz w:val="20"/>
                <w:szCs w:val="20"/>
                <w:color w:val="auto"/>
              </w:rPr>
            </w:pPr>
            <w:r>
              <w:rPr>
                <w:rFonts w:ascii="Arial" w:cs="Arial" w:eastAsia="Arial" w:hAnsi="Arial"/>
                <w:sz w:val="18"/>
                <w:szCs w:val="18"/>
                <w:color w:val="auto"/>
              </w:rPr>
              <w:t>Alfred G. Gilman, M.D., Ph.D.</w:t>
            </w: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85,248,421</w:t>
            </w:r>
          </w:p>
        </w:tc>
        <w:tc>
          <w:tcPr>
            <w:tcW w:w="1500" w:type="dxa"/>
            <w:vAlign w:val="bottom"/>
            <w:gridSpan w:val="2"/>
          </w:tcPr>
          <w:p>
            <w:pPr>
              <w:jc w:val="right"/>
              <w:ind w:right="108"/>
              <w:spacing w:after="0"/>
              <w:rPr>
                <w:sz w:val="20"/>
                <w:szCs w:val="20"/>
                <w:color w:val="auto"/>
              </w:rPr>
            </w:pPr>
            <w:r>
              <w:rPr>
                <w:rFonts w:ascii="Arial" w:cs="Arial" w:eastAsia="Arial" w:hAnsi="Arial"/>
                <w:sz w:val="18"/>
                <w:szCs w:val="18"/>
                <w:color w:val="auto"/>
              </w:rPr>
              <w:t>5,295,972</w:t>
            </w:r>
          </w:p>
        </w:tc>
      </w:tr>
      <w:tr>
        <w:trPr>
          <w:trHeight w:val="216"/>
        </w:trPr>
        <w:tc>
          <w:tcPr>
            <w:tcW w:w="340" w:type="dxa"/>
            <w:vAlign w:val="bottom"/>
            <w:shd w:val="clear" w:color="auto" w:fill="CCEEFF"/>
          </w:tcPr>
          <w:p>
            <w:pPr>
              <w:spacing w:after="0"/>
              <w:rPr>
                <w:sz w:val="18"/>
                <w:szCs w:val="18"/>
                <w:color w:val="auto"/>
              </w:rPr>
            </w:pPr>
          </w:p>
        </w:tc>
        <w:tc>
          <w:tcPr>
            <w:tcW w:w="8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Joseph L. Goldstein, M.D.</w:t>
            </w:r>
          </w:p>
        </w:tc>
        <w:tc>
          <w:tcPr>
            <w:tcW w:w="11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83,395,616</w:t>
            </w:r>
          </w:p>
        </w:tc>
        <w:tc>
          <w:tcPr>
            <w:tcW w:w="15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7,148,777</w:t>
            </w:r>
          </w:p>
        </w:tc>
      </w:tr>
      <w:tr>
        <w:trPr>
          <w:trHeight w:val="230"/>
        </w:trPr>
        <w:tc>
          <w:tcPr>
            <w:tcW w:w="340" w:type="dxa"/>
            <w:vAlign w:val="bottom"/>
          </w:tcPr>
          <w:p>
            <w:pPr>
              <w:spacing w:after="0"/>
              <w:rPr>
                <w:sz w:val="20"/>
                <w:szCs w:val="20"/>
                <w:color w:val="auto"/>
              </w:rPr>
            </w:pPr>
          </w:p>
        </w:tc>
        <w:tc>
          <w:tcPr>
            <w:tcW w:w="8400" w:type="dxa"/>
            <w:vAlign w:val="bottom"/>
          </w:tcPr>
          <w:p>
            <w:pPr>
              <w:ind w:left="200"/>
              <w:spacing w:after="0"/>
              <w:rPr>
                <w:sz w:val="20"/>
                <w:szCs w:val="20"/>
                <w:color w:val="auto"/>
              </w:rPr>
            </w:pPr>
            <w:r>
              <w:rPr>
                <w:rFonts w:ascii="Arial" w:cs="Arial" w:eastAsia="Arial" w:hAnsi="Arial"/>
                <w:sz w:val="18"/>
                <w:szCs w:val="18"/>
                <w:color w:val="auto"/>
              </w:rPr>
              <w:t>P. Roy Vagelos, M.D.</w:t>
            </w: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86,496,334</w:t>
            </w:r>
          </w:p>
        </w:tc>
        <w:tc>
          <w:tcPr>
            <w:tcW w:w="1500" w:type="dxa"/>
            <w:vAlign w:val="bottom"/>
            <w:gridSpan w:val="2"/>
          </w:tcPr>
          <w:p>
            <w:pPr>
              <w:jc w:val="right"/>
              <w:ind w:right="108"/>
              <w:spacing w:after="0"/>
              <w:rPr>
                <w:sz w:val="20"/>
                <w:szCs w:val="20"/>
                <w:color w:val="auto"/>
              </w:rPr>
            </w:pPr>
            <w:r>
              <w:rPr>
                <w:rFonts w:ascii="Arial" w:cs="Arial" w:eastAsia="Arial" w:hAnsi="Arial"/>
                <w:sz w:val="18"/>
                <w:szCs w:val="18"/>
                <w:color w:val="auto"/>
              </w:rPr>
              <w:t>4,048,059</w:t>
            </w:r>
          </w:p>
        </w:tc>
      </w:tr>
    </w:tbl>
    <w:p>
      <w:pPr>
        <w:spacing w:after="0" w:line="7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terms of office of Leonard S. Schleifer, M.D., Ph.D., Eric M. Shooter, Ph.D, George D. Yancopoulos, M.D., Ph.D., Charles A. Baker, Michael 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Brown, M.D., Arthur F. Ryan, and George L. Sing continued after the meeting.</w:t>
      </w:r>
    </w:p>
    <w:p>
      <w:pPr>
        <w:spacing w:after="0" w:line="112" w:lineRule="exact"/>
        <w:rPr>
          <w:sz w:val="20"/>
          <w:szCs w:val="20"/>
          <w:color w:val="auto"/>
        </w:rPr>
      </w:pPr>
    </w:p>
    <w:p>
      <w:pPr>
        <w:ind w:left="5940"/>
        <w:spacing w:after="0"/>
        <w:tabs>
          <w:tab w:leader="none" w:pos="7440" w:val="left"/>
          <w:tab w:leader="none" w:pos="9020" w:val="left"/>
          <w:tab w:leader="none" w:pos="10180" w:val="left"/>
        </w:tabs>
        <w:rPr>
          <w:sz w:val="20"/>
          <w:szCs w:val="20"/>
          <w:color w:val="auto"/>
        </w:rPr>
      </w:pPr>
      <w:r>
        <w:rPr>
          <w:rFonts w:ascii="Arial" w:cs="Arial" w:eastAsia="Arial" w:hAnsi="Arial"/>
          <w:sz w:val="14"/>
          <w:szCs w:val="14"/>
          <w:color w:val="auto"/>
        </w:rPr>
        <w:t>For</w:t>
      </w:r>
      <w:r>
        <w:rPr>
          <w:sz w:val="20"/>
          <w:szCs w:val="20"/>
          <w:color w:val="auto"/>
        </w:rPr>
        <w:tab/>
      </w:r>
      <w:r>
        <w:rPr>
          <w:rFonts w:ascii="Arial" w:cs="Arial" w:eastAsia="Arial" w:hAnsi="Arial"/>
          <w:sz w:val="14"/>
          <w:szCs w:val="14"/>
          <w:color w:val="auto"/>
        </w:rPr>
        <w:t>Against</w:t>
      </w:r>
      <w:r>
        <w:rPr>
          <w:sz w:val="20"/>
          <w:szCs w:val="20"/>
          <w:color w:val="auto"/>
        </w:rPr>
        <w:tab/>
      </w:r>
      <w:r>
        <w:rPr>
          <w:rFonts w:ascii="Arial" w:cs="Arial" w:eastAsia="Arial" w:hAnsi="Arial"/>
          <w:sz w:val="14"/>
          <w:szCs w:val="14"/>
          <w:color w:val="auto"/>
        </w:rPr>
        <w:t>Abstain</w:t>
      </w:r>
      <w:r>
        <w:rPr>
          <w:sz w:val="20"/>
          <w:szCs w:val="20"/>
          <w:color w:val="auto"/>
        </w:rPr>
        <w:tab/>
      </w:r>
      <w:r>
        <w:rPr>
          <w:rFonts w:ascii="Arial" w:cs="Arial" w:eastAsia="Arial" w:hAnsi="Arial"/>
          <w:sz w:val="13"/>
          <w:szCs w:val="13"/>
          <w:color w:val="auto"/>
        </w:rPr>
        <w:t>Broker Non-Vote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3366770</wp:posOffset>
            </wp:positionH>
            <wp:positionV relativeFrom="paragraph">
              <wp:posOffset>3810</wp:posOffset>
            </wp:positionV>
            <wp:extent cx="38163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16350" cy="8890"/>
                    </a:xfrm>
                    <a:prstGeom prst="rect">
                      <a:avLst/>
                    </a:prstGeom>
                    <a:noFill/>
                  </pic:spPr>
                </pic:pic>
              </a:graphicData>
            </a:graphic>
          </wp:anchor>
        </w:drawing>
      </w:r>
    </w:p>
    <w:p>
      <w:pPr>
        <w:spacing w:after="0" w:line="1"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Ratification of the amendment and restatement of the 2000 Long-</w:t>
      </w:r>
    </w:p>
    <w:p>
      <w:pPr>
        <w:spacing w:after="0" w:line="8"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Term Incentive Plan</w:t>
            </w:r>
          </w:p>
        </w:tc>
        <w:tc>
          <w:tcPr>
            <w:tcW w:w="3000" w:type="dxa"/>
            <w:vAlign w:val="bottom"/>
          </w:tcPr>
          <w:p>
            <w:pPr>
              <w:jc w:val="right"/>
              <w:ind w:right="170"/>
              <w:spacing w:after="0"/>
              <w:rPr>
                <w:sz w:val="20"/>
                <w:szCs w:val="20"/>
                <w:color w:val="auto"/>
              </w:rPr>
            </w:pPr>
            <w:r>
              <w:rPr>
                <w:rFonts w:ascii="Arial" w:cs="Arial" w:eastAsia="Arial" w:hAnsi="Arial"/>
                <w:sz w:val="18"/>
                <w:szCs w:val="18"/>
                <w:color w:val="auto"/>
              </w:rPr>
              <w:t>50,683,713</w:t>
            </w:r>
          </w:p>
        </w:tc>
        <w:tc>
          <w:tcPr>
            <w:tcW w:w="1620" w:type="dxa"/>
            <w:vAlign w:val="bottom"/>
          </w:tcPr>
          <w:p>
            <w:pPr>
              <w:jc w:val="right"/>
              <w:ind w:right="139"/>
              <w:spacing w:after="0"/>
              <w:rPr>
                <w:sz w:val="20"/>
                <w:szCs w:val="20"/>
                <w:color w:val="auto"/>
              </w:rPr>
            </w:pPr>
            <w:r>
              <w:rPr>
                <w:rFonts w:ascii="Arial" w:cs="Arial" w:eastAsia="Arial" w:hAnsi="Arial"/>
                <w:sz w:val="18"/>
                <w:szCs w:val="18"/>
                <w:color w:val="auto"/>
              </w:rPr>
              <w:t>33,287,410</w:t>
            </w:r>
          </w:p>
        </w:tc>
        <w:tc>
          <w:tcPr>
            <w:tcW w:w="1560" w:type="dxa"/>
            <w:vAlign w:val="bottom"/>
          </w:tcPr>
          <w:p>
            <w:pPr>
              <w:jc w:val="right"/>
              <w:ind w:right="239"/>
              <w:spacing w:after="0"/>
              <w:rPr>
                <w:sz w:val="20"/>
                <w:szCs w:val="20"/>
                <w:color w:val="auto"/>
              </w:rPr>
            </w:pPr>
            <w:r>
              <w:rPr>
                <w:rFonts w:ascii="Arial" w:cs="Arial" w:eastAsia="Arial" w:hAnsi="Arial"/>
                <w:sz w:val="18"/>
                <w:szCs w:val="18"/>
                <w:color w:val="auto"/>
              </w:rPr>
              <w:t>468,562</w:t>
            </w:r>
          </w:p>
        </w:tc>
        <w:tc>
          <w:tcPr>
            <w:tcW w:w="1180" w:type="dxa"/>
            <w:vAlign w:val="bottom"/>
          </w:tcPr>
          <w:p>
            <w:pPr>
              <w:jc w:val="right"/>
              <w:spacing w:after="0"/>
              <w:rPr>
                <w:sz w:val="20"/>
                <w:szCs w:val="20"/>
                <w:color w:val="auto"/>
              </w:rPr>
            </w:pPr>
            <w:r>
              <w:rPr>
                <w:rFonts w:ascii="Arial" w:cs="Arial" w:eastAsia="Arial" w:hAnsi="Arial"/>
                <w:sz w:val="18"/>
                <w:szCs w:val="18"/>
                <w:color w:val="auto"/>
              </w:rPr>
              <w:t>6,104,708</w:t>
            </w:r>
          </w:p>
        </w:tc>
      </w:tr>
      <w:tr>
        <w:trPr>
          <w:trHeight w:val="608"/>
        </w:trPr>
        <w:tc>
          <w:tcPr>
            <w:tcW w:w="33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620" w:type="dxa"/>
            <w:vAlign w:val="bottom"/>
          </w:tcPr>
          <w:p>
            <w:pPr>
              <w:jc w:val="right"/>
              <w:ind w:right="1059"/>
              <w:spacing w:after="0"/>
              <w:rPr>
                <w:sz w:val="20"/>
                <w:szCs w:val="20"/>
                <w:color w:val="auto"/>
              </w:rPr>
            </w:pPr>
            <w:r>
              <w:rPr>
                <w:rFonts w:ascii="Arial" w:cs="Arial" w:eastAsia="Arial" w:hAnsi="Arial"/>
                <w:sz w:val="14"/>
                <w:szCs w:val="14"/>
                <w:color w:val="auto"/>
              </w:rPr>
              <w:t>For</w:t>
            </w:r>
          </w:p>
        </w:tc>
        <w:tc>
          <w:tcPr>
            <w:tcW w:w="1560" w:type="dxa"/>
            <w:vAlign w:val="bottom"/>
          </w:tcPr>
          <w:p>
            <w:pPr>
              <w:jc w:val="right"/>
              <w:ind w:right="819"/>
              <w:spacing w:after="0"/>
              <w:rPr>
                <w:sz w:val="20"/>
                <w:szCs w:val="20"/>
                <w:color w:val="auto"/>
              </w:rPr>
            </w:pPr>
            <w:r>
              <w:rPr>
                <w:rFonts w:ascii="Arial" w:cs="Arial" w:eastAsia="Arial" w:hAnsi="Arial"/>
                <w:sz w:val="14"/>
                <w:szCs w:val="14"/>
                <w:color w:val="auto"/>
              </w:rPr>
              <w:t>Against</w:t>
            </w:r>
          </w:p>
        </w:tc>
        <w:tc>
          <w:tcPr>
            <w:tcW w:w="1180" w:type="dxa"/>
            <w:vAlign w:val="bottom"/>
          </w:tcPr>
          <w:p>
            <w:pPr>
              <w:jc w:val="right"/>
              <w:ind w:right="319"/>
              <w:spacing w:after="0"/>
              <w:rPr>
                <w:sz w:val="20"/>
                <w:szCs w:val="20"/>
                <w:color w:val="auto"/>
              </w:rPr>
            </w:pPr>
            <w:r>
              <w:rPr>
                <w:rFonts w:ascii="Arial" w:cs="Arial" w:eastAsia="Arial" w:hAnsi="Arial"/>
                <w:sz w:val="14"/>
                <w:szCs w:val="14"/>
                <w:color w:val="auto"/>
              </w:rPr>
              <w:t>Abstain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-8890</wp:posOffset>
            </wp:positionV>
            <wp:extent cx="30956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ind w:left="440" w:hanging="432"/>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Ratification of the Appointment of Independent Registered Public</w:t>
      </w:r>
    </w:p>
    <w:p>
      <w:pPr>
        <w:spacing w:after="0" w:line="8"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Accounting Firm</w:t>
            </w:r>
          </w:p>
        </w:tc>
        <w:tc>
          <w:tcPr>
            <w:tcW w:w="3780" w:type="dxa"/>
            <w:vAlign w:val="bottom"/>
          </w:tcPr>
          <w:p>
            <w:pPr>
              <w:jc w:val="right"/>
              <w:ind w:right="390"/>
              <w:spacing w:after="0"/>
              <w:rPr>
                <w:sz w:val="20"/>
                <w:szCs w:val="20"/>
                <w:color w:val="auto"/>
              </w:rPr>
            </w:pPr>
            <w:r>
              <w:rPr>
                <w:rFonts w:ascii="Arial" w:cs="Arial" w:eastAsia="Arial" w:hAnsi="Arial"/>
                <w:sz w:val="18"/>
                <w:szCs w:val="18"/>
                <w:color w:val="auto"/>
              </w:rPr>
              <w:t>86,583,129</w:t>
            </w: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177,520</w:t>
            </w:r>
          </w:p>
        </w:tc>
        <w:tc>
          <w:tcPr>
            <w:tcW w:w="1240" w:type="dxa"/>
            <w:vAlign w:val="bottom"/>
          </w:tcPr>
          <w:p>
            <w:pPr>
              <w:jc w:val="right"/>
              <w:spacing w:after="0"/>
              <w:rPr>
                <w:sz w:val="20"/>
                <w:szCs w:val="20"/>
                <w:color w:val="auto"/>
              </w:rPr>
            </w:pPr>
            <w:r>
              <w:rPr>
                <w:rFonts w:ascii="Arial" w:cs="Arial" w:eastAsia="Arial" w:hAnsi="Arial"/>
                <w:sz w:val="18"/>
                <w:szCs w:val="18"/>
                <w:color w:val="auto"/>
              </w:rPr>
              <w:t>3,783,744</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82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60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10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00" w:type="dxa"/>
            <w:vAlign w:val="bottom"/>
          </w:tcPr>
          <w:p>
            <w:pPr>
              <w:spacing w:after="0"/>
              <w:rPr>
                <w:sz w:val="20"/>
                <w:szCs w:val="20"/>
                <w:color w:val="auto"/>
              </w:rPr>
            </w:pPr>
            <w:r>
              <w:rPr>
                <w:rFonts w:ascii="Arial" w:cs="Arial" w:eastAsia="Arial" w:hAnsi="Arial"/>
                <w:sz w:val="18"/>
                <w:szCs w:val="18"/>
                <w:color w:val="auto"/>
              </w:rPr>
              <w:t>4.1</w:t>
            </w:r>
          </w:p>
        </w:tc>
        <w:tc>
          <w:tcPr>
            <w:tcW w:w="10820" w:type="dxa"/>
            <w:vAlign w:val="bottom"/>
            <w:gridSpan w:val="2"/>
          </w:tcPr>
          <w:p>
            <w:pPr>
              <w:ind w:left="640"/>
              <w:spacing w:after="0"/>
              <w:rPr>
                <w:sz w:val="20"/>
                <w:szCs w:val="20"/>
                <w:color w:val="auto"/>
              </w:rPr>
            </w:pPr>
            <w:r>
              <w:rPr>
                <w:rFonts w:ascii="Arial" w:cs="Arial" w:eastAsia="Arial" w:hAnsi="Arial"/>
                <w:sz w:val="18"/>
                <w:szCs w:val="18"/>
                <w:color w:val="auto"/>
              </w:rPr>
              <w:t>- Form of certificate of shares of Common Stock</w:t>
            </w:r>
          </w:p>
        </w:tc>
        <w:tc>
          <w:tcPr>
            <w:tcW w:w="0" w:type="dxa"/>
            <w:vAlign w:val="bottom"/>
          </w:tcPr>
          <w:p>
            <w:pPr>
              <w:spacing w:after="0"/>
              <w:rPr>
                <w:sz w:val="1"/>
                <w:szCs w:val="1"/>
                <w:color w:val="auto"/>
              </w:rPr>
            </w:pPr>
          </w:p>
        </w:tc>
      </w:tr>
      <w:tr>
        <w:trPr>
          <w:trHeight w:val="338"/>
        </w:trPr>
        <w:tc>
          <w:tcPr>
            <w:tcW w:w="600" w:type="dxa"/>
            <w:vAlign w:val="bottom"/>
          </w:tcPr>
          <w:p>
            <w:pPr>
              <w:spacing w:after="0"/>
              <w:rPr>
                <w:sz w:val="20"/>
                <w:szCs w:val="20"/>
                <w:color w:val="auto"/>
              </w:rPr>
            </w:pPr>
            <w:r>
              <w:rPr>
                <w:rFonts w:ascii="Arial" w:cs="Arial" w:eastAsia="Arial" w:hAnsi="Arial"/>
                <w:sz w:val="18"/>
                <w:szCs w:val="18"/>
                <w:color w:val="auto"/>
              </w:rPr>
              <w:t>10.1</w:t>
            </w:r>
          </w:p>
        </w:tc>
        <w:tc>
          <w:tcPr>
            <w:tcW w:w="10820" w:type="dxa"/>
            <w:vAlign w:val="bottom"/>
            <w:gridSpan w:val="2"/>
          </w:tcPr>
          <w:p>
            <w:pPr>
              <w:ind w:left="220"/>
              <w:spacing w:after="0"/>
              <w:rPr>
                <w:sz w:val="20"/>
                <w:szCs w:val="20"/>
                <w:color w:val="auto"/>
              </w:rPr>
            </w:pPr>
            <w:r>
              <w:rPr>
                <w:rFonts w:ascii="Arial" w:cs="Arial" w:eastAsia="Arial" w:hAnsi="Arial"/>
                <w:sz w:val="18"/>
                <w:szCs w:val="18"/>
                <w:color w:val="auto"/>
              </w:rPr>
              <w:t>(a)   - Amended and Restated 2000 Long-Term Incentive Plan</w:t>
            </w:r>
          </w:p>
        </w:tc>
        <w:tc>
          <w:tcPr>
            <w:tcW w:w="0" w:type="dxa"/>
            <w:vAlign w:val="bottom"/>
          </w:tcPr>
          <w:p>
            <w:pPr>
              <w:spacing w:after="0"/>
              <w:rPr>
                <w:sz w:val="1"/>
                <w:szCs w:val="1"/>
                <w:color w:val="auto"/>
              </w:rPr>
            </w:pPr>
          </w:p>
        </w:tc>
      </w:tr>
      <w:tr>
        <w:trPr>
          <w:trHeight w:val="323"/>
        </w:trPr>
        <w:tc>
          <w:tcPr>
            <w:tcW w:w="600" w:type="dxa"/>
            <w:vAlign w:val="bottom"/>
          </w:tcPr>
          <w:p>
            <w:pPr>
              <w:spacing w:after="0"/>
              <w:rPr>
                <w:sz w:val="20"/>
                <w:szCs w:val="20"/>
                <w:color w:val="auto"/>
              </w:rPr>
            </w:pPr>
            <w:r>
              <w:rPr>
                <w:rFonts w:ascii="Arial" w:cs="Arial" w:eastAsia="Arial" w:hAnsi="Arial"/>
                <w:sz w:val="18"/>
                <w:szCs w:val="18"/>
                <w:color w:val="auto"/>
              </w:rPr>
              <w:t>10.2*</w:t>
            </w:r>
          </w:p>
        </w:tc>
        <w:tc>
          <w:tcPr>
            <w:tcW w:w="10820" w:type="dxa"/>
            <w:vAlign w:val="bottom"/>
            <w:gridSpan w:val="2"/>
          </w:tcPr>
          <w:p>
            <w:pPr>
              <w:ind w:left="640"/>
              <w:spacing w:after="0"/>
              <w:rPr>
                <w:sz w:val="20"/>
                <w:szCs w:val="20"/>
                <w:color w:val="auto"/>
              </w:rPr>
            </w:pPr>
            <w:r>
              <w:rPr>
                <w:rFonts w:ascii="Arial" w:cs="Arial" w:eastAsia="Arial" w:hAnsi="Arial"/>
                <w:sz w:val="18"/>
                <w:szCs w:val="18"/>
                <w:color w:val="auto"/>
              </w:rPr>
              <w:t>- Amended and Restated Non-Exclusive License Agreement, dated as of July 1, 2008, by and between Cellectis, S.A. and</w:t>
            </w: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180" w:type="dxa"/>
            <w:vAlign w:val="bottom"/>
          </w:tcPr>
          <w:p>
            <w:pPr>
              <w:ind w:left="140"/>
              <w:spacing w:after="0"/>
              <w:rPr>
                <w:sz w:val="20"/>
                <w:szCs w:val="20"/>
                <w:color w:val="auto"/>
              </w:rPr>
            </w:pPr>
            <w:r>
              <w:rPr>
                <w:rFonts w:ascii="Arial" w:cs="Arial" w:eastAsia="Arial" w:hAnsi="Arial"/>
                <w:sz w:val="18"/>
                <w:szCs w:val="18"/>
                <w:color w:val="auto"/>
              </w:rPr>
              <w:t>Regeneron Pharmaceuticals, Inc.</w:t>
            </w:r>
          </w:p>
        </w:tc>
        <w:tc>
          <w:tcPr>
            <w:tcW w:w="0" w:type="dxa"/>
            <w:vAlign w:val="bottom"/>
          </w:tcPr>
          <w:p>
            <w:pPr>
              <w:spacing w:after="0"/>
              <w:rPr>
                <w:sz w:val="1"/>
                <w:szCs w:val="1"/>
                <w:color w:val="auto"/>
              </w:rPr>
            </w:pPr>
          </w:p>
        </w:tc>
      </w:tr>
      <w:tr>
        <w:trPr>
          <w:trHeight w:val="338"/>
        </w:trPr>
        <w:tc>
          <w:tcPr>
            <w:tcW w:w="600" w:type="dxa"/>
            <w:vAlign w:val="bottom"/>
          </w:tcPr>
          <w:p>
            <w:pPr>
              <w:spacing w:after="0"/>
              <w:rPr>
                <w:sz w:val="20"/>
                <w:szCs w:val="20"/>
                <w:color w:val="auto"/>
              </w:rPr>
            </w:pPr>
            <w:r>
              <w:rPr>
                <w:rFonts w:ascii="Arial" w:cs="Arial" w:eastAsia="Arial" w:hAnsi="Arial"/>
                <w:sz w:val="18"/>
                <w:szCs w:val="18"/>
                <w:color w:val="auto"/>
              </w:rPr>
              <w:t>10.3</w:t>
            </w:r>
          </w:p>
        </w:tc>
        <w:tc>
          <w:tcPr>
            <w:tcW w:w="10820" w:type="dxa"/>
            <w:vAlign w:val="bottom"/>
            <w:gridSpan w:val="2"/>
          </w:tcPr>
          <w:p>
            <w:pPr>
              <w:ind w:left="640"/>
              <w:spacing w:after="0"/>
              <w:rPr>
                <w:sz w:val="20"/>
                <w:szCs w:val="20"/>
                <w:color w:val="auto"/>
              </w:rPr>
            </w:pPr>
            <w:r>
              <w:rPr>
                <w:rFonts w:ascii="Arial" w:cs="Arial" w:eastAsia="Arial" w:hAnsi="Arial"/>
                <w:sz w:val="18"/>
                <w:szCs w:val="18"/>
                <w:color w:val="auto"/>
              </w:rPr>
              <w:t>- Subscription Agreement, dated as of July 1, 2008, by and between Cellectis, S.A. and Regeneron Pharmaceuticals, Inc.</w:t>
            </w:r>
          </w:p>
        </w:tc>
        <w:tc>
          <w:tcPr>
            <w:tcW w:w="0" w:type="dxa"/>
            <w:vAlign w:val="bottom"/>
          </w:tcPr>
          <w:p>
            <w:pPr>
              <w:spacing w:after="0"/>
              <w:rPr>
                <w:sz w:val="1"/>
                <w:szCs w:val="1"/>
                <w:color w:val="auto"/>
              </w:rPr>
            </w:pPr>
          </w:p>
        </w:tc>
      </w:tr>
      <w:tr>
        <w:trPr>
          <w:trHeight w:val="338"/>
        </w:trPr>
        <w:tc>
          <w:tcPr>
            <w:tcW w:w="600" w:type="dxa"/>
            <w:vAlign w:val="bottom"/>
          </w:tcPr>
          <w:p>
            <w:pPr>
              <w:spacing w:after="0"/>
              <w:rPr>
                <w:sz w:val="20"/>
                <w:szCs w:val="20"/>
                <w:color w:val="auto"/>
              </w:rPr>
            </w:pPr>
            <w:r>
              <w:rPr>
                <w:rFonts w:ascii="Arial" w:cs="Arial" w:eastAsia="Arial" w:hAnsi="Arial"/>
                <w:sz w:val="18"/>
                <w:szCs w:val="18"/>
                <w:color w:val="auto"/>
              </w:rPr>
              <w:t>12.1</w:t>
            </w:r>
          </w:p>
        </w:tc>
        <w:tc>
          <w:tcPr>
            <w:tcW w:w="10820" w:type="dxa"/>
            <w:vAlign w:val="bottom"/>
            <w:gridSpan w:val="2"/>
          </w:tcPr>
          <w:p>
            <w:pPr>
              <w:ind w:left="640"/>
              <w:spacing w:after="0"/>
              <w:rPr>
                <w:sz w:val="20"/>
                <w:szCs w:val="20"/>
                <w:color w:val="auto"/>
              </w:rPr>
            </w:pPr>
            <w:r>
              <w:rPr>
                <w:rFonts w:ascii="Arial" w:cs="Arial" w:eastAsia="Arial" w:hAnsi="Arial"/>
                <w:sz w:val="18"/>
                <w:szCs w:val="18"/>
                <w:color w:val="auto"/>
              </w:rPr>
              <w:t>- Statement re: computation of ratio of earnings to combined fixed charges.</w:t>
            </w:r>
          </w:p>
        </w:tc>
        <w:tc>
          <w:tcPr>
            <w:tcW w:w="0" w:type="dxa"/>
            <w:vAlign w:val="bottom"/>
          </w:tcPr>
          <w:p>
            <w:pPr>
              <w:spacing w:after="0"/>
              <w:rPr>
                <w:sz w:val="1"/>
                <w:szCs w:val="1"/>
                <w:color w:val="auto"/>
              </w:rPr>
            </w:pPr>
          </w:p>
        </w:tc>
      </w:tr>
      <w:tr>
        <w:trPr>
          <w:trHeight w:val="338"/>
        </w:trPr>
        <w:tc>
          <w:tcPr>
            <w:tcW w:w="600" w:type="dxa"/>
            <w:vAlign w:val="bottom"/>
          </w:tcPr>
          <w:p>
            <w:pPr>
              <w:spacing w:after="0"/>
              <w:rPr>
                <w:sz w:val="20"/>
                <w:szCs w:val="20"/>
                <w:color w:val="auto"/>
              </w:rPr>
            </w:pPr>
            <w:r>
              <w:rPr>
                <w:rFonts w:ascii="Arial" w:cs="Arial" w:eastAsia="Arial" w:hAnsi="Arial"/>
                <w:sz w:val="18"/>
                <w:szCs w:val="18"/>
                <w:color w:val="auto"/>
              </w:rPr>
              <w:t>31.1</w:t>
            </w:r>
          </w:p>
        </w:tc>
        <w:tc>
          <w:tcPr>
            <w:tcW w:w="10820" w:type="dxa"/>
            <w:vAlign w:val="bottom"/>
            <w:gridSpan w:val="2"/>
          </w:tcPr>
          <w:p>
            <w:pPr>
              <w:ind w:left="640"/>
              <w:spacing w:after="0"/>
              <w:rPr>
                <w:sz w:val="20"/>
                <w:szCs w:val="20"/>
                <w:color w:val="auto"/>
              </w:rPr>
            </w:pPr>
            <w:r>
              <w:rPr>
                <w:rFonts w:ascii="Arial" w:cs="Arial" w:eastAsia="Arial" w:hAnsi="Arial"/>
                <w:sz w:val="18"/>
                <w:szCs w:val="18"/>
                <w:color w:val="auto"/>
              </w:rPr>
              <w:t>- Certification of CEO pursuant to Rule 13a-14(a) under the Securities Exchange Act of 1934.</w:t>
            </w:r>
          </w:p>
        </w:tc>
        <w:tc>
          <w:tcPr>
            <w:tcW w:w="0" w:type="dxa"/>
            <w:vAlign w:val="bottom"/>
          </w:tcPr>
          <w:p>
            <w:pPr>
              <w:spacing w:after="0"/>
              <w:rPr>
                <w:sz w:val="1"/>
                <w:szCs w:val="1"/>
                <w:color w:val="auto"/>
              </w:rPr>
            </w:pPr>
          </w:p>
        </w:tc>
      </w:tr>
      <w:tr>
        <w:trPr>
          <w:trHeight w:val="338"/>
        </w:trPr>
        <w:tc>
          <w:tcPr>
            <w:tcW w:w="600" w:type="dxa"/>
            <w:vAlign w:val="bottom"/>
          </w:tcPr>
          <w:p>
            <w:pPr>
              <w:spacing w:after="0"/>
              <w:rPr>
                <w:sz w:val="20"/>
                <w:szCs w:val="20"/>
                <w:color w:val="auto"/>
              </w:rPr>
            </w:pPr>
            <w:r>
              <w:rPr>
                <w:rFonts w:ascii="Arial" w:cs="Arial" w:eastAsia="Arial" w:hAnsi="Arial"/>
                <w:sz w:val="18"/>
                <w:szCs w:val="18"/>
                <w:color w:val="auto"/>
              </w:rPr>
              <w:t>31.2</w:t>
            </w:r>
          </w:p>
        </w:tc>
        <w:tc>
          <w:tcPr>
            <w:tcW w:w="10820" w:type="dxa"/>
            <w:vAlign w:val="bottom"/>
            <w:gridSpan w:val="2"/>
          </w:tcPr>
          <w:p>
            <w:pPr>
              <w:ind w:left="640"/>
              <w:spacing w:after="0"/>
              <w:rPr>
                <w:sz w:val="20"/>
                <w:szCs w:val="20"/>
                <w:color w:val="auto"/>
              </w:rPr>
            </w:pPr>
            <w:r>
              <w:rPr>
                <w:rFonts w:ascii="Arial" w:cs="Arial" w:eastAsia="Arial" w:hAnsi="Arial"/>
                <w:sz w:val="18"/>
                <w:szCs w:val="18"/>
                <w:color w:val="auto"/>
              </w:rPr>
              <w:t>- Certification of CFO pursuant to Rule 13a-14(a) under the Securities Exchange Act of 1934.</w:t>
            </w:r>
          </w:p>
        </w:tc>
        <w:tc>
          <w:tcPr>
            <w:tcW w:w="0" w:type="dxa"/>
            <w:vAlign w:val="bottom"/>
          </w:tcPr>
          <w:p>
            <w:pPr>
              <w:spacing w:after="0"/>
              <w:rPr>
                <w:sz w:val="1"/>
                <w:szCs w:val="1"/>
                <w:color w:val="auto"/>
              </w:rPr>
            </w:pPr>
          </w:p>
        </w:tc>
      </w:tr>
      <w:tr>
        <w:trPr>
          <w:trHeight w:val="338"/>
        </w:trPr>
        <w:tc>
          <w:tcPr>
            <w:tcW w:w="600" w:type="dxa"/>
            <w:vAlign w:val="bottom"/>
          </w:tcPr>
          <w:p>
            <w:pPr>
              <w:spacing w:after="0"/>
              <w:rPr>
                <w:sz w:val="20"/>
                <w:szCs w:val="20"/>
                <w:color w:val="auto"/>
              </w:rPr>
            </w:pPr>
            <w:r>
              <w:rPr>
                <w:rFonts w:ascii="Arial" w:cs="Arial" w:eastAsia="Arial" w:hAnsi="Arial"/>
                <w:sz w:val="18"/>
                <w:szCs w:val="18"/>
                <w:color w:val="auto"/>
              </w:rPr>
              <w:t>32</w:t>
            </w:r>
          </w:p>
        </w:tc>
        <w:tc>
          <w:tcPr>
            <w:tcW w:w="10820" w:type="dxa"/>
            <w:vAlign w:val="bottom"/>
            <w:gridSpan w:val="2"/>
          </w:tcPr>
          <w:p>
            <w:pPr>
              <w:ind w:left="640"/>
              <w:spacing w:after="0"/>
              <w:rPr>
                <w:sz w:val="20"/>
                <w:szCs w:val="20"/>
                <w:color w:val="auto"/>
              </w:rPr>
            </w:pPr>
            <w:r>
              <w:rPr>
                <w:rFonts w:ascii="Arial" w:cs="Arial" w:eastAsia="Arial" w:hAnsi="Arial"/>
                <w:sz w:val="18"/>
                <w:szCs w:val="18"/>
                <w:color w:val="auto"/>
              </w:rPr>
              <w:t>- Certification of CEO and CFO pursuant to 18 U.S.C. Section 1350.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Incorporated by reference from the Form 8-K for Regeneron Pharmaceuticals, Inc., filed June 17,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ind w:left="220" w:right="340" w:hanging="212"/>
        <w:spacing w:after="0" w:line="277" w:lineRule="auto"/>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Portions of this document have been omitted and filed separately with the Commission pursuant to requests for confidential treatment pursuant to Rule 24b-2.</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spacing w:after="0"/>
        <w:tabs>
          <w:tab w:leader="none" w:pos="5340" w:val="left"/>
        </w:tabs>
        <w:rPr>
          <w:sz w:val="20"/>
          <w:szCs w:val="20"/>
          <w:color w:val="auto"/>
        </w:rPr>
      </w:pPr>
      <w:r>
        <w:rPr>
          <w:rFonts w:ascii="Arial" w:cs="Arial" w:eastAsia="Arial" w:hAnsi="Arial"/>
          <w:sz w:val="18"/>
          <w:szCs w:val="18"/>
          <w:color w:val="auto"/>
        </w:rPr>
        <w:t>Date: August 1, 2008</w:t>
      </w:r>
      <w:r>
        <w:rPr>
          <w:sz w:val="20"/>
          <w:szCs w:val="20"/>
          <w:color w:val="auto"/>
        </w:rPr>
        <w:tab/>
      </w:r>
      <w:r>
        <w:rPr>
          <w:rFonts w:ascii="Arial" w:cs="Arial" w:eastAsia="Arial" w:hAnsi="Arial"/>
          <w:sz w:val="17"/>
          <w:szCs w:val="17"/>
          <w:color w:val="auto"/>
        </w:rPr>
        <w:t>By: /s/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256413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1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Murray A. Goldberg</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Senior Vice President, Finance &amp; Administration, Chief</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Financial Officer, Treasurer, and</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Assistant Secretary</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Duly Authorized Officer)</w:t>
      </w:r>
    </w:p>
    <w:p>
      <w:pPr>
        <w:spacing w:after="0" w:line="4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80"/>
          </w:cols>
          <w:pgMar w:left="240" w:top="419" w:right="379" w:bottom="1440" w:gutter="0" w:footer="0" w:header="0"/>
        </w:sectPr>
      </w:pPr>
    </w:p>
    <w:bookmarkStart w:id="68" w:name="page69"/>
    <w:bookmarkEnd w:id="68"/>
    <w:p>
      <w:pPr>
        <w:ind w:left="9380"/>
        <w:spacing w:after="0"/>
        <w:rPr>
          <w:sz w:val="20"/>
          <w:szCs w:val="20"/>
          <w:color w:val="auto"/>
        </w:rPr>
      </w:pPr>
      <w:r>
        <w:rPr>
          <w:rFonts w:ascii="Arial" w:cs="Arial" w:eastAsia="Arial" w:hAnsi="Arial"/>
          <w:sz w:val="16"/>
          <w:szCs w:val="16"/>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168910</wp:posOffset>
            </wp:positionV>
            <wp:extent cx="7250430" cy="78149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78149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121"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The record holder of this Certificate may obtain from the Secretary of the Corporation, upon request and without charge, a full statement of the designation, relative rights, preferences and limitations of the shares of each class authorized to be issued and the designation, relative rights, preferences and limitations of each series of preferred shares authorized to be issued so far as the same have been fixed and the authority of the Board of Directors to designate and fix the relative rights, preferences and limitations of other series.</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abbreviations, when used in the inscription on the face of this certificate, shall be construed as though they were written out in full</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80" w:type="dxa"/>
            <w:vAlign w:val="bottom"/>
            <w:gridSpan w:val="4"/>
          </w:tcPr>
          <w:p>
            <w:pPr>
              <w:spacing w:after="0"/>
              <w:rPr>
                <w:sz w:val="20"/>
                <w:szCs w:val="20"/>
                <w:color w:val="auto"/>
              </w:rPr>
            </w:pPr>
            <w:r>
              <w:rPr>
                <w:rFonts w:ascii="Arial" w:cs="Arial" w:eastAsia="Arial" w:hAnsi="Arial"/>
                <w:sz w:val="18"/>
                <w:szCs w:val="18"/>
                <w:color w:val="auto"/>
              </w:rPr>
              <w:t>according to applicable laws or regulations:</w:t>
            </w:r>
          </w:p>
        </w:tc>
        <w:tc>
          <w:tcPr>
            <w:tcW w:w="1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18"/>
        </w:trPr>
        <w:tc>
          <w:tcPr>
            <w:tcW w:w="2160" w:type="dxa"/>
            <w:vAlign w:val="bottom"/>
            <w:gridSpan w:val="2"/>
          </w:tcPr>
          <w:p>
            <w:pPr>
              <w:jc w:val="right"/>
              <w:ind w:right="80"/>
              <w:spacing w:after="0"/>
              <w:rPr>
                <w:sz w:val="20"/>
                <w:szCs w:val="20"/>
                <w:color w:val="auto"/>
              </w:rPr>
            </w:pPr>
            <w:r>
              <w:rPr>
                <w:rFonts w:ascii="Arial" w:cs="Arial" w:eastAsia="Arial" w:hAnsi="Arial"/>
                <w:sz w:val="18"/>
                <w:szCs w:val="18"/>
                <w:color w:val="auto"/>
              </w:rPr>
              <w:t>TEN COM</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520" w:type="dxa"/>
            <w:vAlign w:val="bottom"/>
          </w:tcPr>
          <w:p>
            <w:pPr>
              <w:ind w:left="60"/>
              <w:spacing w:after="0"/>
              <w:rPr>
                <w:sz w:val="20"/>
                <w:szCs w:val="20"/>
                <w:color w:val="auto"/>
              </w:rPr>
            </w:pPr>
            <w:r>
              <w:rPr>
                <w:rFonts w:ascii="Arial" w:cs="Arial" w:eastAsia="Arial" w:hAnsi="Arial"/>
                <w:sz w:val="18"/>
                <w:szCs w:val="18"/>
                <w:color w:val="auto"/>
              </w:rPr>
              <w:t>as tenants in common</w:t>
            </w:r>
          </w:p>
        </w:tc>
        <w:tc>
          <w:tcPr>
            <w:tcW w:w="4040" w:type="dxa"/>
            <w:vAlign w:val="bottom"/>
            <w:gridSpan w:val="4"/>
          </w:tcPr>
          <w:p>
            <w:pPr>
              <w:ind w:left="580"/>
              <w:spacing w:after="0"/>
              <w:rPr>
                <w:sz w:val="20"/>
                <w:szCs w:val="20"/>
                <w:color w:val="auto"/>
              </w:rPr>
            </w:pPr>
            <w:r>
              <w:rPr>
                <w:rFonts w:ascii="Arial" w:cs="Arial" w:eastAsia="Arial" w:hAnsi="Arial"/>
                <w:sz w:val="18"/>
                <w:szCs w:val="18"/>
                <w:color w:val="auto"/>
              </w:rPr>
              <w:t>UNIF GIFT MIN ACT-</w:t>
            </w:r>
          </w:p>
        </w:tc>
        <w:tc>
          <w:tcPr>
            <w:tcW w:w="2500" w:type="dxa"/>
            <w:vAlign w:val="bottom"/>
            <w:gridSpan w:val="2"/>
          </w:tcPr>
          <w:p>
            <w:pPr>
              <w:ind w:left="100"/>
              <w:spacing w:after="0"/>
              <w:rPr>
                <w:sz w:val="20"/>
                <w:szCs w:val="20"/>
                <w:color w:val="auto"/>
              </w:rPr>
            </w:pPr>
            <w:r>
              <w:rPr>
                <w:rFonts w:ascii="Arial" w:cs="Arial" w:eastAsia="Arial" w:hAnsi="Arial"/>
                <w:sz w:val="18"/>
                <w:szCs w:val="18"/>
                <w:color w:val="auto"/>
              </w:rPr>
              <w:t>Custodian</w:t>
            </w:r>
          </w:p>
        </w:tc>
      </w:tr>
      <w:tr>
        <w:trPr>
          <w:trHeight w:val="209"/>
        </w:trPr>
        <w:tc>
          <w:tcPr>
            <w:tcW w:w="2160" w:type="dxa"/>
            <w:vAlign w:val="bottom"/>
            <w:gridSpan w:val="2"/>
          </w:tcPr>
          <w:p>
            <w:pPr>
              <w:jc w:val="right"/>
              <w:ind w:right="60"/>
              <w:spacing w:after="0"/>
              <w:rPr>
                <w:sz w:val="20"/>
                <w:szCs w:val="20"/>
                <w:color w:val="auto"/>
              </w:rPr>
            </w:pPr>
            <w:r>
              <w:rPr>
                <w:rFonts w:ascii="Arial" w:cs="Arial" w:eastAsia="Arial" w:hAnsi="Arial"/>
                <w:sz w:val="18"/>
                <w:szCs w:val="18"/>
                <w:color w:val="auto"/>
              </w:rPr>
              <w:t>TEN ENT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520" w:type="dxa"/>
            <w:vAlign w:val="bottom"/>
          </w:tcPr>
          <w:p>
            <w:pPr>
              <w:ind w:left="60"/>
              <w:spacing w:after="0"/>
              <w:rPr>
                <w:sz w:val="20"/>
                <w:szCs w:val="20"/>
                <w:color w:val="auto"/>
              </w:rPr>
            </w:pPr>
            <w:r>
              <w:rPr>
                <w:rFonts w:ascii="Arial" w:cs="Arial" w:eastAsia="Arial" w:hAnsi="Arial"/>
                <w:sz w:val="18"/>
                <w:szCs w:val="18"/>
                <w:color w:val="auto"/>
              </w:rPr>
              <w:t>as tenants by the entireties</w:t>
            </w:r>
          </w:p>
        </w:tc>
        <w:tc>
          <w:tcPr>
            <w:tcW w:w="1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20" w:type="dxa"/>
            <w:vAlign w:val="bottom"/>
            <w:tcBorders>
              <w:top w:val="single" w:sz="8" w:color="auto"/>
            </w:tcBorders>
            <w:gridSpan w:val="2"/>
          </w:tcPr>
          <w:p>
            <w:pPr>
              <w:ind w:left="680"/>
              <w:spacing w:after="0"/>
              <w:rPr>
                <w:sz w:val="20"/>
                <w:szCs w:val="20"/>
                <w:color w:val="auto"/>
              </w:rPr>
            </w:pPr>
            <w:r>
              <w:rPr>
                <w:rFonts w:ascii="Arial" w:cs="Arial" w:eastAsia="Arial" w:hAnsi="Arial"/>
                <w:sz w:val="18"/>
                <w:szCs w:val="18"/>
                <w:color w:val="auto"/>
              </w:rPr>
              <w:t>(Cust)</w:t>
            </w:r>
          </w:p>
        </w:tc>
        <w:tc>
          <w:tcPr>
            <w:tcW w:w="980" w:type="dxa"/>
            <w:vAlign w:val="bottom"/>
          </w:tcPr>
          <w:p>
            <w:pPr>
              <w:spacing w:after="0"/>
              <w:rPr>
                <w:sz w:val="18"/>
                <w:szCs w:val="18"/>
                <w:color w:val="auto"/>
              </w:rPr>
            </w:pPr>
          </w:p>
        </w:tc>
        <w:tc>
          <w:tcPr>
            <w:tcW w:w="152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(Minor)</w:t>
            </w:r>
          </w:p>
        </w:tc>
      </w:tr>
      <w:tr>
        <w:trPr>
          <w:trHeight w:val="216"/>
        </w:trPr>
        <w:tc>
          <w:tcPr>
            <w:tcW w:w="2160" w:type="dxa"/>
            <w:vAlign w:val="bottom"/>
            <w:gridSpan w:val="2"/>
          </w:tcPr>
          <w:p>
            <w:pPr>
              <w:jc w:val="right"/>
              <w:ind w:right="80"/>
              <w:spacing w:after="0"/>
              <w:rPr>
                <w:sz w:val="20"/>
                <w:szCs w:val="20"/>
                <w:color w:val="auto"/>
              </w:rPr>
            </w:pPr>
            <w:r>
              <w:rPr>
                <w:rFonts w:ascii="Arial" w:cs="Arial" w:eastAsia="Arial" w:hAnsi="Arial"/>
                <w:sz w:val="18"/>
                <w:szCs w:val="18"/>
                <w:color w:val="auto"/>
              </w:rPr>
              <w:t>JT TEN</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520" w:type="dxa"/>
            <w:vAlign w:val="bottom"/>
          </w:tcPr>
          <w:p>
            <w:pPr>
              <w:ind w:left="60"/>
              <w:spacing w:after="0"/>
              <w:rPr>
                <w:sz w:val="20"/>
                <w:szCs w:val="20"/>
                <w:color w:val="auto"/>
              </w:rPr>
            </w:pPr>
            <w:r>
              <w:rPr>
                <w:rFonts w:ascii="Arial" w:cs="Arial" w:eastAsia="Arial" w:hAnsi="Arial"/>
                <w:sz w:val="18"/>
                <w:szCs w:val="18"/>
                <w:color w:val="auto"/>
              </w:rPr>
              <w:t>as Joint tenants with</w:t>
            </w:r>
          </w:p>
        </w:tc>
        <w:tc>
          <w:tcPr>
            <w:tcW w:w="1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120" w:type="dxa"/>
            <w:vAlign w:val="bottom"/>
            <w:gridSpan w:val="4"/>
          </w:tcPr>
          <w:p>
            <w:pPr>
              <w:ind w:left="680"/>
              <w:spacing w:after="0"/>
              <w:rPr>
                <w:sz w:val="20"/>
                <w:szCs w:val="20"/>
                <w:color w:val="auto"/>
              </w:rPr>
            </w:pPr>
            <w:r>
              <w:rPr>
                <w:rFonts w:ascii="Arial" w:cs="Arial" w:eastAsia="Arial" w:hAnsi="Arial"/>
                <w:sz w:val="18"/>
                <w:szCs w:val="18"/>
                <w:color w:val="auto"/>
              </w:rPr>
              <w:t>under Uniform Gifts to Minors</w:t>
            </w:r>
          </w:p>
        </w:tc>
      </w:tr>
      <w:tr>
        <w:trPr>
          <w:trHeight w:val="230"/>
        </w:trPr>
        <w:tc>
          <w:tcPr>
            <w:tcW w:w="1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tcPr>
          <w:p>
            <w:pPr>
              <w:ind w:left="60"/>
              <w:spacing w:after="0"/>
              <w:rPr>
                <w:sz w:val="20"/>
                <w:szCs w:val="20"/>
                <w:color w:val="auto"/>
              </w:rPr>
            </w:pPr>
            <w:r>
              <w:rPr>
                <w:rFonts w:ascii="Arial" w:cs="Arial" w:eastAsia="Arial" w:hAnsi="Arial"/>
                <w:sz w:val="18"/>
                <w:szCs w:val="18"/>
                <w:color w:val="auto"/>
              </w:rPr>
              <w:t>right of survivorship and</w:t>
            </w:r>
          </w:p>
        </w:tc>
        <w:tc>
          <w:tcPr>
            <w:tcW w:w="1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20" w:type="dxa"/>
            <w:vAlign w:val="bottom"/>
            <w:gridSpan w:val="2"/>
          </w:tcPr>
          <w:p>
            <w:pPr>
              <w:ind w:left="680"/>
              <w:spacing w:after="0"/>
              <w:rPr>
                <w:sz w:val="20"/>
                <w:szCs w:val="20"/>
                <w:color w:val="auto"/>
              </w:rPr>
            </w:pPr>
            <w:r>
              <w:rPr>
                <w:rFonts w:ascii="Arial" w:cs="Arial" w:eastAsia="Arial" w:hAnsi="Arial"/>
                <w:sz w:val="18"/>
                <w:szCs w:val="18"/>
                <w:color w:val="auto"/>
              </w:rPr>
              <w:t>Act</w:t>
            </w:r>
          </w:p>
        </w:tc>
        <w:tc>
          <w:tcPr>
            <w:tcW w:w="9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24"/>
        </w:trPr>
        <w:tc>
          <w:tcPr>
            <w:tcW w:w="1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20" w:type="dxa"/>
            <w:vAlign w:val="bottom"/>
          </w:tcPr>
          <w:p>
            <w:pPr>
              <w:ind w:left="60"/>
              <w:spacing w:after="0"/>
              <w:rPr>
                <w:sz w:val="20"/>
                <w:szCs w:val="20"/>
                <w:color w:val="auto"/>
              </w:rPr>
            </w:pPr>
            <w:r>
              <w:rPr>
                <w:rFonts w:ascii="Arial" w:cs="Arial" w:eastAsia="Arial" w:hAnsi="Arial"/>
                <w:sz w:val="18"/>
                <w:szCs w:val="18"/>
                <w:color w:val="auto"/>
              </w:rPr>
              <w:t>not as tenants in common</w:t>
            </w:r>
          </w:p>
        </w:tc>
        <w:tc>
          <w:tcPr>
            <w:tcW w:w="1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500" w:type="dxa"/>
            <w:vAlign w:val="bottom"/>
            <w:tcBorders>
              <w:top w:val="single" w:sz="8" w:color="auto"/>
            </w:tcBorders>
            <w:gridSpan w:val="2"/>
          </w:tcPr>
          <w:p>
            <w:pPr>
              <w:ind w:left="560"/>
              <w:spacing w:after="0"/>
              <w:rPr>
                <w:sz w:val="20"/>
                <w:szCs w:val="20"/>
                <w:color w:val="auto"/>
              </w:rPr>
            </w:pPr>
            <w:r>
              <w:rPr>
                <w:rFonts w:ascii="Arial" w:cs="Arial" w:eastAsia="Arial" w:hAnsi="Arial"/>
                <w:sz w:val="18"/>
                <w:szCs w:val="18"/>
                <w:color w:val="auto"/>
              </w:rPr>
              <w:t>(State)</w:t>
            </w:r>
          </w:p>
        </w:tc>
      </w:tr>
      <w:tr>
        <w:trPr>
          <w:trHeight w:val="539"/>
        </w:trPr>
        <w:tc>
          <w:tcPr>
            <w:tcW w:w="1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560" w:type="dxa"/>
            <w:vAlign w:val="bottom"/>
            <w:gridSpan w:val="5"/>
          </w:tcPr>
          <w:p>
            <w:pPr>
              <w:ind w:left="800"/>
              <w:spacing w:after="0"/>
              <w:rPr>
                <w:sz w:val="20"/>
                <w:szCs w:val="20"/>
                <w:color w:val="auto"/>
              </w:rPr>
            </w:pPr>
            <w:r>
              <w:rPr>
                <w:rFonts w:ascii="Arial" w:cs="Arial" w:eastAsia="Arial" w:hAnsi="Arial"/>
                <w:sz w:val="18"/>
                <w:szCs w:val="18"/>
                <w:color w:val="auto"/>
              </w:rPr>
              <w:t>Additional abbreviations may also be used though not in the above list.</w:t>
            </w:r>
          </w:p>
        </w:tc>
        <w:tc>
          <w:tcPr>
            <w:tcW w:w="9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84"/>
        </w:trPr>
        <w:tc>
          <w:tcPr>
            <w:tcW w:w="1680" w:type="dxa"/>
            <w:vAlign w:val="bottom"/>
          </w:tcPr>
          <w:p>
            <w:pPr>
              <w:ind w:left="240"/>
              <w:spacing w:after="0"/>
              <w:rPr>
                <w:sz w:val="20"/>
                <w:szCs w:val="20"/>
                <w:color w:val="auto"/>
              </w:rPr>
            </w:pPr>
            <w:r>
              <w:rPr>
                <w:rFonts w:ascii="Arial" w:cs="Arial" w:eastAsia="Arial" w:hAnsi="Arial"/>
                <w:sz w:val="18"/>
                <w:szCs w:val="18"/>
                <w:i w:val="1"/>
                <w:iCs w:val="1"/>
                <w:color w:val="auto"/>
                <w:w w:val="90"/>
              </w:rPr>
              <w:t>For Value received,</w:t>
            </w: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5060" w:type="dxa"/>
            <w:vAlign w:val="bottom"/>
            <w:gridSpan w:val="5"/>
          </w:tcPr>
          <w:p>
            <w:pPr>
              <w:ind w:left="60"/>
              <w:spacing w:after="0"/>
              <w:rPr>
                <w:sz w:val="20"/>
                <w:szCs w:val="20"/>
                <w:color w:val="auto"/>
              </w:rPr>
            </w:pPr>
            <w:r>
              <w:rPr>
                <w:rFonts w:ascii="Arial" w:cs="Arial" w:eastAsia="Arial" w:hAnsi="Arial"/>
                <w:sz w:val="18"/>
                <w:szCs w:val="18"/>
                <w:i w:val="1"/>
                <w:iCs w:val="1"/>
                <w:color w:val="auto"/>
              </w:rPr>
              <w:t>hereby sell, assign and transfer unto</w:t>
            </w: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PLEASE INSERT SOCIAL SECURITY OR OTHER</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IDENTIFYING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146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PRINT OR TYPEWRITE NAME AND ADDRESS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480"/>
        <w:spacing w:after="0" w:line="308" w:lineRule="auto"/>
        <w:rPr>
          <w:sz w:val="20"/>
          <w:szCs w:val="20"/>
          <w:color w:val="auto"/>
        </w:rPr>
      </w:pPr>
      <w:r>
        <w:rPr>
          <w:rFonts w:ascii="Arial" w:cs="Arial" w:eastAsia="Arial" w:hAnsi="Arial"/>
          <w:sz w:val="17"/>
          <w:szCs w:val="17"/>
          <w:i w:val="1"/>
          <w:iCs w:val="1"/>
          <w:color w:val="auto"/>
        </w:rPr>
        <w:t>Certificate, and do hereby irrevocably constitute and appoint within-named Corporation with full power of substitution in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48291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829175" cy="8890"/>
                    </a:xfrm>
                    <a:prstGeom prst="rect">
                      <a:avLst/>
                    </a:prstGeom>
                    <a:noFill/>
                  </pic:spPr>
                </pic:pic>
              </a:graphicData>
            </a:graphic>
          </wp:anchor>
        </w:drawing>
        <w:drawing>
          <wp:anchor simplePos="0" relativeHeight="251657728" behindDoc="1" locked="0" layoutInCell="0" allowOverlap="1">
            <wp:simplePos x="0" y="0"/>
            <wp:positionH relativeFrom="column">
              <wp:posOffset>2839720</wp:posOffset>
            </wp:positionH>
            <wp:positionV relativeFrom="paragraph">
              <wp:posOffset>-197485</wp:posOffset>
            </wp:positionV>
            <wp:extent cx="190881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908810" cy="8890"/>
                    </a:xfrm>
                    <a:prstGeom prst="rect">
                      <a:avLst/>
                    </a:prstGeom>
                    <a:noFill/>
                  </pic:spPr>
                </pic:pic>
              </a:graphicData>
            </a:graphic>
          </wp:anchor>
        </w:drawing>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-10160</wp:posOffset>
            </wp:positionV>
            <wp:extent cx="11715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71575" cy="8890"/>
                    </a:xfrm>
                    <a:prstGeom prst="rect">
                      <a:avLst/>
                    </a:prstGeom>
                    <a:noFill/>
                  </pic:spPr>
                </pic:pic>
              </a:graphicData>
            </a:graphic>
          </wp:anchor>
        </w:drawing>
      </w:r>
    </w:p>
    <w:p>
      <w:pPr>
        <w:spacing w:after="0" w:line="218" w:lineRule="exact"/>
        <w:rPr>
          <w:sz w:val="20"/>
          <w:szCs w:val="20"/>
          <w:color w:val="auto"/>
        </w:rPr>
      </w:pPr>
    </w:p>
    <w:p>
      <w:pPr>
        <w:ind w:left="4620"/>
        <w:spacing w:after="0"/>
        <w:rPr>
          <w:sz w:val="20"/>
          <w:szCs w:val="20"/>
          <w:color w:val="auto"/>
        </w:rPr>
      </w:pPr>
      <w:r>
        <w:rPr>
          <w:rFonts w:ascii="Arial" w:cs="Arial" w:eastAsia="Arial" w:hAnsi="Arial"/>
          <w:sz w:val="36"/>
          <w:szCs w:val="36"/>
          <w:color w:val="auto"/>
        </w:rPr>
        <w:t>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firstLine="135"/>
        <w:spacing w:after="0" w:line="342" w:lineRule="auto"/>
        <w:rPr>
          <w:sz w:val="20"/>
          <w:szCs w:val="20"/>
          <w:color w:val="auto"/>
        </w:rPr>
      </w:pPr>
      <w:r>
        <w:rPr>
          <w:rFonts w:ascii="Arial" w:cs="Arial" w:eastAsia="Arial" w:hAnsi="Arial"/>
          <w:sz w:val="16"/>
          <w:szCs w:val="16"/>
          <w:i w:val="1"/>
          <w:iCs w:val="1"/>
          <w:color w:val="auto"/>
        </w:rPr>
        <w:t>Shares of the capital stock represented by the within Attorney to transfer the said stock on the books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-1622425</wp:posOffset>
            </wp:positionH>
            <wp:positionV relativeFrom="paragraph">
              <wp:posOffset>730885</wp:posOffset>
            </wp:positionV>
            <wp:extent cx="40989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098925" cy="8890"/>
                    </a:xfrm>
                    <a:prstGeom prst="rect">
                      <a:avLst/>
                    </a:prstGeom>
                    <a:noFill/>
                  </pic:spPr>
                </pic:pic>
              </a:graphicData>
            </a:graphic>
          </wp:anchor>
        </w:drawing>
      </w:r>
    </w:p>
    <w:p>
      <w:pPr>
        <w:spacing w:after="0" w:line="1164" w:lineRule="exact"/>
        <w:rPr>
          <w:sz w:val="20"/>
          <w:szCs w:val="20"/>
          <w:color w:val="auto"/>
        </w:rPr>
      </w:pPr>
    </w:p>
    <w:p>
      <w:pPr>
        <w:sectPr>
          <w:pgSz w:w="11900" w:h="16838" w:orient="portrait"/>
          <w:cols w:equalWidth="0" w:num="2">
            <w:col w:w="6800" w:space="720"/>
            <w:col w:w="3900"/>
          </w:cols>
          <w:pgMar w:left="240" w:top="958" w:right="239" w:bottom="1440" w:gutter="0" w:footer="0" w:header="0"/>
          <w:type w:val="continuous"/>
        </w:sectPr>
      </w:pPr>
    </w:p>
    <w:p>
      <w:pPr>
        <w:ind w:left="4620" w:right="40"/>
        <w:spacing w:after="0" w:line="259" w:lineRule="auto"/>
        <w:rPr>
          <w:sz w:val="20"/>
          <w:szCs w:val="20"/>
          <w:color w:val="auto"/>
        </w:rPr>
      </w:pPr>
      <w:r>
        <w:rPr>
          <w:rFonts w:ascii="Arial" w:cs="Arial" w:eastAsia="Arial" w:hAnsi="Arial"/>
          <w:sz w:val="18"/>
          <w:szCs w:val="18"/>
          <w:color w:val="auto"/>
        </w:rPr>
        <w:t>NOTICE: THE SIGNATURE TO THIS ASSIGNMENT MUST CORRESPOND WITH THE NAME AS WRITTEN UPON THE FACE OF THE CERTIFICATE, IN EVERY PARTICULAR, WITHOUT ALTERATION OR ENLARGEMENT, OR ANY CHANGE WHATEVER.</w:t>
      </w:r>
    </w:p>
    <w:p>
      <w:pPr>
        <w:sectPr>
          <w:pgSz w:w="11900" w:h="16838" w:orient="portrait"/>
          <w:cols w:equalWidth="0" w:num="1">
            <w:col w:w="11420"/>
          </w:cols>
          <w:pgMar w:left="240" w:top="958" w:right="239" w:bottom="1440" w:gutter="0" w:footer="0" w:header="0"/>
          <w:type w:val="continuous"/>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Portions of this Exhibit Have Been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Omitted and Separately Filed with the Securities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And Exchange Commission with a Request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For Confidential Treatment</w:t>
      </w:r>
    </w:p>
    <w:p>
      <w:pPr>
        <w:spacing w:after="0" w:line="315" w:lineRule="exact"/>
        <w:rPr>
          <w:sz w:val="20"/>
          <w:szCs w:val="20"/>
          <w:color w:val="auto"/>
        </w:rPr>
      </w:pPr>
    </w:p>
    <w:p>
      <w:pPr>
        <w:ind w:left="2740"/>
        <w:spacing w:after="0"/>
        <w:rPr>
          <w:sz w:val="20"/>
          <w:szCs w:val="20"/>
          <w:color w:val="auto"/>
        </w:rPr>
      </w:pPr>
      <w:r>
        <w:rPr>
          <w:rFonts w:ascii="Arial" w:cs="Arial" w:eastAsia="Arial" w:hAnsi="Arial"/>
          <w:sz w:val="18"/>
          <w:szCs w:val="18"/>
          <w:b w:val="1"/>
          <w:bCs w:val="1"/>
          <w:u w:val="single" w:color="auto"/>
          <w:color w:val="auto"/>
        </w:rPr>
        <w:t>AMENDED AND RESTATED NON EXCLUSIVE LICENSE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agreement is made this 1st day of July, 2008 (hereinafter “the </w:t>
      </w:r>
      <w:r>
        <w:rPr>
          <w:rFonts w:ascii="Arial" w:cs="Arial" w:eastAsia="Arial" w:hAnsi="Arial"/>
          <w:sz w:val="18"/>
          <w:szCs w:val="18"/>
          <w:b w:val="1"/>
          <w:bCs w:val="1"/>
          <w:color w:val="auto"/>
        </w:rPr>
        <w:t>DATE OF SIGNATURE</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By and between</w:t>
      </w:r>
    </w:p>
    <w:p>
      <w:pPr>
        <w:spacing w:after="0" w:line="113"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CELLECTIS</w:t>
      </w:r>
      <w:r>
        <w:rPr>
          <w:rFonts w:ascii="Arial" w:cs="Arial" w:eastAsia="Arial" w:hAnsi="Arial"/>
          <w:sz w:val="18"/>
          <w:szCs w:val="18"/>
          <w:color w:val="auto"/>
        </w:rPr>
        <w:t>, a French Société Anonyme, registered under the Registre de commerce et des Sociétés de Paris under n° B 428 859 052, having its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office at 102 avenue Gaston Roussel – 93235 Romainville, France, represented by its legal representative, Mr. André CHOULIKA, Directeur Général (hereinafter “</w:t>
      </w:r>
      <w:r>
        <w:rPr>
          <w:rFonts w:ascii="Arial" w:cs="Arial" w:eastAsia="Arial" w:hAnsi="Arial"/>
          <w:sz w:val="18"/>
          <w:szCs w:val="18"/>
          <w:b w:val="1"/>
          <w:bCs w:val="1"/>
          <w:color w:val="auto"/>
        </w:rPr>
        <w:t>CELLECTIS</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13"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b w:val="1"/>
          <w:bCs w:val="1"/>
          <w:color w:val="auto"/>
        </w:rPr>
        <w:t>REGENERON PHARMACEUTICALS, INC.</w:t>
      </w:r>
      <w:r>
        <w:rPr>
          <w:rFonts w:ascii="Arial" w:cs="Arial" w:eastAsia="Arial" w:hAnsi="Arial"/>
          <w:sz w:val="18"/>
          <w:szCs w:val="18"/>
          <w:color w:val="auto"/>
        </w:rPr>
        <w:t>, a company organized and existing under the laws of the State of New York, having a principal place of</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at 777 Old Saw Mill River Road, Tarrytown, NY 10591 U.S.A. (United States of America), represented by its legal representative, Mr. Stuart Kolinski, Senior Vice President &amp; General Counsel (hereinafter “</w:t>
      </w:r>
      <w:r>
        <w:rPr>
          <w:rFonts w:ascii="Arial" w:cs="Arial" w:eastAsia="Arial" w:hAnsi="Arial"/>
          <w:sz w:val="18"/>
          <w:szCs w:val="18"/>
          <w:b w:val="1"/>
          <w:bCs w:val="1"/>
          <w:color w:val="auto"/>
        </w:rPr>
        <w:t>REGENERON</w:t>
      </w:r>
      <w:r>
        <w:rPr>
          <w:rFonts w:ascii="Arial" w:cs="Arial" w:eastAsia="Arial" w:hAnsi="Arial"/>
          <w:sz w:val="18"/>
          <w:szCs w:val="18"/>
          <w:color w:val="auto"/>
        </w:rPr>
        <w: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REGENERON and CELLECTIS hereinafter individually or collectively referred to as the PARTY(IES).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WITNESSETH</w:t>
      </w:r>
    </w:p>
    <w:p>
      <w:pPr>
        <w:spacing w:after="0" w:line="117"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CELLECTIS is a biotechnology company specialized in rational genome engineering. CELLECTIS controls and develops tools and methods to</w:t>
      </w:r>
      <w:r>
        <w:rPr>
          <w:rFonts w:ascii="Arial" w:cs="Arial" w:eastAsia="Arial" w:hAnsi="Arial"/>
          <w:sz w:val="18"/>
          <w:szCs w:val="18"/>
          <w:b w:val="1"/>
          <w:bCs w:val="1"/>
          <w:color w:val="auto"/>
        </w:rPr>
        <w:t xml:space="preserve"> </w:t>
      </w:r>
      <w:r>
        <w:rPr>
          <w:rFonts w:ascii="Arial" w:cs="Arial" w:eastAsia="Arial" w:hAnsi="Arial"/>
          <w:sz w:val="18"/>
          <w:szCs w:val="18"/>
          <w:color w:val="auto"/>
        </w:rPr>
        <w:t>rewrite DNA sequences in genomes of living organisms. With these technologies, CELLECTIS develops therapeutic drugs, as well as industrial tools to develop animal models and to engineer protein producer strains, animals or plants;</w:t>
      </w:r>
    </w:p>
    <w:p>
      <w:pPr>
        <w:spacing w:after="0" w:line="68"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CELLECTIS has exclusive rights, including the right to grant sublicenses, from INSTITUT PASTEUR, a French foundation located at 25 Rue</w:t>
      </w:r>
      <w:r>
        <w:rPr>
          <w:rFonts w:ascii="Arial" w:cs="Arial" w:eastAsia="Arial" w:hAnsi="Arial"/>
          <w:sz w:val="18"/>
          <w:szCs w:val="18"/>
          <w:b w:val="1"/>
          <w:bCs w:val="1"/>
          <w:color w:val="auto"/>
        </w:rPr>
        <w:t xml:space="preserve"> </w:t>
      </w:r>
      <w:r>
        <w:rPr>
          <w:rFonts w:ascii="Arial" w:cs="Arial" w:eastAsia="Arial" w:hAnsi="Arial"/>
          <w:sz w:val="18"/>
          <w:szCs w:val="18"/>
          <w:color w:val="auto"/>
        </w:rPr>
        <w:t>du Docteur Roux – 75015 Paris France, the owner of PATENTS (as defined below), relating to a process for the specific replacement or insertion of a gene in the receiver genome by homologous recombination;</w:t>
      </w:r>
    </w:p>
    <w:p>
      <w:pPr>
        <w:spacing w:after="0" w:line="68"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REGENERON is a biopharmaceutical company that has developed technologies and know-how to generate genetically modified animals, and</w:t>
      </w:r>
      <w:r>
        <w:rPr>
          <w:rFonts w:ascii="Arial" w:cs="Arial" w:eastAsia="Arial" w:hAnsi="Arial"/>
          <w:sz w:val="18"/>
          <w:szCs w:val="18"/>
          <w:b w:val="1"/>
          <w:bCs w:val="1"/>
          <w:color w:val="auto"/>
        </w:rPr>
        <w:t xml:space="preserve"> </w:t>
      </w:r>
      <w:r>
        <w:rPr>
          <w:rFonts w:ascii="Arial" w:cs="Arial" w:eastAsia="Arial" w:hAnsi="Arial"/>
          <w:sz w:val="18"/>
          <w:szCs w:val="18"/>
          <w:color w:val="auto"/>
        </w:rPr>
        <w:t>that discovers, develops, and commercializes therapeutic medicines for the treatment of serious medical conditions;</w:t>
      </w:r>
    </w:p>
    <w:p>
      <w:pPr>
        <w:spacing w:after="0" w:line="54"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REGENERON and CELLECTIS, parties to a Non-Exclusive License Agreement dated as of December 12, 2003 (as the same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modified, and</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July 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1" w:name="page72"/>
    <w:bookmarkEnd w:id="71"/>
    <w:p>
      <w:pPr>
        <w:ind w:right="1480"/>
        <w:spacing w:after="0" w:line="373" w:lineRule="auto"/>
        <w:rPr>
          <w:sz w:val="20"/>
          <w:szCs w:val="20"/>
          <w:color w:val="auto"/>
        </w:rPr>
      </w:pPr>
      <w:r>
        <w:rPr>
          <w:rFonts w:ascii="Arial" w:cs="Arial" w:eastAsia="Arial" w:hAnsi="Arial"/>
          <w:sz w:val="18"/>
          <w:szCs w:val="18"/>
          <w:color w:val="auto"/>
        </w:rPr>
        <w:t xml:space="preserve">supplemented, the “Original Agreement”) wish to amend and restate the Original Agreement on the terms and conditions set forth herein; </w:t>
      </w:r>
      <w:r>
        <w:rPr>
          <w:rFonts w:ascii="Arial" w:cs="Arial" w:eastAsia="Arial" w:hAnsi="Arial"/>
          <w:sz w:val="18"/>
          <w:szCs w:val="18"/>
          <w:b w:val="1"/>
          <w:bCs w:val="1"/>
          <w:color w:val="auto"/>
        </w:rPr>
        <w:t xml:space="preserve">WHEREAS </w:t>
      </w:r>
      <w:r>
        <w:rPr>
          <w:rFonts w:ascii="Arial" w:cs="Arial" w:eastAsia="Arial" w:hAnsi="Arial"/>
          <w:sz w:val="18"/>
          <w:szCs w:val="18"/>
          <w:color w:val="auto"/>
        </w:rPr>
        <w:t>REGENERON accepts to enter into this AGREEMENT *****</w:t>
      </w:r>
    </w:p>
    <w:p>
      <w:pPr>
        <w:spacing w:after="0" w:line="1"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undertakings contained herein and other good and valuable consideration, the Parties intending to be</w:t>
      </w:r>
      <w:r>
        <w:rPr>
          <w:rFonts w:ascii="Arial" w:cs="Arial" w:eastAsia="Arial" w:hAnsi="Arial"/>
          <w:sz w:val="18"/>
          <w:szCs w:val="18"/>
          <w:b w:val="1"/>
          <w:bCs w:val="1"/>
          <w:color w:val="auto"/>
        </w:rPr>
        <w:t xml:space="preserve"> </w:t>
      </w:r>
      <w:r>
        <w:rPr>
          <w:rFonts w:ascii="Arial" w:cs="Arial" w:eastAsia="Arial" w:hAnsi="Arial"/>
          <w:sz w:val="18"/>
          <w:szCs w:val="18"/>
          <w:color w:val="auto"/>
        </w:rPr>
        <w:t>legally bound, hereby agree as follows:</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ARTICLE 1 – DEFINITIONS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 of this Agreement, the following terms shall have the meanings defined herein:</w:t>
      </w:r>
    </w:p>
    <w:p>
      <w:pPr>
        <w:spacing w:after="0" w:line="113" w:lineRule="exact"/>
        <w:rPr>
          <w:sz w:val="20"/>
          <w:szCs w:val="20"/>
          <w:color w:val="auto"/>
        </w:rPr>
      </w:pPr>
    </w:p>
    <w:p>
      <w:pPr>
        <w:ind w:left="460" w:right="20" w:hanging="445"/>
        <w:spacing w:after="0" w:line="347" w:lineRule="auto"/>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color w:val="auto"/>
        </w:rPr>
        <w:t xml:space="preserve">“AFFILIATE” </w:t>
      </w:r>
      <w:r>
        <w:rPr>
          <w:rFonts w:ascii="Arial" w:cs="Arial" w:eastAsia="Arial" w:hAnsi="Arial"/>
          <w:sz w:val="16"/>
          <w:szCs w:val="16"/>
          <w:color w:val="auto"/>
        </w:rPr>
        <w:t>means a legal entity that indirectly or directly controls, is controlled by, or is under common control with, a PARTY hereto or a THIRD</w:t>
      </w:r>
      <w:r>
        <w:rPr>
          <w:rFonts w:ascii="Arial" w:cs="Arial" w:eastAsia="Arial" w:hAnsi="Arial"/>
          <w:sz w:val="16"/>
          <w:szCs w:val="16"/>
          <w:b w:val="1"/>
          <w:bCs w:val="1"/>
          <w:color w:val="auto"/>
        </w:rPr>
        <w:t xml:space="preserve"> </w:t>
      </w:r>
      <w:r>
        <w:rPr>
          <w:rFonts w:ascii="Arial" w:cs="Arial" w:eastAsia="Arial" w:hAnsi="Arial"/>
          <w:sz w:val="16"/>
          <w:szCs w:val="16"/>
          <w:color w:val="auto"/>
        </w:rPr>
        <w:t>PARTY, as the case may be (where control means direct or indirect legal or beneficial ownership of 50% or more of the issued shares or voting rights).</w:t>
      </w:r>
    </w:p>
    <w:p>
      <w:pPr>
        <w:spacing w:after="0" w:line="22" w:lineRule="exact"/>
        <w:rPr>
          <w:sz w:val="20"/>
          <w:szCs w:val="20"/>
          <w:color w:val="auto"/>
        </w:rPr>
      </w:pPr>
    </w:p>
    <w:p>
      <w:pPr>
        <w:ind w:left="460" w:right="420" w:hanging="445"/>
        <w:spacing w:after="0" w:line="282" w:lineRule="auto"/>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color w:val="auto"/>
        </w:rPr>
        <w:t xml:space="preserve">“AGREEMENT” </w:t>
      </w:r>
      <w:r>
        <w:rPr>
          <w:rFonts w:ascii="Arial" w:cs="Arial" w:eastAsia="Arial" w:hAnsi="Arial"/>
          <w:sz w:val="18"/>
          <w:szCs w:val="18"/>
          <w:color w:val="auto"/>
        </w:rPr>
        <w:t>means this Amended and Restated Non Exclusive License Agreement, which includes the Exhibits as well as any amendments</w:t>
      </w:r>
      <w:r>
        <w:rPr>
          <w:rFonts w:ascii="Arial" w:cs="Arial" w:eastAsia="Arial" w:hAnsi="Arial"/>
          <w:sz w:val="18"/>
          <w:szCs w:val="18"/>
          <w:b w:val="1"/>
          <w:bCs w:val="1"/>
          <w:color w:val="auto"/>
        </w:rPr>
        <w:t xml:space="preserve"> </w:t>
      </w:r>
      <w:r>
        <w:rPr>
          <w:rFonts w:ascii="Arial" w:cs="Arial" w:eastAsia="Arial" w:hAnsi="Arial"/>
          <w:sz w:val="18"/>
          <w:szCs w:val="18"/>
          <w:color w:val="auto"/>
        </w:rPr>
        <w:t>thereto signed by duly authorized officers of the PARTIES.</w:t>
      </w:r>
    </w:p>
    <w:p>
      <w:pPr>
        <w:spacing w:after="0" w:line="67" w:lineRule="exact"/>
        <w:rPr>
          <w:sz w:val="20"/>
          <w:szCs w:val="20"/>
          <w:color w:val="auto"/>
        </w:rPr>
      </w:pPr>
    </w:p>
    <w:p>
      <w:pPr>
        <w:ind w:left="460" w:right="200" w:hanging="445"/>
        <w:spacing w:after="0" w:line="282" w:lineRule="auto"/>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b w:val="1"/>
          <w:bCs w:val="1"/>
          <w:color w:val="auto"/>
        </w:rPr>
        <w:t xml:space="preserve">“ASTELLAS” </w:t>
      </w:r>
      <w:r>
        <w:rPr>
          <w:rFonts w:ascii="Arial" w:cs="Arial" w:eastAsia="Arial" w:hAnsi="Arial"/>
          <w:sz w:val="18"/>
          <w:szCs w:val="18"/>
          <w:color w:val="auto"/>
        </w:rPr>
        <w:t>means Astellas Pharma Inc., a Japanese company with a principal place of business located at 2-3-11 Nihonbashi-Honcho, Chuo-Ku,</w:t>
      </w:r>
      <w:r>
        <w:rPr>
          <w:rFonts w:ascii="Arial" w:cs="Arial" w:eastAsia="Arial" w:hAnsi="Arial"/>
          <w:sz w:val="18"/>
          <w:szCs w:val="18"/>
          <w:b w:val="1"/>
          <w:bCs w:val="1"/>
          <w:color w:val="auto"/>
        </w:rPr>
        <w:t xml:space="preserve"> </w:t>
      </w:r>
      <w:r>
        <w:rPr>
          <w:rFonts w:ascii="Arial" w:cs="Arial" w:eastAsia="Arial" w:hAnsi="Arial"/>
          <w:sz w:val="18"/>
          <w:szCs w:val="18"/>
          <w:color w:val="auto"/>
        </w:rPr>
        <w:t>Tokyo 103-8411, Japan, and its AFFILIATES.</w:t>
      </w:r>
    </w:p>
    <w:p>
      <w:pPr>
        <w:spacing w:after="0" w:line="67" w:lineRule="exact"/>
        <w:rPr>
          <w:sz w:val="20"/>
          <w:szCs w:val="20"/>
          <w:color w:val="auto"/>
        </w:rPr>
      </w:pPr>
    </w:p>
    <w:p>
      <w:pPr>
        <w:ind w:left="460" w:right="80" w:hanging="445"/>
        <w:spacing w:after="0" w:line="282" w:lineRule="auto"/>
        <w:tabs>
          <w:tab w:leader="none" w:pos="4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b w:val="1"/>
          <w:bCs w:val="1"/>
          <w:color w:val="auto"/>
        </w:rPr>
        <w:t xml:space="preserve">“ASTRAZENECA” </w:t>
      </w:r>
      <w:r>
        <w:rPr>
          <w:rFonts w:ascii="Arial" w:cs="Arial" w:eastAsia="Arial" w:hAnsi="Arial"/>
          <w:sz w:val="18"/>
          <w:szCs w:val="18"/>
          <w:color w:val="auto"/>
        </w:rPr>
        <w:t>means AstraZeneca UK Limited, a company incorporated in England with a registered office at 15 Stanhope Gate, London W1K</w:t>
      </w:r>
      <w:r>
        <w:rPr>
          <w:rFonts w:ascii="Arial" w:cs="Arial" w:eastAsia="Arial" w:hAnsi="Arial"/>
          <w:sz w:val="18"/>
          <w:szCs w:val="18"/>
          <w:b w:val="1"/>
          <w:bCs w:val="1"/>
          <w:color w:val="auto"/>
        </w:rPr>
        <w:t xml:space="preserve"> </w:t>
      </w:r>
      <w:r>
        <w:rPr>
          <w:rFonts w:ascii="Arial" w:cs="Arial" w:eastAsia="Arial" w:hAnsi="Arial"/>
          <w:sz w:val="18"/>
          <w:szCs w:val="18"/>
          <w:color w:val="auto"/>
        </w:rPr>
        <w:t>1lN and its AFFILIATES.</w:t>
      </w:r>
    </w:p>
    <w:p>
      <w:pPr>
        <w:spacing w:after="0" w:line="6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b w:val="1"/>
          <w:bCs w:val="1"/>
          <w:color w:val="auto"/>
        </w:rPr>
        <w:t xml:space="preserve">“CLAIMS” </w:t>
      </w:r>
      <w:r>
        <w:rPr>
          <w:rFonts w:ascii="Arial" w:cs="Arial" w:eastAsia="Arial" w:hAnsi="Arial"/>
          <w:sz w:val="16"/>
          <w:szCs w:val="16"/>
          <w:color w:val="auto"/>
        </w:rPr>
        <w:t>shall mean any and all claims, actions, causes of action, demands, costs, and charges of whatever nature</w:t>
      </w:r>
      <w:r>
        <w:rPr>
          <w:rFonts w:ascii="Arial" w:cs="Arial" w:eastAsia="Arial" w:hAnsi="Arial"/>
          <w:sz w:val="16"/>
          <w:szCs w:val="16"/>
          <w:b w:val="1"/>
          <w:bCs w:val="1"/>
          <w:color w:val="auto"/>
        </w:rPr>
        <w:t>.</w:t>
      </w:r>
    </w:p>
    <w:p>
      <w:pPr>
        <w:spacing w:after="0" w:line="131" w:lineRule="exact"/>
        <w:rPr>
          <w:sz w:val="20"/>
          <w:szCs w:val="20"/>
          <w:color w:val="auto"/>
        </w:rPr>
      </w:pPr>
    </w:p>
    <w:p>
      <w:pPr>
        <w:ind w:left="460" w:right="120" w:hanging="445"/>
        <w:spacing w:after="0" w:line="293" w:lineRule="auto"/>
        <w:tabs>
          <w:tab w:leader="none" w:pos="4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b w:val="1"/>
          <w:bCs w:val="1"/>
          <w:color w:val="auto"/>
        </w:rPr>
        <w:t xml:space="preserve">“DERIVED PRODUCT” </w:t>
      </w:r>
      <w:r>
        <w:rPr>
          <w:rFonts w:ascii="Arial" w:cs="Arial" w:eastAsia="Arial" w:hAnsi="Arial"/>
          <w:sz w:val="16"/>
          <w:szCs w:val="16"/>
          <w:color w:val="auto"/>
        </w:rPr>
        <w:t>means any nucleic acid material (including that coding for a protein, including an antibody), cells containing the foregoing</w:t>
      </w:r>
      <w:r>
        <w:rPr>
          <w:rFonts w:ascii="Arial" w:cs="Arial" w:eastAsia="Arial" w:hAnsi="Arial"/>
          <w:sz w:val="16"/>
          <w:szCs w:val="16"/>
          <w:b w:val="1"/>
          <w:bCs w:val="1"/>
          <w:color w:val="auto"/>
        </w:rPr>
        <w:t xml:space="preserve"> </w:t>
      </w:r>
      <w:r>
        <w:rPr>
          <w:rFonts w:ascii="Arial" w:cs="Arial" w:eastAsia="Arial" w:hAnsi="Arial"/>
          <w:sz w:val="16"/>
          <w:szCs w:val="16"/>
          <w:color w:val="auto"/>
        </w:rPr>
        <w:t>in which the method of inserting the nucleic acid is not a LICENSED PROCESS, and proteins (including antibodies), in all cases that are both:</w:t>
      </w:r>
    </w:p>
    <w:p>
      <w:pPr>
        <w:spacing w:after="0" w:line="1" w:lineRule="exact"/>
        <w:rPr>
          <w:sz w:val="20"/>
          <w:szCs w:val="20"/>
          <w:color w:val="auto"/>
        </w:rPr>
      </w:pPr>
    </w:p>
    <w:p>
      <w:pPr>
        <w:ind w:left="460" w:hanging="6"/>
        <w:spacing w:after="0" w:line="261" w:lineRule="auto"/>
        <w:tabs>
          <w:tab w:leader="none" w:pos="6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derived, developed or discovered from a LICENSED PRODUCT, and (ii) whose manufacture, use, sale, offer to sell, lease, transfer, import or export infringes a VALID CLAIM of a PATENT.</w:t>
      </w:r>
    </w:p>
    <w:p>
      <w:pPr>
        <w:spacing w:after="0" w:line="85" w:lineRule="exact"/>
        <w:rPr>
          <w:sz w:val="20"/>
          <w:szCs w:val="20"/>
          <w:color w:val="auto"/>
        </w:rPr>
      </w:pPr>
    </w:p>
    <w:p>
      <w:pPr>
        <w:ind w:left="460" w:right="300" w:hanging="445"/>
        <w:spacing w:after="0" w:line="266" w:lineRule="auto"/>
        <w:tabs>
          <w:tab w:leader="none" w:pos="4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b w:val="1"/>
          <w:bCs w:val="1"/>
          <w:color w:val="auto"/>
        </w:rPr>
        <w:t xml:space="preserve">“FIELD OF USE” </w:t>
      </w:r>
      <w:r>
        <w:rPr>
          <w:rFonts w:ascii="Arial" w:cs="Arial" w:eastAsia="Arial" w:hAnsi="Arial"/>
          <w:sz w:val="18"/>
          <w:szCs w:val="18"/>
          <w:color w:val="auto"/>
        </w:rPr>
        <w:t>means the in vitro and/or in vivo modification and manipulation of the genetic material and/or of the pluripotent, embryonic,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cells of a rodent using VELOCIGENE and/or VELOCIMMUNE, and the research, development, production and/or commercialization of LICENSED PRODUCTS, LICENSED SERVICES, and DERIVED PRODUCTS.</w:t>
      </w:r>
    </w:p>
    <w:p>
      <w:pPr>
        <w:spacing w:after="0" w:line="82" w:lineRule="exact"/>
        <w:rPr>
          <w:sz w:val="20"/>
          <w:szCs w:val="20"/>
          <w:color w:val="auto"/>
        </w:rPr>
      </w:pPr>
    </w:p>
    <w:p>
      <w:pPr>
        <w:ind w:left="460" w:right="380" w:hanging="445"/>
        <w:spacing w:after="0" w:line="282" w:lineRule="auto"/>
        <w:tabs>
          <w:tab w:leader="none" w:pos="4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b w:val="1"/>
          <w:bCs w:val="1"/>
          <w:color w:val="auto"/>
        </w:rPr>
        <w:t xml:space="preserve">“IMPROVEMENT” </w:t>
      </w:r>
      <w:r>
        <w:rPr>
          <w:rFonts w:ascii="Arial" w:cs="Arial" w:eastAsia="Arial" w:hAnsi="Arial"/>
          <w:sz w:val="18"/>
          <w:szCs w:val="18"/>
          <w:color w:val="auto"/>
        </w:rPr>
        <w:t>means any improvement, addition, enhancement, modification, development, invention, alteration and/or technical advance,</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patentable or</w:t>
      </w:r>
    </w:p>
    <w:p>
      <w:pPr>
        <w:spacing w:after="0" w:line="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July 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72" w:name="page73"/>
    <w:bookmarkEnd w:id="72"/>
    <w:p>
      <w:pPr>
        <w:ind w:left="480"/>
        <w:spacing w:after="0"/>
        <w:rPr>
          <w:sz w:val="20"/>
          <w:szCs w:val="20"/>
          <w:color w:val="auto"/>
        </w:rPr>
      </w:pPr>
      <w:r>
        <w:rPr>
          <w:rFonts w:ascii="Arial" w:cs="Arial" w:eastAsia="Arial" w:hAnsi="Arial"/>
          <w:sz w:val="18"/>
          <w:szCs w:val="18"/>
          <w:color w:val="auto"/>
        </w:rPr>
        <w:t>not, relating to any of the PATENTS whose exploitation is dependent on at least one claim of the PATENTS.</w:t>
      </w:r>
    </w:p>
    <w:p>
      <w:pPr>
        <w:spacing w:after="0" w:line="127"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7"/>
          <w:szCs w:val="17"/>
          <w:b w:val="1"/>
          <w:bCs w:val="1"/>
          <w:color w:val="auto"/>
        </w:rPr>
        <w:t xml:space="preserve">“LICENSED PRODUCT” </w:t>
      </w:r>
      <w:r>
        <w:rPr>
          <w:rFonts w:ascii="Arial" w:cs="Arial" w:eastAsia="Arial" w:hAnsi="Arial"/>
          <w:sz w:val="17"/>
          <w:szCs w:val="17"/>
          <w:color w:val="auto"/>
        </w:rPr>
        <w:t>means any and all VELOCIGENE PRODUCTS and VELOCIMMUNE PRODUCTS.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b w:val="1"/>
          <w:bCs w:val="1"/>
          <w:color w:val="auto"/>
        </w:rPr>
        <w:t>“LICENSED PROCESS”</w:t>
      </w:r>
      <w:r>
        <w:rPr>
          <w:rFonts w:ascii="Arial" w:cs="Arial" w:eastAsia="Arial" w:hAnsi="Arial"/>
          <w:sz w:val="18"/>
          <w:szCs w:val="18"/>
          <w:color w:val="auto"/>
        </w:rPr>
        <w:t xml:space="preserve"> means any process which infringes a VALID CLAIM.</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color w:val="auto"/>
        </w:rPr>
        <w:t>“LICENSED SERVICES”</w:t>
      </w:r>
      <w:r>
        <w:rPr>
          <w:rFonts w:ascii="Arial" w:cs="Arial" w:eastAsia="Arial" w:hAnsi="Arial"/>
          <w:sz w:val="18"/>
          <w:szCs w:val="18"/>
          <w:color w:val="auto"/>
        </w:rPr>
        <w:t xml:space="preserve"> means any and all VELOCIGENE SERVICES and VELOCIMMUNE SERVICES.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b w:val="1"/>
          <w:bCs w:val="1"/>
          <w:color w:val="auto"/>
        </w:rPr>
        <w:t>“NET SALES”</w:t>
      </w:r>
      <w:r>
        <w:rPr>
          <w:rFonts w:ascii="Arial" w:cs="Arial" w:eastAsia="Arial" w:hAnsi="Arial"/>
          <w:sz w:val="17"/>
          <w:szCs w:val="17"/>
          <w:color w:val="auto"/>
        </w:rPr>
        <w:t xml:space="preserve"> means with respect to a LICENSED PRODUCT and/or LICENSED SERVICES, the gross amount invoiced by REGENERON or its</w:t>
      </w:r>
    </w:p>
    <w:p>
      <w:pPr>
        <w:spacing w:after="0" w:line="3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AFFILIATES for the sales of LICENSED PRODUCTS and/or the performance of LICENSED SERVICES to a THIRD PARTY, less:</w:t>
      </w:r>
    </w:p>
    <w:p>
      <w:pPr>
        <w:spacing w:after="0" w:line="103" w:lineRule="exact"/>
        <w:rPr>
          <w:sz w:val="20"/>
          <w:szCs w:val="20"/>
          <w:color w:val="auto"/>
        </w:rPr>
      </w:pPr>
    </w:p>
    <w:p>
      <w:pPr>
        <w:ind w:left="1120" w:hanging="437"/>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trade, quantity and cash discounts actually allowed;</w:t>
      </w:r>
    </w:p>
    <w:p>
      <w:pPr>
        <w:spacing w:after="0" w:line="130" w:lineRule="exact"/>
        <w:rPr>
          <w:rFonts w:ascii="Arial" w:cs="Arial" w:eastAsia="Arial" w:hAnsi="Arial"/>
          <w:sz w:val="18"/>
          <w:szCs w:val="18"/>
          <w:color w:val="auto"/>
        </w:rPr>
      </w:pPr>
    </w:p>
    <w:p>
      <w:pPr>
        <w:ind w:left="1120" w:right="260" w:hanging="437"/>
        <w:spacing w:after="0" w:line="277"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discounts, refunds, rebates, charge backs, retroactive price adjustments, and any other allowances actually granted which effectively reduce the net selling price;</w:t>
      </w:r>
    </w:p>
    <w:p>
      <w:pPr>
        <w:spacing w:after="0" w:line="75" w:lineRule="exact"/>
        <w:rPr>
          <w:rFonts w:ascii="Arial" w:cs="Arial" w:eastAsia="Arial" w:hAnsi="Arial"/>
          <w:sz w:val="18"/>
          <w:szCs w:val="18"/>
          <w:color w:val="auto"/>
        </w:rPr>
      </w:pPr>
    </w:p>
    <w:p>
      <w:pPr>
        <w:ind w:left="1120" w:hanging="437"/>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returns and allowances actually granted;</w:t>
      </w:r>
    </w:p>
    <w:p>
      <w:pPr>
        <w:spacing w:after="0" w:line="130" w:lineRule="exact"/>
        <w:rPr>
          <w:rFonts w:ascii="Arial" w:cs="Arial" w:eastAsia="Arial" w:hAnsi="Arial"/>
          <w:sz w:val="18"/>
          <w:szCs w:val="18"/>
          <w:color w:val="auto"/>
        </w:rPr>
      </w:pPr>
    </w:p>
    <w:p>
      <w:pPr>
        <w:ind w:left="1120" w:right="60" w:hanging="437"/>
        <w:spacing w:after="0" w:line="277"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tax, tariff or duty imposed on the production, sale, delivery or use of the product (excluding federal, state or local taxes based on income); and</w:t>
      </w:r>
    </w:p>
    <w:p>
      <w:pPr>
        <w:spacing w:after="0" w:line="75" w:lineRule="exact"/>
        <w:rPr>
          <w:rFonts w:ascii="Arial" w:cs="Arial" w:eastAsia="Arial" w:hAnsi="Arial"/>
          <w:sz w:val="18"/>
          <w:szCs w:val="18"/>
          <w:color w:val="auto"/>
        </w:rPr>
      </w:pPr>
    </w:p>
    <w:p>
      <w:pPr>
        <w:ind w:left="1120" w:right="80" w:hanging="437"/>
        <w:spacing w:after="0" w:line="277"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freight, postage, shipping, customs duties, excises and insurance charges actually allowed or paid for delivery of LICENSED PRODUCTS, to the extent billed.</w:t>
      </w:r>
    </w:p>
    <w:p>
      <w:pPr>
        <w:spacing w:after="0" w:line="62" w:lineRule="exact"/>
        <w:rPr>
          <w:sz w:val="20"/>
          <w:szCs w:val="20"/>
          <w:color w:val="auto"/>
        </w:rPr>
      </w:pPr>
    </w:p>
    <w:p>
      <w:pPr>
        <w:ind w:left="480" w:right="300"/>
        <w:spacing w:after="0" w:line="264" w:lineRule="auto"/>
        <w:rPr>
          <w:sz w:val="20"/>
          <w:szCs w:val="20"/>
          <w:color w:val="auto"/>
        </w:rPr>
      </w:pPr>
      <w:r>
        <w:rPr>
          <w:rFonts w:ascii="Arial" w:cs="Arial" w:eastAsia="Arial" w:hAnsi="Arial"/>
          <w:sz w:val="18"/>
          <w:szCs w:val="18"/>
          <w:color w:val="auto"/>
        </w:rPr>
        <w:t>For the avoidance of doubt, sales and/or performances, as the case may be, of LICENSED PRODUCTS and/or LICENSED SERVICES between REGENERON and either (i) ASTELLAS, ASTRAZENECA, or SANOFI-AVENTIS under the SPECIAL AGREEMENTS, or (ii) REGENERON’s AFFILIATES shall be disregarded for purposes of calculating NET SALES.</w:t>
      </w:r>
    </w:p>
    <w:p>
      <w:pPr>
        <w:spacing w:after="0" w:line="83" w:lineRule="exact"/>
        <w:rPr>
          <w:sz w:val="20"/>
          <w:szCs w:val="20"/>
          <w:color w:val="auto"/>
        </w:rPr>
      </w:pPr>
    </w:p>
    <w:p>
      <w:pPr>
        <w:ind w:left="480" w:right="80" w:hanging="472"/>
        <w:spacing w:after="0" w:line="266"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b w:val="1"/>
          <w:bCs w:val="1"/>
          <w:color w:val="auto"/>
        </w:rPr>
        <w:t>“NIH GRANT”</w:t>
      </w:r>
      <w:r>
        <w:rPr>
          <w:rFonts w:ascii="Arial" w:cs="Arial" w:eastAsia="Arial" w:hAnsi="Arial"/>
          <w:sz w:val="18"/>
          <w:szCs w:val="18"/>
          <w:color w:val="auto"/>
        </w:rPr>
        <w:t xml:space="preserve"> shall mean the research grant number 5UO1HJ004085/02 dated September 7, 2006 (and any extensions or continuation thereof) from the National Institutes of Health of the United States government for creating and developing animals for use in research efforts to the extent REGENERON supplies LICENSED PRODUCTS or performs LICENSED SERVICES under said grant or contract.</w:t>
      </w:r>
    </w:p>
    <w:p>
      <w:pPr>
        <w:spacing w:after="0" w:line="82" w:lineRule="exact"/>
        <w:rPr>
          <w:sz w:val="20"/>
          <w:szCs w:val="20"/>
          <w:color w:val="auto"/>
        </w:rPr>
      </w:pPr>
    </w:p>
    <w:p>
      <w:pPr>
        <w:ind w:left="480" w:hanging="472"/>
        <w:spacing w:after="0" w:line="274" w:lineRule="auto"/>
        <w:rPr>
          <w:sz w:val="20"/>
          <w:szCs w:val="20"/>
          <w:color w:val="auto"/>
        </w:rPr>
      </w:pPr>
      <w:r>
        <w:rPr>
          <w:rFonts w:ascii="Arial" w:cs="Arial" w:eastAsia="Arial" w:hAnsi="Arial"/>
          <w:sz w:val="17"/>
          <w:szCs w:val="17"/>
          <w:color w:val="auto"/>
        </w:rPr>
        <w:t xml:space="preserve">1.14. </w:t>
      </w:r>
      <w:r>
        <w:rPr>
          <w:rFonts w:ascii="Arial" w:cs="Arial" w:eastAsia="Arial" w:hAnsi="Arial"/>
          <w:sz w:val="17"/>
          <w:szCs w:val="17"/>
          <w:b w:val="1"/>
          <w:bCs w:val="1"/>
          <w:color w:val="auto"/>
        </w:rPr>
        <w:t>“PATENTS”</w:t>
      </w:r>
      <w:r>
        <w:rPr>
          <w:rFonts w:ascii="Arial" w:cs="Arial" w:eastAsia="Arial" w:hAnsi="Arial"/>
          <w:sz w:val="17"/>
          <w:szCs w:val="17"/>
          <w:color w:val="auto"/>
        </w:rPr>
        <w:t xml:space="preserve"> means (i) all patent applications and issued patents claiming the priority date of the French application published as FR 2 646 438 relating to a PROCESS FOR THE SPECIFIC REPLACEMENT OF A COPY OF A GENE PRESENT IN THE RECEIVER GENOME VIA THE INTEGRATION OF A GENE, including but not limited to those referenced in Exhibit A; (ii) any application or patent corresponding to the national or regional phases of the PCT international application WO 90/11354; (iii) the European Patent EP 419 621 as well as any divisional applications; (iv) any US and other foreign patents and patent applications corresponding to any of the foregoing in (i), (ii), (iii) and/or (iv), and/or any divisions, continuations, continuations-in-part, extensions or reissues thereof; and (v) all patent applications</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July 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3" w:name="page74"/>
    <w:bookmarkEnd w:id="73"/>
    <w:p>
      <w:pPr>
        <w:ind w:left="480"/>
        <w:spacing w:after="0"/>
        <w:rPr>
          <w:sz w:val="20"/>
          <w:szCs w:val="20"/>
          <w:color w:val="auto"/>
        </w:rPr>
      </w:pPr>
      <w:r>
        <w:rPr>
          <w:rFonts w:ascii="Arial" w:cs="Arial" w:eastAsia="Arial" w:hAnsi="Arial"/>
          <w:sz w:val="18"/>
          <w:szCs w:val="18"/>
          <w:color w:val="auto"/>
        </w:rPr>
        <w:t>and issued patents claiming priority to any of the patents or patent applications referenced in Exhibit A.</w:t>
      </w:r>
    </w:p>
    <w:p>
      <w:pPr>
        <w:spacing w:after="0" w:line="127" w:lineRule="exact"/>
        <w:rPr>
          <w:sz w:val="20"/>
          <w:szCs w:val="20"/>
          <w:color w:val="auto"/>
        </w:rPr>
      </w:pPr>
    </w:p>
    <w:p>
      <w:pPr>
        <w:ind w:left="480" w:right="440" w:hanging="472"/>
        <w:spacing w:after="0" w:line="282"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b w:val="1"/>
          <w:bCs w:val="1"/>
          <w:color w:val="auto"/>
        </w:rPr>
        <w:t>“REGENERON PRODUCTS”</w:t>
      </w:r>
      <w:r>
        <w:rPr>
          <w:rFonts w:ascii="Arial" w:cs="Arial" w:eastAsia="Arial" w:hAnsi="Arial"/>
          <w:sz w:val="18"/>
          <w:szCs w:val="18"/>
          <w:color w:val="auto"/>
        </w:rPr>
        <w:t xml:space="preserve"> means any and all LICENSED PRODUCTS and LICENSED SERVICES made (or was made for), used, leased, transferred, imported, exported, or sold by REGENERON or any of its AFFILIATES to or for THIRD PARTIES.</w:t>
      </w:r>
    </w:p>
    <w:p>
      <w:pPr>
        <w:spacing w:after="0" w:line="67" w:lineRule="exact"/>
        <w:rPr>
          <w:sz w:val="20"/>
          <w:szCs w:val="20"/>
          <w:color w:val="auto"/>
        </w:rPr>
      </w:pPr>
    </w:p>
    <w:p>
      <w:pPr>
        <w:ind w:left="480" w:right="120" w:hanging="472"/>
        <w:spacing w:after="0" w:line="282"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b w:val="1"/>
          <w:bCs w:val="1"/>
          <w:color w:val="auto"/>
        </w:rPr>
        <w:t>“SANOFI-AVENTIS”</w:t>
      </w:r>
      <w:r>
        <w:rPr>
          <w:rFonts w:ascii="Arial" w:cs="Arial" w:eastAsia="Arial" w:hAnsi="Arial"/>
          <w:sz w:val="18"/>
          <w:szCs w:val="18"/>
          <w:color w:val="auto"/>
        </w:rPr>
        <w:t xml:space="preserve"> means Aventis Pharmaceuticals Inc., a corporation organized under the laws of the state of Delaware, having a principal place of business at 55 Corporate Drive, Bridgewater, New Jersey 08807 and its AFFILIATES.</w:t>
      </w:r>
    </w:p>
    <w:p>
      <w:pPr>
        <w:spacing w:after="0" w:line="67" w:lineRule="exact"/>
        <w:rPr>
          <w:sz w:val="20"/>
          <w:szCs w:val="20"/>
          <w:color w:val="auto"/>
        </w:rPr>
      </w:pPr>
    </w:p>
    <w:p>
      <w:pPr>
        <w:ind w:left="480" w:right="80" w:hanging="472"/>
        <w:spacing w:after="0" w:line="272" w:lineRule="auto"/>
        <w:rPr>
          <w:sz w:val="20"/>
          <w:szCs w:val="20"/>
          <w:color w:val="auto"/>
        </w:rPr>
      </w:pPr>
      <w:r>
        <w:rPr>
          <w:rFonts w:ascii="Arial" w:cs="Arial" w:eastAsia="Arial" w:hAnsi="Arial"/>
          <w:sz w:val="17"/>
          <w:szCs w:val="17"/>
          <w:color w:val="auto"/>
        </w:rPr>
        <w:t xml:space="preserve">1.17. </w:t>
      </w:r>
      <w:r>
        <w:rPr>
          <w:rFonts w:ascii="Arial" w:cs="Arial" w:eastAsia="Arial" w:hAnsi="Arial"/>
          <w:sz w:val="17"/>
          <w:szCs w:val="17"/>
          <w:b w:val="1"/>
          <w:bCs w:val="1"/>
          <w:color w:val="auto"/>
        </w:rPr>
        <w:t>“SPECIAL AGREEMENTS”</w:t>
      </w:r>
      <w:r>
        <w:rPr>
          <w:rFonts w:ascii="Arial" w:cs="Arial" w:eastAsia="Arial" w:hAnsi="Arial"/>
          <w:sz w:val="17"/>
          <w:szCs w:val="17"/>
          <w:color w:val="auto"/>
        </w:rPr>
        <w:t xml:space="preserve"> means each of (i) the Non-Exclusive License and Material Transfer Agreement, dated as of February 5, 2007, by and between REGENERON and ASTRAZENECA, (ii) the Non-Exclusive License and Material Transfer Agreement, dated as of March 30, 2007, by and between REGENERON and ASTELLAS, (iii) the Discovery and Preclinical Development Agreement, the License and Collaboration Agreement, and the Stock Purchase Agreement, each dated as of November 28, 2007, between REGENERON and SANOFI-AVENTIS, (iv) with respect to each agreement described in (i), (ii) and (iii) above, any amendments, modifications, or extensions thereof, and (v) all other agreements in the FIELD OF USE entered into with these parties, including without limitation, any license or material transfer agreement with SANOFI-AVENTIS, including those agreements contemplated in sections 2.15, 2.16 and 2.17 of the November 28, 2007 Discovery and Preclinical Development Agreement between REGENERON and SANOFI-AVENTIS.</w:t>
      </w:r>
    </w:p>
    <w:p>
      <w:pPr>
        <w:spacing w:after="0" w:line="78" w:lineRule="exact"/>
        <w:rPr>
          <w:sz w:val="20"/>
          <w:szCs w:val="20"/>
          <w:color w:val="auto"/>
        </w:rPr>
      </w:pPr>
    </w:p>
    <w:p>
      <w:pPr>
        <w:ind w:left="480" w:right="460" w:hanging="472"/>
        <w:spacing w:after="0" w:line="282"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b w:val="1"/>
          <w:bCs w:val="1"/>
          <w:color w:val="auto"/>
        </w:rPr>
        <w:t>“THIRD PARTY (IES)”</w:t>
      </w:r>
      <w:r>
        <w:rPr>
          <w:rFonts w:ascii="Arial" w:cs="Arial" w:eastAsia="Arial" w:hAnsi="Arial"/>
          <w:sz w:val="18"/>
          <w:szCs w:val="18"/>
          <w:color w:val="auto"/>
        </w:rPr>
        <w:t xml:space="preserve"> means any and all persons, partnerships, corporations, joint ventures, companies, firms, or any other entities other than CELLECTIS, *****, REGENERON or any of their respective AFFILIATES.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b w:val="1"/>
          <w:bCs w:val="1"/>
          <w:color w:val="auto"/>
        </w:rPr>
        <w:t>“TERRITORY”</w:t>
      </w:r>
      <w:r>
        <w:rPr>
          <w:rFonts w:ascii="Arial" w:cs="Arial" w:eastAsia="Arial" w:hAnsi="Arial"/>
          <w:sz w:val="18"/>
          <w:szCs w:val="18"/>
          <w:color w:val="auto"/>
        </w:rPr>
        <w:t xml:space="preserve"> means any and all countries throughout the world.</w:t>
      </w:r>
    </w:p>
    <w:p>
      <w:pPr>
        <w:spacing w:after="0" w:line="131" w:lineRule="exact"/>
        <w:rPr>
          <w:sz w:val="20"/>
          <w:szCs w:val="20"/>
          <w:color w:val="auto"/>
        </w:rPr>
      </w:pPr>
    </w:p>
    <w:p>
      <w:pPr>
        <w:ind w:left="480" w:hanging="472"/>
        <w:spacing w:after="0" w:line="266" w:lineRule="auto"/>
        <w:rPr>
          <w:sz w:val="20"/>
          <w:szCs w:val="20"/>
          <w:color w:val="auto"/>
        </w:rPr>
      </w:pPr>
      <w:r>
        <w:rPr>
          <w:rFonts w:ascii="Arial" w:cs="Arial" w:eastAsia="Arial" w:hAnsi="Arial"/>
          <w:sz w:val="18"/>
          <w:szCs w:val="18"/>
          <w:color w:val="auto"/>
        </w:rPr>
        <w:t xml:space="preserve">1.20. </w:t>
      </w:r>
      <w:r>
        <w:rPr>
          <w:rFonts w:ascii="Arial" w:cs="Arial" w:eastAsia="Arial" w:hAnsi="Arial"/>
          <w:sz w:val="18"/>
          <w:szCs w:val="18"/>
          <w:b w:val="1"/>
          <w:bCs w:val="1"/>
          <w:color w:val="auto"/>
        </w:rPr>
        <w:t>“VALID CLAIM”</w:t>
      </w:r>
      <w:r>
        <w:rPr>
          <w:rFonts w:ascii="Arial" w:cs="Arial" w:eastAsia="Arial" w:hAnsi="Arial"/>
          <w:sz w:val="18"/>
          <w:szCs w:val="18"/>
          <w:color w:val="auto"/>
        </w:rPr>
        <w:t xml:space="preserve"> means a claim in an issued and unexpired patent under the PATENTS, which has not been held unenforceable, invalid or unpatentable by a court or other government body having competent jurisdiction, and which has not been rendered unenforceable through disclaimer or otherwise.</w:t>
      </w:r>
    </w:p>
    <w:p>
      <w:pPr>
        <w:spacing w:after="0" w:line="82" w:lineRule="exact"/>
        <w:rPr>
          <w:sz w:val="20"/>
          <w:szCs w:val="20"/>
          <w:color w:val="auto"/>
        </w:rPr>
      </w:pPr>
    </w:p>
    <w:p>
      <w:pPr>
        <w:ind w:left="480" w:right="480" w:hanging="472"/>
        <w:spacing w:after="0" w:line="282"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b w:val="1"/>
          <w:bCs w:val="1"/>
          <w:color w:val="auto"/>
        </w:rPr>
        <w:t>“VELOCIGENE”</w:t>
      </w:r>
      <w:r>
        <w:rPr>
          <w:rFonts w:ascii="Arial" w:cs="Arial" w:eastAsia="Arial" w:hAnsi="Arial"/>
          <w:sz w:val="18"/>
          <w:szCs w:val="18"/>
          <w:color w:val="auto"/>
        </w:rPr>
        <w:t xml:space="preserve"> means any technology and know-how for genetically engineering pluripotent, embryonic stem, or other cells that involve the deletion, modification, and/or insertion of genetic material from or into such cells.</w:t>
      </w:r>
    </w:p>
    <w:p>
      <w:pPr>
        <w:spacing w:after="0" w:line="67" w:lineRule="exact"/>
        <w:rPr>
          <w:sz w:val="20"/>
          <w:szCs w:val="20"/>
          <w:color w:val="auto"/>
        </w:rPr>
      </w:pPr>
    </w:p>
    <w:p>
      <w:pPr>
        <w:ind w:left="480" w:right="140" w:hanging="472"/>
        <w:spacing w:after="0" w:line="266"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b w:val="1"/>
          <w:bCs w:val="1"/>
          <w:color w:val="auto"/>
        </w:rPr>
        <w:t>“VELOCIGENE PRODUCT”</w:t>
      </w:r>
      <w:r>
        <w:rPr>
          <w:rFonts w:ascii="Arial" w:cs="Arial" w:eastAsia="Arial" w:hAnsi="Arial"/>
          <w:sz w:val="18"/>
          <w:szCs w:val="18"/>
          <w:color w:val="auto"/>
        </w:rPr>
        <w:t xml:space="preserve"> means, *********************************** in each case, the manufacture, use, sale, offer to sell, lease, transfer, import or export of which infringes a VALID CLAIM. For the purpose of this AGREEMENT, neither a VELOCIMMUNE PRODUCT nor a DERIVED PRODUCT shall be considered a VELOCIGENE PRODUCT.</w:t>
      </w:r>
    </w:p>
    <w:p>
      <w:pPr>
        <w:spacing w:after="0" w:line="82" w:lineRule="exact"/>
        <w:rPr>
          <w:sz w:val="20"/>
          <w:szCs w:val="20"/>
          <w:color w:val="auto"/>
        </w:rPr>
      </w:pPr>
    </w:p>
    <w:p>
      <w:pPr>
        <w:ind w:left="480" w:right="60" w:hanging="472"/>
        <w:spacing w:after="0" w:line="282"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b w:val="1"/>
          <w:bCs w:val="1"/>
          <w:color w:val="auto"/>
        </w:rPr>
        <w:t>“VELOCIGENE SERVICE”</w:t>
      </w:r>
      <w:r>
        <w:rPr>
          <w:rFonts w:ascii="Arial" w:cs="Arial" w:eastAsia="Arial" w:hAnsi="Arial"/>
          <w:sz w:val="18"/>
          <w:szCs w:val="18"/>
          <w:color w:val="auto"/>
        </w:rPr>
        <w:t xml:space="preserve"> means a contract with a THIRD PARTY pursuant to which REGENERON or its AFFILIATE is engaged specifically to make or use a</w:t>
      </w:r>
    </w:p>
    <w:p>
      <w:pPr>
        <w:spacing w:after="0" w:line="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July 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4" w:name="page75"/>
    <w:bookmarkEnd w:id="74"/>
    <w:p>
      <w:pPr>
        <w:ind w:left="480" w:right="680"/>
        <w:spacing w:after="0" w:line="277" w:lineRule="auto"/>
        <w:rPr>
          <w:sz w:val="20"/>
          <w:szCs w:val="20"/>
          <w:color w:val="auto"/>
        </w:rPr>
      </w:pPr>
      <w:r>
        <w:rPr>
          <w:rFonts w:ascii="Arial" w:cs="Arial" w:eastAsia="Arial" w:hAnsi="Arial"/>
          <w:sz w:val="18"/>
          <w:szCs w:val="18"/>
          <w:color w:val="auto"/>
        </w:rPr>
        <w:t>VELOCIGENE PRODUCT. For the purpose of this AGREEMENT, a VELOCIMMUNE SERVICE shall not be considered a VELOCIGENE SERVICE.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b w:val="1"/>
          <w:bCs w:val="1"/>
          <w:color w:val="auto"/>
        </w:rPr>
        <w:t>“VELOCIMMUNE”</w:t>
      </w:r>
      <w:r>
        <w:rPr>
          <w:rFonts w:ascii="Arial" w:cs="Arial" w:eastAsia="Arial" w:hAnsi="Arial"/>
          <w:sz w:val="18"/>
          <w:szCs w:val="18"/>
          <w:color w:val="auto"/>
        </w:rPr>
        <w:t xml:space="preserve"> means ***************************************.</w:t>
      </w:r>
    </w:p>
    <w:p>
      <w:pPr>
        <w:spacing w:after="0" w:line="131" w:lineRule="exact"/>
        <w:rPr>
          <w:sz w:val="20"/>
          <w:szCs w:val="20"/>
          <w:color w:val="auto"/>
        </w:rPr>
      </w:pPr>
    </w:p>
    <w:p>
      <w:pPr>
        <w:ind w:left="480" w:right="260" w:hanging="472"/>
        <w:spacing w:after="0" w:line="266"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b w:val="1"/>
          <w:bCs w:val="1"/>
          <w:color w:val="auto"/>
        </w:rPr>
        <w:t>“VELOCIMMUNE PRODUCT”</w:t>
      </w:r>
      <w:r>
        <w:rPr>
          <w:rFonts w:ascii="Arial" w:cs="Arial" w:eastAsia="Arial" w:hAnsi="Arial"/>
          <w:sz w:val="18"/>
          <w:szCs w:val="18"/>
          <w:color w:val="auto"/>
        </w:rPr>
        <w:t xml:space="preserve"> means *********************************************, the manufacture, use, sale, offer to sell, lease, transfer, import or export of which infringes a VALID CLAIM. For the purposes of this AGREEMENT, neither a VELOCIGENE PRODUCT nor a DERIVED PRODUCT shall be considered a VELOCIMMUNE PRODUCT.</w:t>
      </w:r>
    </w:p>
    <w:p>
      <w:pPr>
        <w:spacing w:after="0" w:line="82" w:lineRule="exact"/>
        <w:rPr>
          <w:sz w:val="20"/>
          <w:szCs w:val="20"/>
          <w:color w:val="auto"/>
        </w:rPr>
      </w:pPr>
    </w:p>
    <w:p>
      <w:pPr>
        <w:jc w:val="both"/>
        <w:ind w:left="480" w:right="700" w:hanging="472"/>
        <w:spacing w:after="0" w:line="266"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b w:val="1"/>
          <w:bCs w:val="1"/>
          <w:color w:val="auto"/>
        </w:rPr>
        <w:t>“VELOCIMMUNE SERVICE”</w:t>
      </w:r>
      <w:r>
        <w:rPr>
          <w:rFonts w:ascii="Arial" w:cs="Arial" w:eastAsia="Arial" w:hAnsi="Arial"/>
          <w:sz w:val="18"/>
          <w:szCs w:val="18"/>
          <w:color w:val="auto"/>
        </w:rPr>
        <w:t xml:space="preserve"> means a contract with a THIRD PARTY pursuant to which REGENERON or its AFFILIATES is engaged specifically to make or use a VELOCIMMUNE PRODUCT. For the purpose of this AGREEMENT, a VELOCIGENE SERVICE shall not be considered a VELOCIMMUNE SERVICE.</w:t>
      </w:r>
    </w:p>
    <w:p>
      <w:pPr>
        <w:spacing w:after="0" w:line="7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trademarks “VELOCIGENE” and “VELOCIMMUNE” are used in these defined terms for convenience only, it being understood that REGENERON may use any other brand name for the products and technologies referred to in this AGREEMENT.</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ARTICLE 2 – LICENSE GRANT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2.1.</w:t>
      </w:r>
    </w:p>
    <w:p>
      <w:pPr>
        <w:spacing w:after="0" w:line="117" w:lineRule="exact"/>
        <w:rPr>
          <w:sz w:val="20"/>
          <w:szCs w:val="20"/>
          <w:color w:val="auto"/>
        </w:rPr>
      </w:pPr>
    </w:p>
    <w:p>
      <w:pPr>
        <w:ind w:left="1120" w:right="260" w:hanging="437"/>
        <w:spacing w:after="0" w:line="302" w:lineRule="auto"/>
        <w:tabs>
          <w:tab w:leader="none" w:pos="11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Subject to the terms and conditions of this AGREEMENT, CELLECTIS hereby grants to REGENERON and its AFFILIATES a non-transferable, non-exclusive license under the PATENTS in the FIELD OF USE in the TERRITORY to practice the PATENTS, including to make, have made, use, transfer, offer to sell, sell, lease, import, or export LICENSED PRODUCTS, the LICENSED PROCESS and LICENSED SERVICES, without the right to grant sub-licenses under the PATENTS, except as set forth in Section 2.2.</w:t>
      </w:r>
    </w:p>
    <w:p>
      <w:pPr>
        <w:spacing w:after="0" w:line="59" w:lineRule="exact"/>
        <w:rPr>
          <w:rFonts w:ascii="Arial" w:cs="Arial" w:eastAsia="Arial" w:hAnsi="Arial"/>
          <w:sz w:val="16"/>
          <w:szCs w:val="16"/>
          <w:color w:val="auto"/>
        </w:rPr>
      </w:pPr>
    </w:p>
    <w:p>
      <w:pPr>
        <w:ind w:left="1120" w:hanging="437"/>
        <w:spacing w:after="0" w:line="297" w:lineRule="auto"/>
        <w:tabs>
          <w:tab w:leader="none" w:pos="11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 the avoidance of doubt it is understood and agreed that the license right granted in Section 2.1(a) includes: (1) the right for REGENERON to make, have made, use, transfer, offer to sell, sell, lease, import or export LICENSED PRODUCTS and LICENSED SERVICES to or for THIRD PARTIES in the FIELD OF USE to enable such THIRD PARTIES to make, have made, use, transfer, offer to sell, sell, lease, import or export REGENERON PRODUCTS, or DERIVED PRODUCTS; and (2) the right for REGENERON to make, have made, use, transfer, offer to sell, sell, lease, import or export DERIVED PRODUCTS on or behalf of THIRD PARTIES in the FIELD OF USE.</w:t>
      </w:r>
    </w:p>
    <w:p>
      <w:pPr>
        <w:spacing w:after="0" w:line="63" w:lineRule="exact"/>
        <w:rPr>
          <w:rFonts w:ascii="Arial" w:cs="Arial" w:eastAsia="Arial" w:hAnsi="Arial"/>
          <w:sz w:val="16"/>
          <w:szCs w:val="16"/>
          <w:color w:val="auto"/>
        </w:rPr>
      </w:pPr>
    </w:p>
    <w:p>
      <w:pPr>
        <w:jc w:val="both"/>
        <w:ind w:left="1120" w:right="280" w:hanging="437"/>
        <w:spacing w:after="0" w:line="286" w:lineRule="auto"/>
        <w:tabs>
          <w:tab w:leader="none" w:pos="11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 case REGENERON grants to THIRD PARTIES a license (or sublicense) of other patents controlled by REGENERON, solely for use in connection with establishing a VELOCIGENE platform, CELLECTIS will offer such THIRD PARTIES a non exclusive license under the PATENTS with the same terms and conditions as granted to REGENERON in the ORIGINAL AGREEMENT.</w:t>
      </w:r>
    </w:p>
    <w:p>
      <w:pPr>
        <w:spacing w:after="0" w:line="5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July 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75" w:name="page76"/>
    <w:bookmarkEnd w:id="75"/>
    <w:p>
      <w:pPr>
        <w:ind w:left="480" w:right="160" w:hanging="472"/>
        <w:spacing w:after="0" w:line="288" w:lineRule="auto"/>
        <w:tabs>
          <w:tab w:leader="none" w:pos="4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Unless the contrary is clearly indicated by the text hereof, in every instance of this AGREEMENT, it is understood that reference to REGENERON includes AFFILIATES of REGENERON as well and that REGENERON may extend to its AFFILIATES by sublicense the benefits of this LICENSE provided that REGENERON remains responsible to CELLECTIS with regard to all obligations placed upon REGENERON pursuant to this</w:t>
      </w:r>
    </w:p>
    <w:p>
      <w:pPr>
        <w:ind w:left="480"/>
        <w:spacing w:after="0"/>
        <w:rPr>
          <w:sz w:val="20"/>
          <w:szCs w:val="20"/>
          <w:color w:val="auto"/>
        </w:rPr>
      </w:pPr>
      <w:r>
        <w:rPr>
          <w:rFonts w:ascii="Arial" w:cs="Arial" w:eastAsia="Arial" w:hAnsi="Arial"/>
          <w:sz w:val="18"/>
          <w:szCs w:val="18"/>
          <w:color w:val="auto"/>
        </w:rPr>
        <w:t>AGREEMENT.</w:t>
      </w:r>
    </w:p>
    <w:p>
      <w:pPr>
        <w:spacing w:after="0" w:line="116"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For the purpose of this AGREEMENT, it is understood and agreed that the license grant in this Article 2 includes the following: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2.3.1 REGENERON is entitled to make, have made, use, transfer, offer to sell, sell, lease, import or export DERIVED PRODUCTS;</w:t>
      </w:r>
    </w:p>
    <w:p>
      <w:pPr>
        <w:spacing w:after="0" w:line="131" w:lineRule="exact"/>
        <w:rPr>
          <w:sz w:val="20"/>
          <w:szCs w:val="20"/>
          <w:color w:val="auto"/>
        </w:rPr>
      </w:pPr>
    </w:p>
    <w:p>
      <w:pPr>
        <w:ind w:left="480" w:right="440" w:hanging="472"/>
        <w:spacing w:after="0" w:line="277" w:lineRule="auto"/>
        <w:rPr>
          <w:sz w:val="20"/>
          <w:szCs w:val="20"/>
          <w:color w:val="auto"/>
        </w:rPr>
      </w:pPr>
      <w:r>
        <w:rPr>
          <w:rFonts w:ascii="Arial" w:cs="Arial" w:eastAsia="Arial" w:hAnsi="Arial"/>
          <w:sz w:val="18"/>
          <w:szCs w:val="18"/>
          <w:color w:val="auto"/>
        </w:rPr>
        <w:t>2.3.2 REGENERON is entitled to grant licenses on its intellectual property covering DERIVED PRODUCTS and LICENSED PRODUCTS and to sell DERIVED PRODUCTS and LICENSED PRODUCTS;</w:t>
      </w:r>
    </w:p>
    <w:p>
      <w:pPr>
        <w:spacing w:after="0" w:line="76" w:lineRule="exact"/>
        <w:rPr>
          <w:sz w:val="20"/>
          <w:szCs w:val="20"/>
          <w:color w:val="auto"/>
        </w:rPr>
      </w:pPr>
    </w:p>
    <w:p>
      <w:pPr>
        <w:ind w:left="480" w:right="80" w:hanging="472"/>
        <w:spacing w:after="0" w:line="288" w:lineRule="auto"/>
        <w:rPr>
          <w:sz w:val="20"/>
          <w:szCs w:val="20"/>
          <w:color w:val="auto"/>
        </w:rPr>
      </w:pPr>
      <w:r>
        <w:rPr>
          <w:rFonts w:ascii="Arial" w:cs="Arial" w:eastAsia="Arial" w:hAnsi="Arial"/>
          <w:sz w:val="16"/>
          <w:szCs w:val="16"/>
          <w:color w:val="auto"/>
        </w:rPr>
        <w:t>2.3.3 REGENERON, ASTELLAS, ASTRAZENECA, and SANOFI-AVENTIS, as well as the THIRD PARTIES having received REGENERON PRODUCTS or DERIVED PRODUCTS in accordance with the terms of this AGREEMENT shall have the right (i) to make, have made, use, transfer, offer to sell, sell, lease, import or export DERIVED PRODUCTS and (ii) to practice the LICENSED PROCESS to use, breed, derive and replicate</w:t>
      </w:r>
    </w:p>
    <w:p>
      <w:pPr>
        <w:ind w:left="480"/>
        <w:spacing w:after="0"/>
        <w:rPr>
          <w:sz w:val="20"/>
          <w:szCs w:val="20"/>
          <w:color w:val="auto"/>
        </w:rPr>
      </w:pPr>
      <w:r>
        <w:rPr>
          <w:rFonts w:ascii="Arial" w:cs="Arial" w:eastAsia="Arial" w:hAnsi="Arial"/>
          <w:sz w:val="18"/>
          <w:szCs w:val="18"/>
          <w:color w:val="auto"/>
        </w:rPr>
        <w:t>REGENERON PRODUCTS.</w:t>
      </w:r>
    </w:p>
    <w:p>
      <w:pPr>
        <w:spacing w:after="0" w:line="116" w:lineRule="exact"/>
        <w:rPr>
          <w:sz w:val="20"/>
          <w:szCs w:val="20"/>
          <w:color w:val="auto"/>
        </w:rPr>
      </w:pPr>
    </w:p>
    <w:p>
      <w:pPr>
        <w:ind w:left="480" w:hanging="472"/>
        <w:spacing w:after="0" w:line="279" w:lineRule="auto"/>
        <w:tabs>
          <w:tab w:leader="none" w:pos="4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7"/>
          <w:szCs w:val="17"/>
          <w:color w:val="auto"/>
        </w:rPr>
        <w:t>For the purposes of settlement of the dispute between the PARTIES regarding the interpretation of the commitments made and rights granted in the ORIGINAL AGREEMENT, and based on the representations made by REGENERON in Section 10.8 of this AGREEMENT, it is agreed that the rights and licenses set forth in this AGREEMENT were included in the ORIGINAL AGREEMENT. Therefore the rights and licenses set forth in this AGREEMENT were granted as of December 12, 2003 and continue to exist through the duration specified in Article 11.</w:t>
      </w:r>
    </w:p>
    <w:p>
      <w:pPr>
        <w:spacing w:after="0" w:line="77"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No Other Licenses. No right or licenses are granted hereunder, except as expressly and specifically set forth in this Section 2.</w:t>
      </w:r>
    </w:p>
    <w:p>
      <w:pPr>
        <w:spacing w:after="0" w:line="127" w:lineRule="exact"/>
        <w:rPr>
          <w:sz w:val="20"/>
          <w:szCs w:val="20"/>
          <w:color w:val="auto"/>
        </w:rPr>
      </w:pPr>
    </w:p>
    <w:p>
      <w:pPr>
        <w:ind w:left="480"/>
        <w:spacing w:after="0"/>
        <w:rPr>
          <w:sz w:val="20"/>
          <w:szCs w:val="20"/>
          <w:color w:val="auto"/>
        </w:rPr>
      </w:pPr>
      <w:r>
        <w:rPr>
          <w:rFonts w:ascii="Arial" w:cs="Arial" w:eastAsia="Arial" w:hAnsi="Arial"/>
          <w:sz w:val="18"/>
          <w:szCs w:val="18"/>
          <w:b w:val="1"/>
          <w:bCs w:val="1"/>
          <w:u w:val="single" w:color="auto"/>
          <w:color w:val="auto"/>
        </w:rPr>
        <w:t>ARTICLE 3– FINANCIAL CONDITIONS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full consideration of the rights and privileges granted under this AGREEMENT, REGENERON agrees to pay to CELLECTIS any and all of the amounts provided under this Article according to the terms of payment provided here below.</w:t>
      </w:r>
    </w:p>
    <w:p>
      <w:pPr>
        <w:spacing w:after="0" w:line="62" w:lineRule="exact"/>
        <w:rPr>
          <w:sz w:val="20"/>
          <w:szCs w:val="20"/>
          <w:color w:val="auto"/>
        </w:rPr>
      </w:pPr>
    </w:p>
    <w:p>
      <w:pPr>
        <w:ind w:left="1120" w:right="20" w:hanging="437"/>
        <w:spacing w:after="0" w:line="285" w:lineRule="auto"/>
        <w:tabs>
          <w:tab w:leader="none" w:pos="11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REGENERON shall pay to CELLECTIS a fixed, non-refundable lump sum payment of US$12,450,000 (TWELVE MILLION FOUR HUNDRED FIFTY THOUSAND DOLLARS), within ten (10) days from its receipt of the signed INSTITUT PASTEUR Letter. It is agreed that this lump sum payment shall satisfy any and all payment obligations to CELLECTIS arising under this AGREEMENT with respect to the SPECIAL AGREEMENTS and that notwithstanding anything herein to the contrary, REGENERON shall not be required to make any further royalty or other payments hereunder, under the ORIGINAL AGREEMENT, or otherwise (whether under contract or law) with respect to the</w:t>
      </w:r>
    </w:p>
    <w:p>
      <w:pPr>
        <w:spacing w:after="0" w:line="2" w:lineRule="exact"/>
        <w:rPr>
          <w:rFonts w:ascii="Arial" w:cs="Arial" w:eastAsia="Arial" w:hAnsi="Arial"/>
          <w:sz w:val="16"/>
          <w:szCs w:val="16"/>
          <w:color w:val="auto"/>
        </w:rPr>
      </w:pPr>
    </w:p>
    <w:p>
      <w:pPr>
        <w:ind w:left="1120"/>
        <w:spacing w:after="0"/>
        <w:rPr>
          <w:rFonts w:ascii="Arial" w:cs="Arial" w:eastAsia="Arial" w:hAnsi="Arial"/>
          <w:sz w:val="16"/>
          <w:szCs w:val="16"/>
          <w:color w:val="auto"/>
        </w:rPr>
      </w:pPr>
      <w:r>
        <w:rPr>
          <w:rFonts w:ascii="Arial" w:cs="Arial" w:eastAsia="Arial" w:hAnsi="Arial"/>
          <w:sz w:val="18"/>
          <w:szCs w:val="18"/>
          <w:color w:val="auto"/>
        </w:rPr>
        <w:t>SPECIAL AGREEMENTS.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July 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76" w:name="page77"/>
    <w:bookmarkEnd w:id="76"/>
    <w:p>
      <w:pPr>
        <w:ind w:left="437" w:right="100" w:hanging="437"/>
        <w:spacing w:after="0" w:line="273" w:lineRule="auto"/>
        <w:tabs>
          <w:tab w:leader="none" w:pos="437"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REGENERON shall pay to CELLECTIS a royalty of **************************** made after December 31, 2007 of any VELOCIGENE PRODUCTS and/or VELOCIGENE SERVICES by REGENERON within the TERRITORY. Notwithstanding the foregoing no royalties shall be payable to CELLECTIS under this subsection (b) under the following circumstances: NET SALES of VELOCIGENE PRODUCTS or VELOCIGENE SERVICES (i) pursuant to any agreement made with THIRD PARTIES receiving VELOCIMMUNE PRODUCTS or VELOCIMMUNE SERVICES subject to the royalty obligations in subsection 3(c) below, or (ii) pursuant to any of the SPECIAL AGREEMENTS. The payments specified in this subsection (b) are subject to and limited by subsection 3(1).</w:t>
      </w:r>
    </w:p>
    <w:p>
      <w:pPr>
        <w:spacing w:after="0" w:line="83" w:lineRule="exact"/>
        <w:rPr>
          <w:rFonts w:ascii="Arial" w:cs="Arial" w:eastAsia="Arial" w:hAnsi="Arial"/>
          <w:sz w:val="17"/>
          <w:szCs w:val="17"/>
          <w:color w:val="auto"/>
        </w:rPr>
      </w:pPr>
    </w:p>
    <w:p>
      <w:pPr>
        <w:ind w:left="437" w:hanging="437"/>
        <w:spacing w:after="0"/>
        <w:tabs>
          <w:tab w:leader="none" w:pos="437"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Subject to the terms of the second sentence of this subsection (c), REGENERON shall pay to CELLECTIS a royalty of</w:t>
      </w:r>
    </w:p>
    <w:p>
      <w:pPr>
        <w:spacing w:after="0" w:line="23" w:lineRule="exact"/>
        <w:rPr>
          <w:rFonts w:ascii="Arial" w:cs="Arial" w:eastAsia="Arial" w:hAnsi="Arial"/>
          <w:sz w:val="18"/>
          <w:szCs w:val="18"/>
          <w:color w:val="auto"/>
        </w:rPr>
      </w:pPr>
    </w:p>
    <w:p>
      <w:pPr>
        <w:ind w:left="437"/>
        <w:spacing w:after="0" w:line="268" w:lineRule="auto"/>
        <w:rPr>
          <w:rFonts w:ascii="Arial" w:cs="Arial" w:eastAsia="Arial" w:hAnsi="Arial"/>
          <w:sz w:val="18"/>
          <w:szCs w:val="18"/>
          <w:color w:val="auto"/>
        </w:rPr>
      </w:pPr>
      <w:r>
        <w:rPr>
          <w:rFonts w:ascii="Arial" w:cs="Arial" w:eastAsia="Arial" w:hAnsi="Arial"/>
          <w:sz w:val="17"/>
          <w:szCs w:val="17"/>
          <w:color w:val="auto"/>
        </w:rPr>
        <w:t>******************************* made after December 31, 2007 of any VELOCIMMUNE PRODUCTS and/or VELOCIMMUNE SERVICES by REGENERON made within the TERRITORY (other than any such NET SALE pursuant to any of the SPECIAL AGREEMENTS). Notwithstanding the foregoing, if under an agreement with THIRD PARTIES, REGENERON provides services or sells, licenses, leases, or transfers rights in addition to a VELOCIMMUNE PRODUCT or VELOCIMMUNE SERVICE, then REGENERON, at its option, may satisfy its obligations under this subsection (c) with respect to such agreement(s) either (i) by making within thirty (30) days from the effective date of such agreement (s) ***************************************** in consideration of the rights granted on the LICENSED PROCESS and the payments attributable to the NET SALES of the applicable VELOCIMMUNE PRODUCTS or VELOCIMMUNE SERVICES. By way of example, it is understood and agreed that VELOCIMMUNE SERVICES may be sold on a fee-for-service basis or as part of a collaboration agreement where REGENERON is being paid to provide VELOCIMMUNE SERVICES along with other rights and services. The payments specified in this subsection (c) are subject to and limited by subsection 3(1).</w:t>
      </w:r>
    </w:p>
    <w:p>
      <w:pPr>
        <w:spacing w:after="0" w:line="85" w:lineRule="exact"/>
        <w:rPr>
          <w:rFonts w:ascii="Arial" w:cs="Arial" w:eastAsia="Arial" w:hAnsi="Arial"/>
          <w:sz w:val="18"/>
          <w:szCs w:val="18"/>
          <w:color w:val="auto"/>
        </w:rPr>
      </w:pPr>
    </w:p>
    <w:p>
      <w:pPr>
        <w:ind w:left="437" w:hanging="437"/>
        <w:spacing w:after="0"/>
        <w:tabs>
          <w:tab w:leader="none" w:pos="437"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if under any agreement with a THIRD PARTY, *********************</w:t>
      </w:r>
    </w:p>
    <w:p>
      <w:pPr>
        <w:spacing w:after="0" w:line="117" w:lineRule="exact"/>
        <w:rPr>
          <w:rFonts w:ascii="Arial" w:cs="Arial" w:eastAsia="Arial" w:hAnsi="Arial"/>
          <w:sz w:val="18"/>
          <w:szCs w:val="18"/>
          <w:color w:val="auto"/>
        </w:rPr>
      </w:pPr>
    </w:p>
    <w:p>
      <w:pPr>
        <w:ind w:left="677" w:hanging="447"/>
        <w:spacing w:after="0"/>
        <w:tabs>
          <w:tab w:leader="none" w:pos="677" w:val="left"/>
        </w:tabs>
        <w:numPr>
          <w:ilvl w:val="1"/>
          <w:numId w:val="19"/>
        </w:numPr>
        <w:rPr>
          <w:rFonts w:ascii="Arial" w:cs="Arial" w:eastAsia="Arial" w:hAnsi="Arial"/>
          <w:sz w:val="18"/>
          <w:szCs w:val="18"/>
          <w:color w:val="auto"/>
        </w:rPr>
      </w:pP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717" w:hanging="487"/>
        <w:spacing w:after="0"/>
        <w:tabs>
          <w:tab w:leader="none" w:pos="717" w:val="left"/>
        </w:tabs>
        <w:numPr>
          <w:ilvl w:val="1"/>
          <w:numId w:val="19"/>
        </w:numPr>
        <w:rPr>
          <w:rFonts w:ascii="Arial" w:cs="Arial" w:eastAsia="Arial" w:hAnsi="Arial"/>
          <w:sz w:val="18"/>
          <w:szCs w:val="18"/>
          <w:color w:val="auto"/>
        </w:rPr>
      </w:pPr>
      <w:r>
        <w:rPr>
          <w:rFonts w:ascii="Arial" w:cs="Arial" w:eastAsia="Arial" w:hAnsi="Arial"/>
          <w:sz w:val="18"/>
          <w:szCs w:val="18"/>
          <w:color w:val="auto"/>
        </w:rPr>
        <w:t>********************************** then REGENERON shall pay to CELLECTIS</w:t>
      </w:r>
    </w:p>
    <w:p>
      <w:pPr>
        <w:spacing w:after="0" w:line="23" w:lineRule="exact"/>
        <w:rPr>
          <w:rFonts w:ascii="Arial" w:cs="Arial" w:eastAsia="Arial" w:hAnsi="Arial"/>
          <w:sz w:val="18"/>
          <w:szCs w:val="18"/>
          <w:color w:val="auto"/>
        </w:rPr>
      </w:pPr>
    </w:p>
    <w:p>
      <w:pPr>
        <w:ind w:left="237" w:right="620"/>
        <w:spacing w:after="0" w:line="261" w:lineRule="auto"/>
        <w:rPr>
          <w:rFonts w:ascii="Arial" w:cs="Arial" w:eastAsia="Arial" w:hAnsi="Arial"/>
          <w:sz w:val="18"/>
          <w:szCs w:val="18"/>
          <w:color w:val="auto"/>
        </w:rPr>
      </w:pPr>
      <w:r>
        <w:rPr>
          <w:rFonts w:ascii="Arial" w:cs="Arial" w:eastAsia="Arial" w:hAnsi="Arial"/>
          <w:sz w:val="18"/>
          <w:szCs w:val="18"/>
          <w:color w:val="auto"/>
        </w:rPr>
        <w:t>*************************************************. The payments specified in this subsection (d) are subject to and limited by subsection 3(1).</w:t>
      </w:r>
    </w:p>
    <w:p>
      <w:pPr>
        <w:spacing w:after="0" w:line="75" w:lineRule="exact"/>
        <w:rPr>
          <w:rFonts w:ascii="Arial" w:cs="Arial" w:eastAsia="Arial" w:hAnsi="Arial"/>
          <w:sz w:val="18"/>
          <w:szCs w:val="18"/>
          <w:color w:val="auto"/>
        </w:rPr>
      </w:pPr>
    </w:p>
    <w:p>
      <w:pPr>
        <w:ind w:left="437" w:right="400" w:hanging="437"/>
        <w:spacing w:after="0" w:line="264" w:lineRule="auto"/>
        <w:tabs>
          <w:tab w:leader="none" w:pos="437"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REGENERON shall pay to CELLECTIS a fee of ******************* for any transfer free of charge of VELOCIGENE PRODUCTS and/or VELOCIGENE SERVICE to any academic, non-profit entity within the TERRITORY. The transfer fee(s) shall be payable to CELLECTIS annually in accordance with Section 5.1.</w:t>
      </w:r>
    </w:p>
    <w:p>
      <w:pPr>
        <w:spacing w:after="0" w:line="69" w:lineRule="exact"/>
        <w:rPr>
          <w:sz w:val="20"/>
          <w:szCs w:val="20"/>
          <w:color w:val="auto"/>
        </w:rPr>
      </w:pPr>
    </w:p>
    <w:p>
      <w:pPr>
        <w:ind w:left="4577"/>
        <w:spacing w:after="0"/>
        <w:rPr>
          <w:sz w:val="20"/>
          <w:szCs w:val="20"/>
          <w:color w:val="auto"/>
        </w:rPr>
      </w:pPr>
      <w:r>
        <w:rPr>
          <w:rFonts w:ascii="Arial" w:cs="Arial" w:eastAsia="Arial" w:hAnsi="Arial"/>
          <w:sz w:val="18"/>
          <w:szCs w:val="18"/>
          <w:b w:val="1"/>
          <w:bCs w:val="1"/>
          <w:color w:val="auto"/>
        </w:rPr>
        <w:t>July 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409575</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97"/>
          </w:cols>
          <w:pgMar w:left="923" w:top="935" w:right="279" w:bottom="1440" w:gutter="0" w:footer="0" w:header="0"/>
        </w:sectPr>
      </w:pPr>
    </w:p>
    <w:bookmarkStart w:id="77" w:name="page78"/>
    <w:bookmarkEnd w:id="77"/>
    <w:p>
      <w:pPr>
        <w:ind w:left="1120" w:hanging="437"/>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REGENERON shall pay to CELLECTIS an annual success fee</w:t>
      </w:r>
      <w:r>
        <w:rPr>
          <w:rFonts w:ascii="Arial" w:cs="Arial" w:eastAsia="Arial" w:hAnsi="Arial"/>
          <w:sz w:val="18"/>
          <w:szCs w:val="18"/>
          <w:i w:val="1"/>
          <w:iCs w:val="1"/>
          <w:color w:val="auto"/>
        </w:rPr>
        <w:t>:</w:t>
      </w:r>
    </w:p>
    <w:p>
      <w:pPr>
        <w:spacing w:after="0" w:line="131" w:lineRule="exact"/>
        <w:rPr>
          <w:sz w:val="20"/>
          <w:szCs w:val="20"/>
          <w:color w:val="auto"/>
        </w:rPr>
      </w:pPr>
    </w:p>
    <w:p>
      <w:pPr>
        <w:ind w:left="1120" w:right="160" w:hanging="437"/>
        <w:spacing w:after="0" w:line="277" w:lineRule="auto"/>
        <w:tabs>
          <w:tab w:leader="none" w:pos="112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over *** VELOCIGENE PRODUCTS developed and produced by REGENERON in any calendar year and transferred to a THIRD PARTY and/or academic within one calendar year, REGENERON will pay to CELLECTIS a success fee of *******</w:t>
      </w:r>
    </w:p>
    <w:p>
      <w:pPr>
        <w:spacing w:after="0" w:line="75" w:lineRule="exact"/>
        <w:rPr>
          <w:rFonts w:ascii="Arial" w:cs="Arial" w:eastAsia="Arial" w:hAnsi="Arial"/>
          <w:sz w:val="18"/>
          <w:szCs w:val="18"/>
          <w:b w:val="1"/>
          <w:bCs w:val="1"/>
          <w:color w:val="auto"/>
        </w:rPr>
      </w:pPr>
    </w:p>
    <w:p>
      <w:pPr>
        <w:ind w:left="1120" w:right="180" w:hanging="437"/>
        <w:spacing w:after="0" w:line="308" w:lineRule="auto"/>
        <w:tabs>
          <w:tab w:leader="none" w:pos="1120" w:val="left"/>
        </w:tabs>
        <w:numPr>
          <w:ilvl w:val="0"/>
          <w:numId w:val="21"/>
        </w:numPr>
        <w:rPr>
          <w:rFonts w:ascii="Arial" w:cs="Arial" w:eastAsia="Arial" w:hAnsi="Arial"/>
          <w:sz w:val="17"/>
          <w:szCs w:val="17"/>
          <w:b w:val="1"/>
          <w:bCs w:val="1"/>
          <w:color w:val="auto"/>
        </w:rPr>
      </w:pPr>
      <w:r>
        <w:rPr>
          <w:rFonts w:ascii="Arial" w:cs="Arial" w:eastAsia="Arial" w:hAnsi="Arial"/>
          <w:sz w:val="17"/>
          <w:szCs w:val="17"/>
          <w:color w:val="auto"/>
        </w:rPr>
        <w:t>between ************* VELOCIGENE PRODUCTS developed and produced by REGENERON in any calendar year and transferred to a THIRD PARTY and/or academic within one calendar year, REGENERON will pay to CELLECTIS a success fee of ********</w:t>
      </w:r>
    </w:p>
    <w:p>
      <w:pPr>
        <w:spacing w:after="0" w:line="51" w:lineRule="exact"/>
        <w:rPr>
          <w:rFonts w:ascii="Arial" w:cs="Arial" w:eastAsia="Arial" w:hAnsi="Arial"/>
          <w:sz w:val="17"/>
          <w:szCs w:val="17"/>
          <w:b w:val="1"/>
          <w:bCs w:val="1"/>
          <w:color w:val="auto"/>
        </w:rPr>
      </w:pPr>
    </w:p>
    <w:p>
      <w:pPr>
        <w:ind w:left="1120" w:right="120" w:hanging="437"/>
        <w:spacing w:after="0" w:line="277" w:lineRule="auto"/>
        <w:tabs>
          <w:tab w:leader="none" w:pos="112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between ******* VELOCIGENE PRODUCTS developed and produced by REGENERON in any calendar year and transferred to a THIRD PARTY and/or academic within one calendar year, REGENERON will pay to CELLECTIS a success fee of ********</w:t>
      </w:r>
    </w:p>
    <w:p>
      <w:pPr>
        <w:spacing w:after="0" w:line="75" w:lineRule="exact"/>
        <w:rPr>
          <w:rFonts w:ascii="Arial" w:cs="Arial" w:eastAsia="Arial" w:hAnsi="Arial"/>
          <w:sz w:val="18"/>
          <w:szCs w:val="18"/>
          <w:b w:val="1"/>
          <w:bCs w:val="1"/>
          <w:color w:val="auto"/>
        </w:rPr>
      </w:pPr>
    </w:p>
    <w:p>
      <w:pPr>
        <w:ind w:left="1120" w:right="540" w:hanging="437"/>
        <w:spacing w:after="0" w:line="308" w:lineRule="auto"/>
        <w:tabs>
          <w:tab w:leader="none" w:pos="1120" w:val="left"/>
        </w:tabs>
        <w:numPr>
          <w:ilvl w:val="0"/>
          <w:numId w:val="21"/>
        </w:numPr>
        <w:rPr>
          <w:rFonts w:ascii="Arial" w:cs="Arial" w:eastAsia="Arial" w:hAnsi="Arial"/>
          <w:sz w:val="17"/>
          <w:szCs w:val="17"/>
          <w:b w:val="1"/>
          <w:bCs w:val="1"/>
          <w:color w:val="auto"/>
        </w:rPr>
      </w:pPr>
      <w:r>
        <w:rPr>
          <w:rFonts w:ascii="Arial" w:cs="Arial" w:eastAsia="Arial" w:hAnsi="Arial"/>
          <w:sz w:val="17"/>
          <w:szCs w:val="17"/>
          <w:color w:val="auto"/>
        </w:rPr>
        <w:t>between ********* VELOCIGENE PRODUCTS developed and produced by REGENERON in any calendar year and transferred to a THIRD PARTY and/or academic within one calendar year, REGENERON will pay to CELLECTIS a success fee of **********.</w:t>
      </w:r>
    </w:p>
    <w:p>
      <w:pPr>
        <w:spacing w:after="0" w:line="51" w:lineRule="exact"/>
        <w:rPr>
          <w:rFonts w:ascii="Arial" w:cs="Arial" w:eastAsia="Arial" w:hAnsi="Arial"/>
          <w:sz w:val="17"/>
          <w:szCs w:val="17"/>
          <w:b w:val="1"/>
          <w:bCs w:val="1"/>
          <w:color w:val="auto"/>
        </w:rPr>
      </w:pPr>
    </w:p>
    <w:p>
      <w:pPr>
        <w:ind w:left="1120" w:right="80" w:hanging="437"/>
        <w:spacing w:after="0" w:line="277" w:lineRule="auto"/>
        <w:tabs>
          <w:tab w:leader="none" w:pos="112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over **** VELOCIGENE PRODUCTS developed and produced by REGENERON in any calendar year and transferred to a THIRD PARTY and/or academic within one calendar year, REGENERON will pay to CELLECTIS a success fee of *********.</w:t>
      </w:r>
    </w:p>
    <w:p>
      <w:pPr>
        <w:spacing w:after="0" w:line="62"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Each annual success fee referred to above shall be paid once annually, no later than forty five (45) days after the end of the applicable calendar year in accordance with Section 5.1. For purposes of clarification, only one success fee referred to above shall be paid per calendar year. So if 101 VELOCIGENE PRODUCTS were transferred to THIRD PARTIES in a calendar year, REGENERON would be required to pay CELLECTIS a success fee of *********.</w:t>
      </w:r>
    </w:p>
    <w:p>
      <w:pPr>
        <w:spacing w:after="0" w:line="39" w:lineRule="exact"/>
        <w:rPr>
          <w:sz w:val="20"/>
          <w:szCs w:val="20"/>
          <w:color w:val="auto"/>
        </w:rPr>
      </w:pPr>
    </w:p>
    <w:p>
      <w:pPr>
        <w:ind w:left="1120" w:hanging="437"/>
        <w:spacing w:after="0" w:line="277" w:lineRule="auto"/>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When calculating payments due under subsections (e) and (f), the transfer of multiple cells or multiple animals with the same genetic mutation introduced by VELOCIGENE shall constitute the transfer of a single VELOCIGENE PRODUCT.</w:t>
      </w:r>
    </w:p>
    <w:p>
      <w:pPr>
        <w:spacing w:after="0" w:line="75" w:lineRule="exact"/>
        <w:rPr>
          <w:rFonts w:ascii="Arial" w:cs="Arial" w:eastAsia="Arial" w:hAnsi="Arial"/>
          <w:sz w:val="18"/>
          <w:szCs w:val="18"/>
          <w:color w:val="auto"/>
        </w:rPr>
      </w:pPr>
    </w:p>
    <w:p>
      <w:pPr>
        <w:ind w:left="1120" w:hanging="437"/>
        <w:spacing w:after="0"/>
        <w:tabs>
          <w:tab w:leader="none" w:pos="11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 annual fee of ************** excluding taxes, due within thirty (30) days of each anniversary date of the DATE OF SIGNATURE of this</w:t>
      </w:r>
    </w:p>
    <w:p>
      <w:pPr>
        <w:spacing w:after="0" w:line="34" w:lineRule="exact"/>
        <w:rPr>
          <w:rFonts w:ascii="Arial" w:cs="Arial" w:eastAsia="Arial" w:hAnsi="Arial"/>
          <w:sz w:val="17"/>
          <w:szCs w:val="17"/>
          <w:color w:val="auto"/>
        </w:rPr>
      </w:pPr>
    </w:p>
    <w:p>
      <w:pPr>
        <w:ind w:left="1120"/>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116" w:lineRule="exact"/>
        <w:rPr>
          <w:rFonts w:ascii="Arial" w:cs="Arial" w:eastAsia="Arial" w:hAnsi="Arial"/>
          <w:sz w:val="17"/>
          <w:szCs w:val="17"/>
          <w:color w:val="auto"/>
        </w:rPr>
      </w:pPr>
    </w:p>
    <w:p>
      <w:pPr>
        <w:ind w:left="1120" w:right="60" w:hanging="437"/>
        <w:spacing w:after="0" w:line="279" w:lineRule="auto"/>
        <w:tabs>
          <w:tab w:leader="none" w:pos="11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REGENERON shall pay to CELLECTIS a royalty of *********** of the actual amount of funds that REGENERON annually receives pursuant to the NIH GRANT. In consideration of the payment by REGENERON to CELLECTIS of this royalty, CELLECTIS agrees that, for the specific purposes of the NIH GRANT, such payment is full and complete compensation to CELLECTIS for any and all rights that CELLECTIS may have or assert relating to REGENERON’s and NIH’’s activities under the NIH GRANT.</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July 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8" w:name="page79"/>
    <w:bookmarkEnd w:id="78"/>
    <w:p>
      <w:pPr>
        <w:ind w:left="1120" w:right="40" w:hanging="437"/>
        <w:spacing w:after="0" w:line="286" w:lineRule="auto"/>
        <w:tabs>
          <w:tab w:leader="none" w:pos="11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By way of clarification, and not limitation, the rights granted in Article 2 of this AGREEMENT are sufficient to allow REGENERON, Yale University, and the Bill and Melinda Gates Foundation to take the actions outlined in REGENERON’s April 18, 2005 letter and CELLECTIS’ April 29, 2005 letter without any additional sub-license, license, fee or royalty, or other payment to CELLECTIS.</w:t>
      </w:r>
    </w:p>
    <w:p>
      <w:pPr>
        <w:spacing w:after="0" w:line="70" w:lineRule="exact"/>
        <w:rPr>
          <w:rFonts w:ascii="Arial" w:cs="Arial" w:eastAsia="Arial" w:hAnsi="Arial"/>
          <w:sz w:val="17"/>
          <w:szCs w:val="17"/>
          <w:color w:val="auto"/>
        </w:rPr>
      </w:pPr>
    </w:p>
    <w:p>
      <w:pPr>
        <w:ind w:left="1120" w:right="240" w:hanging="437"/>
        <w:spacing w:after="0" w:line="286" w:lineRule="auto"/>
        <w:tabs>
          <w:tab w:leader="none" w:pos="11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It is agreed that CELLECTIS shall not be entitled to any other consideration for the license and other rights and covenants made hereunder. Without limiting the foregoing, except as set forth in subsection 3(d), CELLECTIS shall not be entitled to any royalties or other payments based on the license, use, transfer, sale or any other commercialization of DERIVED PRODUCTS.</w:t>
      </w:r>
    </w:p>
    <w:p>
      <w:pPr>
        <w:spacing w:after="0" w:line="70" w:lineRule="exact"/>
        <w:rPr>
          <w:rFonts w:ascii="Arial" w:cs="Arial" w:eastAsia="Arial" w:hAnsi="Arial"/>
          <w:sz w:val="17"/>
          <w:szCs w:val="17"/>
          <w:color w:val="auto"/>
        </w:rPr>
      </w:pPr>
    </w:p>
    <w:p>
      <w:pPr>
        <w:ind w:left="1120" w:right="160" w:hanging="437"/>
        <w:spacing w:after="0" w:line="271" w:lineRule="auto"/>
        <w:tabs>
          <w:tab w:leader="none" w:pos="11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It is agreed that, notwithstanding any other provision in this AGREEMENT, the calculation of payments due to CELLECTIS under this Article 3, including subsection 3(b), 3(c), and 3(d), shall in all cases exclude any revenue (including but not limited to royalties, profit splits, and other payments) that REGENERON receives based on the sales of any protein, including any antibody.</w:t>
      </w:r>
    </w:p>
    <w:p>
      <w:pPr>
        <w:ind w:left="1120"/>
        <w:spacing w:after="0"/>
        <w:rPr>
          <w:rFonts w:ascii="Arial" w:cs="Arial" w:eastAsia="Arial" w:hAnsi="Arial"/>
          <w:sz w:val="17"/>
          <w:szCs w:val="17"/>
          <w:color w:val="auto"/>
        </w:rPr>
      </w:pPr>
      <w:r>
        <w:rPr>
          <w:rFonts w:ascii="Arial" w:cs="Arial" w:eastAsia="Arial" w:hAnsi="Arial"/>
          <w:sz w:val="18"/>
          <w:szCs w:val="18"/>
          <w:color w:val="auto"/>
        </w:rPr>
        <w: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ARTICLE 4 – PAYMENT</w:t>
      </w:r>
    </w:p>
    <w:p>
      <w:pPr>
        <w:spacing w:after="0" w:line="135" w:lineRule="exact"/>
        <w:rPr>
          <w:sz w:val="20"/>
          <w:szCs w:val="20"/>
          <w:color w:val="auto"/>
        </w:rPr>
      </w:pPr>
    </w:p>
    <w:p>
      <w:pPr>
        <w:ind w:left="460" w:right="60" w:hanging="445"/>
        <w:spacing w:after="0" w:line="259" w:lineRule="auto"/>
        <w:tabs>
          <w:tab w:leader="none" w:pos="440" w:val="left"/>
        </w:tabs>
        <w:rPr>
          <w:sz w:val="20"/>
          <w:szCs w:val="20"/>
          <w:color w:val="auto"/>
        </w:rPr>
      </w:pPr>
      <w:r>
        <w:rPr>
          <w:rFonts w:ascii="Arial" w:cs="Arial" w:eastAsia="Arial" w:hAnsi="Arial"/>
          <w:sz w:val="18"/>
          <w:szCs w:val="18"/>
          <w:color w:val="auto"/>
        </w:rPr>
        <w:t>4.1.</w:t>
        <w:tab/>
        <w:t>Any amount due to CELLECTIS under the AGREEMENT shall be deemed paid at the receipt of the said amount on the bank account of CELLECTIS. Payment shall be made by REGENERON at its costs, by bank wire transfer in immediately available funds to such bank account in France as is designated in writing by CELLECTIS from time to time. At the Date of Signature of this AGREEMENT, the initial bank account for CELLECTIS SA is *****.</w:t>
      </w:r>
    </w:p>
    <w:p>
      <w:pPr>
        <w:spacing w:after="0" w:line="9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All amounts due to CELLECTIS under this AGREEMENT are non-refundable.</w:t>
      </w:r>
    </w:p>
    <w:p>
      <w:pPr>
        <w:spacing w:after="0" w:line="131" w:lineRule="exact"/>
        <w:rPr>
          <w:sz w:val="20"/>
          <w:szCs w:val="20"/>
          <w:color w:val="auto"/>
        </w:rPr>
      </w:pPr>
    </w:p>
    <w:p>
      <w:pPr>
        <w:ind w:left="460" w:right="260" w:hanging="445"/>
        <w:spacing w:after="0" w:line="277" w:lineRule="auto"/>
        <w:tabs>
          <w:tab w:leader="none" w:pos="440" w:val="left"/>
        </w:tabs>
        <w:rPr>
          <w:sz w:val="20"/>
          <w:szCs w:val="20"/>
          <w:color w:val="auto"/>
        </w:rPr>
      </w:pPr>
      <w:r>
        <w:rPr>
          <w:rFonts w:ascii="Arial" w:cs="Arial" w:eastAsia="Arial" w:hAnsi="Arial"/>
          <w:sz w:val="18"/>
          <w:szCs w:val="18"/>
          <w:color w:val="auto"/>
        </w:rPr>
        <w:t>4.3.</w:t>
        <w:tab/>
        <w:t>In case of dispute between the PARTIES for whatever reason, REGENERON has no right to withhold or suspend any payments due to CELLECTIS under the AGREEMENT or to operate any compensation with any other sums claimed.</w:t>
      </w:r>
    </w:p>
    <w:p>
      <w:pPr>
        <w:spacing w:after="0" w:line="76" w:lineRule="exact"/>
        <w:rPr>
          <w:sz w:val="20"/>
          <w:szCs w:val="20"/>
          <w:color w:val="auto"/>
        </w:rPr>
      </w:pPr>
    </w:p>
    <w:p>
      <w:pPr>
        <w:ind w:left="460" w:hanging="445"/>
        <w:spacing w:after="0" w:line="308" w:lineRule="auto"/>
        <w:tabs>
          <w:tab w:leader="none" w:pos="4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color w:val="auto"/>
        </w:rPr>
        <w:t>All payments pursuant to this AGREEMENT by REGENERON to CELLECTIS are expressed exclusive of any US national Value Added Tax (“VAT”), which may be chargeable thereon. The US national VAT shall be paid by REGENERON directly to its competent US tax authority.</w:t>
      </w:r>
    </w:p>
    <w:p>
      <w:pPr>
        <w:spacing w:after="0" w:line="3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Withholding taxes (if any) required to be withheld or paid by a government of any country on payments made to CELLECTIS by REGENERON hereunder, shall be deducted from the royalties or any other payments due by REGENERON. REGENERON shall cooperate with CELLECTIS to avoid any double taxing and provide it upon simple request with any document necessary for this purpose. REGENERON shall use reasonable efforts to help CELLECTIS claim exemption therefrom under any double taxation or similar agreement in force and shall produce to CELLECTIS proper evidence of payment of all withholding tax.</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July 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9" w:name="page80"/>
    <w:bookmarkEnd w:id="79"/>
    <w:p>
      <w:pPr>
        <w:jc w:val="both"/>
        <w:ind w:right="80"/>
        <w:spacing w:after="0" w:line="264" w:lineRule="auto"/>
        <w:rPr>
          <w:sz w:val="20"/>
          <w:szCs w:val="20"/>
          <w:color w:val="auto"/>
        </w:rPr>
      </w:pPr>
      <w:r>
        <w:rPr>
          <w:rFonts w:ascii="Arial" w:cs="Arial" w:eastAsia="Arial" w:hAnsi="Arial"/>
          <w:sz w:val="18"/>
          <w:szCs w:val="18"/>
          <w:color w:val="auto"/>
        </w:rPr>
        <w:t>If laws, rules or regulations require withholding of income taxes or other taxes imposed upon payments under this AGREEMENT, CELLECTIS will provide to REGENERON, prior to any payment, once each calendar year or more frequently if required, with all forms or documentation required by any applicable taxation laws, treaties or agreements to such withholding or as necessary to claim a benefit thereunder.</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ARTICLE 5 – ACCOUNTS, AUDITS, REPORTING AND REMAINING PAYMENT PROVISIONS</w:t>
      </w:r>
    </w:p>
    <w:p>
      <w:pPr>
        <w:spacing w:after="0" w:line="135" w:lineRule="exact"/>
        <w:rPr>
          <w:sz w:val="20"/>
          <w:szCs w:val="20"/>
          <w:color w:val="auto"/>
        </w:rPr>
      </w:pPr>
    </w:p>
    <w:p>
      <w:pPr>
        <w:ind w:left="460" w:right="80" w:hanging="445"/>
        <w:spacing w:after="0" w:line="255" w:lineRule="auto"/>
        <w:tabs>
          <w:tab w:leader="none" w:pos="440" w:val="left"/>
        </w:tabs>
        <w:rPr>
          <w:sz w:val="20"/>
          <w:szCs w:val="20"/>
          <w:color w:val="auto"/>
        </w:rPr>
      </w:pPr>
      <w:r>
        <w:rPr>
          <w:rFonts w:ascii="Arial" w:cs="Arial" w:eastAsia="Arial" w:hAnsi="Arial"/>
          <w:sz w:val="18"/>
          <w:szCs w:val="18"/>
          <w:color w:val="auto"/>
        </w:rPr>
        <w:t>5.1.</w:t>
        <w:tab/>
        <w:t>At the latest within 45 days of each calendar year beginning on January 1, 2009, REGENERON shall provide CELLECTIS with a final, true and accurate report giving the number of LICENSED PRODUCTS and/or LICENSED SERVICES sold by REGENERON and its AFFILIATES during the preceding calendar year as are pertinent to an accounting for royalty and fees under this AGREEMENT. These shall include at least the accounts of NET SALES in each relevant country and the aggregate NET SALES and the royalty and fees due in respect to the preceding twelve (12) months period. The first report shall start from January 1, 2008 until December 31</w:t>
      </w:r>
      <w:r>
        <w:rPr>
          <w:rFonts w:ascii="Arial" w:cs="Arial" w:eastAsia="Arial" w:hAnsi="Arial"/>
          <w:sz w:val="15"/>
          <w:szCs w:val="15"/>
          <w:color w:val="auto"/>
        </w:rPr>
        <w:t>st</w:t>
      </w:r>
      <w:r>
        <w:rPr>
          <w:rFonts w:ascii="Arial" w:cs="Arial" w:eastAsia="Arial" w:hAnsi="Arial"/>
          <w:sz w:val="18"/>
          <w:szCs w:val="18"/>
          <w:color w:val="auto"/>
        </w:rPr>
        <w:t>, 2008. At the time of any payment due pursuant to Article 3, REGENERON shall send CELLECTIS a delivery of the report and the accounts.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no sales have been made, it shall be so reported.</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correctness and completeness of each such account shall be attested to in writing by a responsible officer entitled to certify such accounts of</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REGENERON.</w:t>
      </w:r>
    </w:p>
    <w:p>
      <w:pPr>
        <w:spacing w:after="0" w:line="116" w:lineRule="exact"/>
        <w:rPr>
          <w:sz w:val="20"/>
          <w:szCs w:val="20"/>
          <w:color w:val="auto"/>
        </w:rPr>
      </w:pPr>
    </w:p>
    <w:p>
      <w:pPr>
        <w:jc w:val="both"/>
        <w:ind w:left="460" w:right="60"/>
        <w:spacing w:after="0" w:line="257" w:lineRule="auto"/>
        <w:rPr>
          <w:sz w:val="20"/>
          <w:szCs w:val="20"/>
          <w:color w:val="auto"/>
        </w:rPr>
      </w:pPr>
      <w:r>
        <w:rPr>
          <w:rFonts w:ascii="Arial" w:cs="Arial" w:eastAsia="Arial" w:hAnsi="Arial"/>
          <w:sz w:val="18"/>
          <w:szCs w:val="18"/>
          <w:color w:val="auto"/>
        </w:rPr>
        <w:t>If royalties payable under this AGREEMENT are in arrears, interest shall automatically accrue and apply beginning on the first day following the date payment is due calculated at the annual rate of the French legal rate of interest as found in the article L441-6 of the French Civil Code plus one percent (1%) calculated on the date said payment is due until payment. Such payment when made shall be accompanied by all interest so accrued. Said interest and the payment and acceptance thereof shall not negate or waive the right of CELLECTIS to any other remedy, legal or equitable, to which it may be entitled because of the delinquency of the payment.</w:t>
      </w:r>
    </w:p>
    <w:p>
      <w:pPr>
        <w:spacing w:after="0" w:line="94" w:lineRule="exact"/>
        <w:rPr>
          <w:sz w:val="20"/>
          <w:szCs w:val="20"/>
          <w:color w:val="auto"/>
        </w:rPr>
      </w:pPr>
    </w:p>
    <w:p>
      <w:pPr>
        <w:ind w:left="460" w:hanging="445"/>
        <w:spacing w:after="0" w:line="289" w:lineRule="auto"/>
        <w:tabs>
          <w:tab w:leader="none" w:pos="4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REGENERON shall keep or produce to be kept complete and accurate records of the NET SALES of LICENSED PRODUCTS and LICENSED SERVICES or the transfer (including the transfer free of charge) of LICENSED PRODUCTS, in accordance with generally accepted accounting procedures in the United States. Such records shall enable the calculation and verification of the amount of royalties and any other sums due to CELLECTIS under this AGREEMENT. Such records shall be accessible, not more than once a year during business hours, during the term of this AGREEMENT and within three (3) years after the end of royalty periods to which such records relate, to an independent accountant of internationally recognized accounting standards mutually agreed to by CELLECTIS and REGENERON for the purpose of verifying NET SALES, and any royalty or sum due pursuant to this AGREEMENT. Such independent accountant must enter into a separate confidentiality agreement with REGENERON prior to conducting an audit pursuant to this Section 5.2. If in dispute such records shall be kept until the dispute is settled. Such accountant shall disclose only information relating to whether or not the payments made were accurate and the amount of any discrepancy of the records and payment made.</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July 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80" w:name="page81"/>
    <w:bookmarkEnd w:id="80"/>
    <w:p>
      <w:pPr>
        <w:ind w:left="460" w:right="180"/>
        <w:spacing w:after="0" w:line="277" w:lineRule="auto"/>
        <w:rPr>
          <w:sz w:val="20"/>
          <w:szCs w:val="20"/>
          <w:color w:val="auto"/>
        </w:rPr>
      </w:pPr>
      <w:r>
        <w:rPr>
          <w:rFonts w:ascii="Arial" w:cs="Arial" w:eastAsia="Arial" w:hAnsi="Arial"/>
          <w:sz w:val="18"/>
          <w:szCs w:val="18"/>
          <w:color w:val="auto"/>
        </w:rPr>
        <w:t>The cost of such inspection shall be borne by REGENERON if any error or discrepancy is shown by which the royalty amount due to CELLECTIS is greater than five percent (5%) of the amount shown in REGENERON’s reporting statement to CELLECTIS.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ARTICLE 6 – MARKING</w:t>
      </w:r>
    </w:p>
    <w:p>
      <w:pPr>
        <w:spacing w:after="0" w:line="12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Nothing in this AGREEMENT shall be construed as conferring upon any PARTY or its AFFILIATES any right to include in advertising, packaging or other commercial activities any reference to any other PARTY or its AFFILIATES, its trade names, trademarks or services marks.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obligations contained in this Article 6 shall survive the termination or expiration of this AGREEMENT.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ARTICLE 7 – INFRINGEMENT BY THIRD PARTIES</w:t>
      </w:r>
    </w:p>
    <w:p>
      <w:pPr>
        <w:spacing w:after="0" w:line="135" w:lineRule="exact"/>
        <w:rPr>
          <w:sz w:val="20"/>
          <w:szCs w:val="20"/>
          <w:color w:val="auto"/>
        </w:rPr>
      </w:pPr>
    </w:p>
    <w:p>
      <w:pPr>
        <w:ind w:left="460" w:right="40" w:hanging="445"/>
        <w:spacing w:after="0" w:line="277" w:lineRule="auto"/>
        <w:tabs>
          <w:tab w:leader="none" w:pos="440" w:val="left"/>
        </w:tabs>
        <w:rPr>
          <w:sz w:val="20"/>
          <w:szCs w:val="20"/>
          <w:color w:val="auto"/>
        </w:rPr>
      </w:pPr>
      <w:r>
        <w:rPr>
          <w:rFonts w:ascii="Arial" w:cs="Arial" w:eastAsia="Arial" w:hAnsi="Arial"/>
          <w:sz w:val="18"/>
          <w:szCs w:val="18"/>
          <w:color w:val="auto"/>
        </w:rPr>
        <w:t>7.1.</w:t>
        <w:tab/>
        <w:t>CELLECTIS shall use all reasonable efforts to take, at its sole discretion, any action it deems appropriate against any THIRD PARTY who is infringing any patent of the PATENTS covered by this AGREEMENT.</w:t>
      </w:r>
    </w:p>
    <w:p>
      <w:pPr>
        <w:spacing w:after="0" w:line="76" w:lineRule="exact"/>
        <w:rPr>
          <w:sz w:val="20"/>
          <w:szCs w:val="20"/>
          <w:color w:val="auto"/>
        </w:rPr>
      </w:pPr>
    </w:p>
    <w:p>
      <w:pPr>
        <w:ind w:left="460" w:hanging="445"/>
        <w:spacing w:after="0" w:line="257" w:lineRule="auto"/>
        <w:tabs>
          <w:tab w:leader="none" w:pos="440" w:val="left"/>
        </w:tabs>
        <w:rPr>
          <w:sz w:val="20"/>
          <w:szCs w:val="20"/>
          <w:color w:val="auto"/>
        </w:rPr>
      </w:pPr>
      <w:r>
        <w:rPr>
          <w:rFonts w:ascii="Arial" w:cs="Arial" w:eastAsia="Arial" w:hAnsi="Arial"/>
          <w:sz w:val="18"/>
          <w:szCs w:val="18"/>
          <w:color w:val="auto"/>
        </w:rPr>
        <w:t>7.2.</w:t>
        <w:tab/>
        <w:t>Each PARTY shall promptly inform the other PARTY of any infringement of any of the PATENTS committed by THIRD PARTIES, which will come to its knowledge. REGENERON or its AFFILIATES are not authorized to take legal action against any infringing THIRD PARTY on its own. However, in the case where CELLECTIS is bringing a legal action against such THIRD PARTY, REGENERON and AFFILIATES can, at CELLECTIS’ request, and at CELLECTIS’ expense, participate in the legal action and shall then bring their full cooperation thereto. CELLECTIS shall have sole control of such suit.</w:t>
      </w:r>
    </w:p>
    <w:p>
      <w:pPr>
        <w:spacing w:after="0" w:line="94" w:lineRule="exact"/>
        <w:rPr>
          <w:sz w:val="20"/>
          <w:szCs w:val="20"/>
          <w:color w:val="auto"/>
        </w:rPr>
      </w:pPr>
    </w:p>
    <w:p>
      <w:pPr>
        <w:jc w:val="center"/>
        <w:ind w:right="60"/>
        <w:spacing w:after="0"/>
        <w:tabs>
          <w:tab w:leader="none" w:pos="1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In case of an infringement suit initiated by a THIRD PARTY against REGENERON for the manufacture, use and sale of the LICENSED PRODUCTS,</w:t>
      </w:r>
    </w:p>
    <w:p>
      <w:pPr>
        <w:spacing w:after="0" w:line="23" w:lineRule="exact"/>
        <w:rPr>
          <w:sz w:val="20"/>
          <w:szCs w:val="20"/>
          <w:color w:val="auto"/>
        </w:rPr>
      </w:pPr>
    </w:p>
    <w:p>
      <w:pPr>
        <w:ind w:left="460" w:right="520"/>
        <w:spacing w:after="0" w:line="290" w:lineRule="auto"/>
        <w:rPr>
          <w:sz w:val="20"/>
          <w:szCs w:val="20"/>
          <w:color w:val="auto"/>
        </w:rPr>
      </w:pPr>
      <w:r>
        <w:rPr>
          <w:rFonts w:ascii="Arial" w:cs="Arial" w:eastAsia="Arial" w:hAnsi="Arial"/>
          <w:sz w:val="17"/>
          <w:szCs w:val="17"/>
          <w:color w:val="auto"/>
        </w:rPr>
        <w:t>REGENERON shall defend itself at its own cost and for its own benefit subject to REGENERON’S right to claim damages against CELLECTIS pursuant to breach of Section 10.1. CELLECTIS may, if it so wish, provide REGENERON with legal and technical counselling.</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ARTICLE 8 – IMPROVEMENTS</w:t>
      </w:r>
    </w:p>
    <w:p>
      <w:pPr>
        <w:spacing w:after="0" w:line="1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Each PARTY shall be the owner of its own IMPROVEMENTS, which it will have the right to patent if it so wishes, in its name and at its own cost. Within 30 days following the date of the patent application for any new IMPROVEMENT, the PARTY having made such patent application shall, at its own discretion, supply the other PARTY with information relating thereto.</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ARTICLE 9 – CONFIDENTIALITY</w:t>
      </w:r>
    </w:p>
    <w:p>
      <w:pPr>
        <w:spacing w:after="0" w:line="135" w:lineRule="exact"/>
        <w:rPr>
          <w:sz w:val="20"/>
          <w:szCs w:val="20"/>
          <w:color w:val="auto"/>
        </w:rPr>
      </w:pPr>
    </w:p>
    <w:p>
      <w:pPr>
        <w:ind w:left="460" w:right="440" w:hanging="445"/>
        <w:spacing w:after="0" w:line="264" w:lineRule="auto"/>
        <w:tabs>
          <w:tab w:leader="none" w:pos="440" w:val="left"/>
        </w:tabs>
        <w:rPr>
          <w:sz w:val="20"/>
          <w:szCs w:val="20"/>
          <w:color w:val="auto"/>
        </w:rPr>
      </w:pPr>
      <w:r>
        <w:rPr>
          <w:rFonts w:ascii="Arial" w:cs="Arial" w:eastAsia="Arial" w:hAnsi="Arial"/>
          <w:sz w:val="18"/>
          <w:szCs w:val="18"/>
          <w:color w:val="auto"/>
        </w:rPr>
        <w:t>9.1.</w:t>
        <w:tab/>
        <w:t>During the term of this AGREEMENT and for a period of 10 (ten) years following its termination or expiration, the PARTIES shall keep strictly confidential and not publish, or disclose to THIRD PARTIES the terms of this AGREEMENT, any confidential information disclosed by the other PARTIES (the “DISCLOSING</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July 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1" w:name="page82"/>
    <w:bookmarkEnd w:id="81"/>
    <w:p>
      <w:pPr>
        <w:ind w:left="460"/>
        <w:spacing w:after="0"/>
        <w:rPr>
          <w:sz w:val="20"/>
          <w:szCs w:val="20"/>
          <w:color w:val="auto"/>
        </w:rPr>
      </w:pPr>
      <w:r>
        <w:rPr>
          <w:rFonts w:ascii="Arial" w:cs="Arial" w:eastAsia="Arial" w:hAnsi="Arial"/>
          <w:sz w:val="16"/>
          <w:szCs w:val="16"/>
          <w:color w:val="auto"/>
        </w:rPr>
        <w:t>PARTY(IES)”) or obtained from the other PARTIES during the AGREEMENT without the prior written authorization of the DISCLOSING PARTY.</w:t>
      </w:r>
    </w:p>
    <w:p>
      <w:pPr>
        <w:spacing w:after="0" w:line="154" w:lineRule="exact"/>
        <w:rPr>
          <w:sz w:val="20"/>
          <w:szCs w:val="20"/>
          <w:color w:val="auto"/>
        </w:rPr>
      </w:pPr>
    </w:p>
    <w:p>
      <w:pPr>
        <w:ind w:left="460" w:right="480" w:hanging="445"/>
        <w:spacing w:after="0" w:line="277" w:lineRule="auto"/>
        <w:tabs>
          <w:tab w:leader="none" w:pos="440" w:val="left"/>
        </w:tabs>
        <w:rPr>
          <w:sz w:val="20"/>
          <w:szCs w:val="20"/>
          <w:color w:val="auto"/>
        </w:rPr>
      </w:pPr>
      <w:r>
        <w:rPr>
          <w:rFonts w:ascii="Arial" w:cs="Arial" w:eastAsia="Arial" w:hAnsi="Arial"/>
          <w:sz w:val="18"/>
          <w:szCs w:val="18"/>
          <w:color w:val="auto"/>
        </w:rPr>
        <w:t>9.2.</w:t>
        <w:tab/>
        <w:t>The confidentiality obligation set forth in Section 9.1 shall not apply to information that the Receiving Party (the “RECEIVING PARTY”) can substantiate, by written documents where appropriate:</w:t>
      </w:r>
    </w:p>
    <w:p>
      <w:pPr>
        <w:spacing w:after="0" w:line="62" w:lineRule="exact"/>
        <w:rPr>
          <w:sz w:val="20"/>
          <w:szCs w:val="20"/>
          <w:color w:val="auto"/>
        </w:rPr>
      </w:pPr>
    </w:p>
    <w:p>
      <w:pPr>
        <w:ind w:left="1120" w:right="580" w:hanging="437"/>
        <w:spacing w:after="0" w:line="277" w:lineRule="auto"/>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was in the public knowledge at the time of disclosure; or was known to the RECEIVING PARTY receiving the information without confidentiality obligations prior to the receipt of same from the DISCLOSING PARTY; or</w:t>
      </w:r>
    </w:p>
    <w:p>
      <w:pPr>
        <w:spacing w:after="0" w:line="75" w:lineRule="exact"/>
        <w:rPr>
          <w:rFonts w:ascii="Arial" w:cs="Arial" w:eastAsia="Arial" w:hAnsi="Arial"/>
          <w:sz w:val="18"/>
          <w:szCs w:val="18"/>
          <w:color w:val="auto"/>
        </w:rPr>
      </w:pPr>
    </w:p>
    <w:p>
      <w:pPr>
        <w:ind w:left="1120" w:hanging="437"/>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hereafter becomes, through no fault of the RECEIVING PARTY, generally known or available to the public; or</w:t>
      </w:r>
    </w:p>
    <w:p>
      <w:pPr>
        <w:spacing w:after="0" w:line="130" w:lineRule="exact"/>
        <w:rPr>
          <w:rFonts w:ascii="Arial" w:cs="Arial" w:eastAsia="Arial" w:hAnsi="Arial"/>
          <w:sz w:val="18"/>
          <w:szCs w:val="18"/>
          <w:color w:val="auto"/>
        </w:rPr>
      </w:pPr>
    </w:p>
    <w:p>
      <w:pPr>
        <w:ind w:left="1120" w:right="480" w:hanging="437"/>
        <w:spacing w:after="0" w:line="277" w:lineRule="auto"/>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 disclosed at any time to it by a THIRD PARTY who did not receive it directly or indirectly from the DISCLOSING PARTY to this AGREEMENT on a non restrictive basis; or</w:t>
      </w:r>
    </w:p>
    <w:p>
      <w:pPr>
        <w:spacing w:after="0" w:line="75" w:lineRule="exact"/>
        <w:rPr>
          <w:rFonts w:ascii="Arial" w:cs="Arial" w:eastAsia="Arial" w:hAnsi="Arial"/>
          <w:sz w:val="18"/>
          <w:szCs w:val="18"/>
          <w:color w:val="auto"/>
        </w:rPr>
      </w:pPr>
    </w:p>
    <w:p>
      <w:pPr>
        <w:ind w:left="1120" w:right="40" w:hanging="437"/>
        <w:spacing w:after="0" w:line="277" w:lineRule="auto"/>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 independently developed in good faith by the RECEIVING PARTY without the use of any information received from the DISCLOSING PARTY and not as a consequence of the use of such information.</w:t>
      </w:r>
    </w:p>
    <w:p>
      <w:pPr>
        <w:spacing w:after="0" w:line="62" w:lineRule="exact"/>
        <w:rPr>
          <w:sz w:val="20"/>
          <w:szCs w:val="20"/>
          <w:color w:val="auto"/>
        </w:rPr>
      </w:pPr>
    </w:p>
    <w:p>
      <w:pPr>
        <w:ind w:left="480" w:right="40" w:hanging="472"/>
        <w:spacing w:after="0" w:line="291" w:lineRule="auto"/>
        <w:tabs>
          <w:tab w:leader="none" w:pos="46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color w:val="auto"/>
        </w:rPr>
        <w:t>The PARTIES shall not, directly or indirectly, disclose or divulge the terms of the AGREEMENT without the other PARTY’s prior written approval PROVIDED THAT (i) CELLECTIS may disclose the terms and conditions of this AGREEMENT to INSTITUT PASTEUR under an obligation of confidentiality and (ii) any PARTY may disclose the terms and conditions of this AGREEMENT to a THIRD PARTY who is under an obligation of confidentiality to that PARTY. Without limiting the foregoing, no PARTY may issue a press release or otherwise publicly disclose the existence or terms of this AGREEMENT without the prior written consent of the other PARTY, unless such disclosure is required by law. If such disclosure is required by law, the disclosing PARTY shall, to the extent permitted, submit the press release or other disclosure to the other PARTY for review and comment. The disclosing PARTY shall consider in good faith all reasonable comments provided by the other PARTY.</w:t>
      </w:r>
    </w:p>
    <w:p>
      <w:pPr>
        <w:spacing w:after="0" w:line="69" w:lineRule="exact"/>
        <w:rPr>
          <w:sz w:val="20"/>
          <w:szCs w:val="20"/>
          <w:color w:val="auto"/>
        </w:rPr>
      </w:pPr>
    </w:p>
    <w:p>
      <w:pPr>
        <w:ind w:left="480"/>
        <w:spacing w:after="0"/>
        <w:rPr>
          <w:sz w:val="20"/>
          <w:szCs w:val="20"/>
          <w:color w:val="auto"/>
        </w:rPr>
      </w:pPr>
      <w:r>
        <w:rPr>
          <w:rFonts w:ascii="Arial" w:cs="Arial" w:eastAsia="Arial" w:hAnsi="Arial"/>
          <w:sz w:val="18"/>
          <w:szCs w:val="18"/>
          <w:b w:val="1"/>
          <w:bCs w:val="1"/>
          <w:u w:val="single" w:color="auto"/>
          <w:color w:val="auto"/>
        </w:rPr>
        <w:t>ARTICLE 10 – WARRANTIES AND INDEMNITY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10.1. CELLECTIS declares and warrants to REGENERON:</w:t>
      </w:r>
    </w:p>
    <w:p>
      <w:pPr>
        <w:spacing w:after="0" w:line="117" w:lineRule="exact"/>
        <w:rPr>
          <w:sz w:val="20"/>
          <w:szCs w:val="20"/>
          <w:color w:val="auto"/>
        </w:rPr>
      </w:pPr>
    </w:p>
    <w:p>
      <w:pPr>
        <w:ind w:left="1120" w:hanging="437"/>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that the PATENTS exist physically;</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that INSTITUT PASTEUR is the assignee of all right, title and interest in the PATENTS;</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that CELLECTIS is the sole licensee of the PATENTS with the right to sublicense the PATENTS;</w:t>
      </w:r>
    </w:p>
    <w:p>
      <w:pPr>
        <w:spacing w:after="0" w:line="130" w:lineRule="exact"/>
        <w:rPr>
          <w:rFonts w:ascii="Arial" w:cs="Arial" w:eastAsia="Arial" w:hAnsi="Arial"/>
          <w:sz w:val="18"/>
          <w:szCs w:val="18"/>
          <w:color w:val="auto"/>
        </w:rPr>
      </w:pPr>
    </w:p>
    <w:p>
      <w:pPr>
        <w:jc w:val="both"/>
        <w:ind w:left="1120" w:right="400" w:hanging="437"/>
        <w:spacing w:after="0" w:line="291" w:lineRule="auto"/>
        <w:tabs>
          <w:tab w:leader="none" w:pos="11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that CELLECTIS is fully empowered and has the rights to the PATENTS necessary to grant all rights specified in this AGREEMENT, including the licenses granted in Article 2, and the terms of Article 14, and perform the covenants and agreements set forth under this</w:t>
      </w:r>
    </w:p>
    <w:p>
      <w:pPr>
        <w:ind w:left="1120"/>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9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July 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935" w:right="479" w:bottom="1440" w:gutter="0" w:footer="0" w:header="0"/>
        </w:sectPr>
      </w:pPr>
    </w:p>
    <w:bookmarkStart w:id="82" w:name="page83"/>
    <w:bookmarkEnd w:id="82"/>
    <w:p>
      <w:pPr>
        <w:ind w:left="1100" w:right="20" w:hanging="437"/>
        <w:spacing w:after="0" w:line="277" w:lineRule="auto"/>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that CELLECTIS has not received any notice or communication from INSTITUT PASTEUR asserting or questioning whether CELLECTIS is in breach of any of its agreements with INSTITUT PASTEUR;</w:t>
      </w:r>
    </w:p>
    <w:p>
      <w:pPr>
        <w:spacing w:after="0" w:line="75" w:lineRule="exact"/>
        <w:rPr>
          <w:rFonts w:ascii="Arial" w:cs="Arial" w:eastAsia="Arial" w:hAnsi="Arial"/>
          <w:sz w:val="18"/>
          <w:szCs w:val="18"/>
          <w:color w:val="auto"/>
        </w:rPr>
      </w:pPr>
    </w:p>
    <w:p>
      <w:pPr>
        <w:ind w:left="1100" w:hanging="437"/>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that to the best of CELLECTIS’ knowledge, it is not in breach of any of its agreements with INSTITUT PASTEUR;</w:t>
      </w:r>
    </w:p>
    <w:p>
      <w:pPr>
        <w:spacing w:after="0" w:line="130" w:lineRule="exact"/>
        <w:rPr>
          <w:rFonts w:ascii="Arial" w:cs="Arial" w:eastAsia="Arial" w:hAnsi="Arial"/>
          <w:sz w:val="18"/>
          <w:szCs w:val="18"/>
          <w:color w:val="auto"/>
        </w:rPr>
      </w:pPr>
    </w:p>
    <w:p>
      <w:pPr>
        <w:ind w:left="1100" w:right="200" w:hanging="437"/>
        <w:spacing w:after="0" w:line="264" w:lineRule="auto"/>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that to the best of CELLECTIS’ knowledge, no other entity but CELLECTIS has any CLAIMS under (i) the ORIGINAL AGREEMENT or (ii) to the practice of the PATENTS by REGENERON, its AFFILIATES, or customers, (including ASTELLAS, ASTRAZENECA, or SANOFI-AVENTIS) on or before the date of this AGREEMENT.</w:t>
      </w:r>
    </w:p>
    <w:p>
      <w:pPr>
        <w:spacing w:after="0" w:line="73" w:lineRule="exact"/>
        <w:rPr>
          <w:sz w:val="20"/>
          <w:szCs w:val="20"/>
          <w:color w:val="auto"/>
        </w:rPr>
      </w:pPr>
    </w:p>
    <w:p>
      <w:pPr>
        <w:ind w:left="460" w:hanging="472"/>
        <w:spacing w:after="0" w:line="257" w:lineRule="auto"/>
        <w:rPr>
          <w:sz w:val="20"/>
          <w:szCs w:val="20"/>
          <w:color w:val="auto"/>
        </w:rPr>
      </w:pPr>
      <w:r>
        <w:rPr>
          <w:rFonts w:ascii="Arial" w:cs="Arial" w:eastAsia="Arial" w:hAnsi="Arial"/>
          <w:sz w:val="18"/>
          <w:szCs w:val="18"/>
          <w:color w:val="auto"/>
        </w:rPr>
        <w:t>10.2. Except as provided in Section 10.1, CELLECTIS makes no warranty of any kind either express or implied relating to the LICENSED PRODUCT, LICENSED PROCESS, LICENSED SERVICES or PATENTS including without limitation any warranty regarding their use, safety, efficacy, or performance, any warranty of merchantability or any warranty for fitness for any particular purpose or a warranty or representation that anything made, used, sold, or otherwise disposed of under the AGREEMENT are or will be free from infringement of patents, copyrights, and other rights of THIRD PARTIES or any other express or implied legal or contractual warranty.</w:t>
      </w:r>
    </w:p>
    <w:p>
      <w:pPr>
        <w:spacing w:after="0" w:line="94" w:lineRule="exact"/>
        <w:rPr>
          <w:sz w:val="20"/>
          <w:szCs w:val="20"/>
          <w:color w:val="auto"/>
        </w:rPr>
      </w:pPr>
    </w:p>
    <w:p>
      <w:pPr>
        <w:ind w:left="460" w:hanging="472"/>
        <w:spacing w:after="0" w:line="259" w:lineRule="auto"/>
        <w:rPr>
          <w:sz w:val="20"/>
          <w:szCs w:val="20"/>
          <w:color w:val="auto"/>
        </w:rPr>
      </w:pPr>
      <w:r>
        <w:rPr>
          <w:rFonts w:ascii="Arial" w:cs="Arial" w:eastAsia="Arial" w:hAnsi="Arial"/>
          <w:sz w:val="18"/>
          <w:szCs w:val="18"/>
          <w:color w:val="auto"/>
        </w:rPr>
        <w:t>10.3. REGENERON acknowledges that the technology licensed under the PATENTS is experimental in nature and agrees to take all reasonable precautions to prevent death, personal injury, illness and property damage from the use of such technology. Except as set forth herein, any and all uncertainties, risks and perils connected with the exploitation of the PATENTS by REGENERON are to be assumed solely by, and paid for by, REGENERON, which accepts it.</w:t>
      </w:r>
    </w:p>
    <w:p>
      <w:pPr>
        <w:spacing w:after="0" w:line="92" w:lineRule="exact"/>
        <w:rPr>
          <w:sz w:val="20"/>
          <w:szCs w:val="20"/>
          <w:color w:val="auto"/>
        </w:rPr>
      </w:pPr>
    </w:p>
    <w:p>
      <w:pPr>
        <w:ind w:left="460" w:right="60" w:hanging="472"/>
        <w:spacing w:after="0" w:line="269" w:lineRule="auto"/>
        <w:rPr>
          <w:sz w:val="20"/>
          <w:szCs w:val="20"/>
          <w:color w:val="auto"/>
        </w:rPr>
      </w:pPr>
      <w:r>
        <w:rPr>
          <w:rFonts w:ascii="Arial" w:cs="Arial" w:eastAsia="Arial" w:hAnsi="Arial"/>
          <w:sz w:val="17"/>
          <w:szCs w:val="17"/>
          <w:color w:val="auto"/>
        </w:rPr>
        <w:t>10.4. REGENERON shall defend, indemnify and hold harmless CELLECTIS, *****, and their respective AFFILIATES, officers, employees, directors, and agents (“INDEMNIFIED PARTIES”) from and against any and all liability, demands, claims, damages, expenses (including attorney’s fees) and losses (collectively “LOSSES”) arising out of a THIRD PARTY lawsuit from the manufacture, use, or sale of the LICENSED PROCESS, LICENSED PRODUCTS, LICENSED SERVICES and DERIVED PRODUCTS by REGENERON, its AFFILIATES, ASTELLAS, ASTRA ZENECA AND SANOFI AVENTIS, their respective legal successors, assignees, or REGENERON’s other THIRD PARTY customers or collaborators, except for any LOSSES arising from (i) an INDEMNIFIED PARTY’s negligence or misconduct, or (ii) any breach by CELLECTIS of its representations, warranties, covenants, and/or agreements contained herein (*****). A condition to this indemnification obligation is that whenever an INDEMNIFIED PARTY has information from which it may reasonably conclude that a claim for indemnification is likely to be made pursuant to this Section 10.4, it shall immediately give notice to REGENERON of all pertinent information surrounding such potential claim. In the event that a claim or demand shall be brought or asserted against an INDEMNIFIED PARTY, the INDEMNIFIED PARTY shall tender defence of the claim to REGENERON (including permitting REGENERON to select legal counsel to defend the claim) and reasonably assist REGENERON and cooperate with REGENERON and its attorneys and agents. The INDEMNIFIED PARTY may not,</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July 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409575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5" w:right="259" w:bottom="1440" w:gutter="0" w:footer="0" w:header="0"/>
        </w:sectPr>
      </w:pPr>
    </w:p>
    <w:bookmarkStart w:id="83" w:name="page84"/>
    <w:bookmarkEnd w:id="83"/>
    <w:p>
      <w:pPr>
        <w:ind w:left="480" w:right="220"/>
        <w:spacing w:after="0" w:line="277" w:lineRule="auto"/>
        <w:rPr>
          <w:sz w:val="20"/>
          <w:szCs w:val="20"/>
          <w:color w:val="auto"/>
        </w:rPr>
      </w:pPr>
      <w:r>
        <w:rPr>
          <w:rFonts w:ascii="Arial" w:cs="Arial" w:eastAsia="Arial" w:hAnsi="Arial"/>
          <w:sz w:val="18"/>
          <w:szCs w:val="18"/>
          <w:color w:val="auto"/>
        </w:rPr>
        <w:t>except at its own expense, voluntarily make any payment (or commit to do the same) or incur any expense in connection with any claim for which it seeks indemnification from REGENERON without the prior written consent of REGENERON.</w:t>
      </w:r>
    </w:p>
    <w:p>
      <w:pPr>
        <w:spacing w:after="0" w:line="76" w:lineRule="exact"/>
        <w:rPr>
          <w:sz w:val="20"/>
          <w:szCs w:val="20"/>
          <w:color w:val="auto"/>
        </w:rPr>
      </w:pPr>
    </w:p>
    <w:p>
      <w:pPr>
        <w:ind w:left="480" w:hanging="472"/>
        <w:spacing w:after="0" w:line="277" w:lineRule="auto"/>
        <w:rPr>
          <w:sz w:val="20"/>
          <w:szCs w:val="20"/>
          <w:color w:val="auto"/>
        </w:rPr>
      </w:pPr>
      <w:r>
        <w:rPr>
          <w:rFonts w:ascii="Arial" w:cs="Arial" w:eastAsia="Arial" w:hAnsi="Arial"/>
          <w:sz w:val="18"/>
          <w:szCs w:val="18"/>
          <w:color w:val="auto"/>
        </w:rPr>
        <w:t>10.5. Each PARTY represents that the execution, delivery and performance of this AGREEMENT has been duly authorized by all necessary corporate action on its part.</w:t>
      </w:r>
    </w:p>
    <w:p>
      <w:pPr>
        <w:spacing w:after="0" w:line="76" w:lineRule="exact"/>
        <w:rPr>
          <w:sz w:val="20"/>
          <w:szCs w:val="20"/>
          <w:color w:val="auto"/>
        </w:rPr>
      </w:pPr>
    </w:p>
    <w:p>
      <w:pPr>
        <w:jc w:val="both"/>
        <w:ind w:left="480" w:right="620" w:hanging="472"/>
        <w:spacing w:after="0" w:line="312" w:lineRule="auto"/>
        <w:rPr>
          <w:sz w:val="20"/>
          <w:szCs w:val="20"/>
          <w:color w:val="auto"/>
        </w:rPr>
      </w:pPr>
      <w:r>
        <w:rPr>
          <w:rFonts w:ascii="Arial" w:cs="Arial" w:eastAsia="Arial" w:hAnsi="Arial"/>
          <w:sz w:val="16"/>
          <w:szCs w:val="16"/>
          <w:color w:val="auto"/>
        </w:rPr>
        <w:t>10.6. REGENERON shall at all times use reasonable efforts to use LICENSED PRODUCTS and the LICENSED PROCESS in compliance with all applicable laws and governmental regulations and guidelines including without limitation compliance with all laws, regulations and guidelines applicable to experiments on laboratory animals and their transportation, recombinant DNA and genetically modified organisms.</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10.7. REGENERON and CELLECTIS are corporations duly organized, validly existing and in good standing under the laws of their respective countries.</w:t>
      </w:r>
    </w:p>
    <w:p>
      <w:pPr>
        <w:spacing w:after="0" w:line="154" w:lineRule="exact"/>
        <w:rPr>
          <w:sz w:val="20"/>
          <w:szCs w:val="20"/>
          <w:color w:val="auto"/>
        </w:rPr>
      </w:pPr>
    </w:p>
    <w:p>
      <w:pPr>
        <w:jc w:val="right"/>
        <w:ind w:right="880"/>
        <w:spacing w:after="0" w:line="342" w:lineRule="auto"/>
        <w:rPr>
          <w:sz w:val="20"/>
          <w:szCs w:val="20"/>
          <w:color w:val="auto"/>
        </w:rPr>
      </w:pPr>
      <w:r>
        <w:rPr>
          <w:rFonts w:ascii="Arial" w:cs="Arial" w:eastAsia="Arial" w:hAnsi="Arial"/>
          <w:sz w:val="16"/>
          <w:szCs w:val="16"/>
          <w:color w:val="auto"/>
        </w:rPr>
        <w:t>10.8. REGENERON represents that as of the DATE OF SIGNATURE, it has not entered into an agreement with any THIRD PARTY to provide VELOCIMMUNE SERVICES or sell or transfer VELOCIMMUNE PRODUCTS other than as set forth in the SPECIAL AGREEMENTS.</w:t>
      </w:r>
    </w:p>
    <w:p>
      <w:pPr>
        <w:spacing w:after="0" w:line="25" w:lineRule="exact"/>
        <w:rPr>
          <w:sz w:val="20"/>
          <w:szCs w:val="20"/>
          <w:color w:val="auto"/>
        </w:rPr>
      </w:pPr>
    </w:p>
    <w:p>
      <w:pPr>
        <w:ind w:left="480"/>
        <w:spacing w:after="0"/>
        <w:rPr>
          <w:sz w:val="20"/>
          <w:szCs w:val="20"/>
          <w:color w:val="auto"/>
        </w:rPr>
      </w:pPr>
      <w:r>
        <w:rPr>
          <w:rFonts w:ascii="Arial" w:cs="Arial" w:eastAsia="Arial" w:hAnsi="Arial"/>
          <w:sz w:val="18"/>
          <w:szCs w:val="18"/>
          <w:b w:val="1"/>
          <w:bCs w:val="1"/>
          <w:u w:val="single" w:color="auto"/>
          <w:color w:val="auto"/>
        </w:rPr>
        <w:t>ARTICLE 11 – DURATION – TERMINATION</w:t>
      </w:r>
    </w:p>
    <w:p>
      <w:pPr>
        <w:spacing w:after="0" w:line="135" w:lineRule="exact"/>
        <w:rPr>
          <w:sz w:val="20"/>
          <w:szCs w:val="20"/>
          <w:color w:val="auto"/>
        </w:rPr>
      </w:pPr>
    </w:p>
    <w:p>
      <w:pPr>
        <w:ind w:left="480" w:right="80" w:hanging="472"/>
        <w:spacing w:after="0" w:line="277" w:lineRule="auto"/>
        <w:rPr>
          <w:sz w:val="20"/>
          <w:szCs w:val="20"/>
          <w:color w:val="auto"/>
        </w:rPr>
      </w:pPr>
      <w:r>
        <w:rPr>
          <w:rFonts w:ascii="Arial" w:cs="Arial" w:eastAsia="Arial" w:hAnsi="Arial"/>
          <w:sz w:val="18"/>
          <w:szCs w:val="18"/>
          <w:color w:val="auto"/>
        </w:rPr>
        <w:t>11.1. It is agreed by the PARTIES that this AGREEMENT shall come into effect retroactively on the 22</w:t>
      </w:r>
      <w:r>
        <w:rPr>
          <w:rFonts w:ascii="Arial" w:cs="Arial" w:eastAsia="Arial" w:hAnsi="Arial"/>
          <w:sz w:val="15"/>
          <w:szCs w:val="15"/>
          <w:color w:val="auto"/>
        </w:rPr>
        <w:t>nd</w:t>
      </w:r>
      <w:r>
        <w:rPr>
          <w:rFonts w:ascii="Arial" w:cs="Arial" w:eastAsia="Arial" w:hAnsi="Arial"/>
          <w:sz w:val="18"/>
          <w:szCs w:val="18"/>
          <w:color w:val="auto"/>
        </w:rPr>
        <w:t xml:space="preserve"> day of April 2008 and shall continue for the term of the last PATENT to expire, unless sooner terminated as provided in this Article 11 hereinafter.</w:t>
      </w:r>
    </w:p>
    <w:p>
      <w:pPr>
        <w:spacing w:after="0" w:line="62" w:lineRule="exact"/>
        <w:rPr>
          <w:sz w:val="20"/>
          <w:szCs w:val="20"/>
          <w:color w:val="auto"/>
        </w:rPr>
      </w:pPr>
    </w:p>
    <w:p>
      <w:pPr>
        <w:ind w:left="1120" w:right="280" w:hanging="437"/>
        <w:spacing w:after="0" w:line="291" w:lineRule="auto"/>
        <w:tabs>
          <w:tab w:leader="none" w:pos="11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Failure by REGENERON to comply with any respective material obligations or material conditions contained in this AGREEMENT shall entitle CELLECTIS to give to REGENERON notice requiring it to make good such default. If such default is not made good within sixty</w:t>
      </w:r>
    </w:p>
    <w:p>
      <w:pPr>
        <w:ind w:left="1120" w:right="140" w:firstLine="9"/>
        <w:spacing w:after="0" w:line="261" w:lineRule="auto"/>
        <w:tabs>
          <w:tab w:leader="none" w:pos="1465" w:val="left"/>
        </w:tabs>
        <w:numPr>
          <w:ilvl w:val="1"/>
          <w:numId w:val="27"/>
        </w:numPr>
        <w:rPr>
          <w:rFonts w:ascii="Arial" w:cs="Arial" w:eastAsia="Arial" w:hAnsi="Arial"/>
          <w:sz w:val="18"/>
          <w:szCs w:val="18"/>
          <w:color w:val="auto"/>
        </w:rPr>
      </w:pPr>
      <w:r>
        <w:rPr>
          <w:rFonts w:ascii="Arial" w:cs="Arial" w:eastAsia="Arial" w:hAnsi="Arial"/>
          <w:sz w:val="18"/>
          <w:szCs w:val="18"/>
          <w:color w:val="auto"/>
        </w:rPr>
        <w:t>days after receipt of such notice by REGENERON, CELLECTIS shall be entitled (without prejudice of any of its other rights conferred on it by this AGREEMENT) to terminate this AGREEMENT by giving termination notice to take effect immediately.</w:t>
      </w:r>
    </w:p>
    <w:p>
      <w:pPr>
        <w:spacing w:after="0" w:line="89" w:lineRule="exact"/>
        <w:rPr>
          <w:rFonts w:ascii="Arial" w:cs="Arial" w:eastAsia="Arial" w:hAnsi="Arial"/>
          <w:sz w:val="18"/>
          <w:szCs w:val="18"/>
          <w:color w:val="auto"/>
        </w:rPr>
      </w:pPr>
    </w:p>
    <w:p>
      <w:pPr>
        <w:ind w:left="1120" w:right="360" w:hanging="437"/>
        <w:spacing w:after="0" w:line="291" w:lineRule="auto"/>
        <w:tabs>
          <w:tab w:leader="none" w:pos="11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Failure by CELLECTIS to comply with any respective material obligations or material conditions contained in this AGREEMENT shall entitle REGENERON to give to CELLECTIS notice requiring it to make good such default. If such default is not made good within sixty</w:t>
      </w:r>
    </w:p>
    <w:p>
      <w:pPr>
        <w:ind w:left="1120" w:firstLine="9"/>
        <w:spacing w:after="0" w:line="290" w:lineRule="auto"/>
        <w:tabs>
          <w:tab w:leader="none" w:pos="1465" w:val="left"/>
        </w:tabs>
        <w:numPr>
          <w:ilvl w:val="1"/>
          <w:numId w:val="27"/>
        </w:numPr>
        <w:rPr>
          <w:rFonts w:ascii="Arial" w:cs="Arial" w:eastAsia="Arial" w:hAnsi="Arial"/>
          <w:sz w:val="17"/>
          <w:szCs w:val="17"/>
          <w:color w:val="auto"/>
        </w:rPr>
      </w:pPr>
      <w:r>
        <w:rPr>
          <w:rFonts w:ascii="Arial" w:cs="Arial" w:eastAsia="Arial" w:hAnsi="Arial"/>
          <w:sz w:val="17"/>
          <w:szCs w:val="17"/>
          <w:color w:val="auto"/>
        </w:rPr>
        <w:t>days after receipt of such notice by REGENERON, REGENERON shall be entitled (without prejudice of any of its other rights conferred on it by this AGREEMENT) to terminate this AGREEMENT by giving termination notice to take effect immediately.</w:t>
      </w:r>
    </w:p>
    <w:p>
      <w:pPr>
        <w:spacing w:after="0" w:line="67" w:lineRule="exact"/>
        <w:rPr>
          <w:rFonts w:ascii="Arial" w:cs="Arial" w:eastAsia="Arial" w:hAnsi="Arial"/>
          <w:sz w:val="17"/>
          <w:szCs w:val="17"/>
          <w:color w:val="auto"/>
        </w:rPr>
      </w:pPr>
    </w:p>
    <w:p>
      <w:pPr>
        <w:ind w:left="1120" w:hanging="437"/>
        <w:spacing w:after="0" w:line="342" w:lineRule="auto"/>
        <w:tabs>
          <w:tab w:leader="none" w:pos="11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right of either PARTY to terminate this AGREEMENT as hereinabove provided shall not be affected in any way by its waiver of, or failure to take action with respect to any previous default. Should either PARTY terminate for cause, the license granted hereunder shall cease.</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July 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11.2.  REGENERON may terminate this Agreement by giving sixty (60) days notice in writing to CELLECTIS.</w:t>
      </w:r>
    </w:p>
    <w:p>
      <w:pPr>
        <w:spacing w:after="0" w:line="131" w:lineRule="exact"/>
        <w:rPr>
          <w:sz w:val="20"/>
          <w:szCs w:val="20"/>
          <w:color w:val="auto"/>
        </w:rPr>
      </w:pPr>
    </w:p>
    <w:p>
      <w:pPr>
        <w:ind w:left="480" w:right="300" w:hanging="472"/>
        <w:spacing w:after="0" w:line="264" w:lineRule="auto"/>
        <w:rPr>
          <w:sz w:val="20"/>
          <w:szCs w:val="20"/>
          <w:color w:val="auto"/>
        </w:rPr>
      </w:pPr>
      <w:r>
        <w:rPr>
          <w:rFonts w:ascii="Arial" w:cs="Arial" w:eastAsia="Arial" w:hAnsi="Arial"/>
          <w:sz w:val="18"/>
          <w:szCs w:val="18"/>
          <w:color w:val="auto"/>
        </w:rPr>
        <w:t>11.3. Any rights and obligations accrued between the PARTIES prior to termination or expiration of this AGREEMENT shall not be affected by such termination or expiration. By way of illustration, no limitation, termination or expiration of this AGREEMENT, shall relieve REGENERON of any obligation hereunder to:</w:t>
      </w:r>
    </w:p>
    <w:p>
      <w:pPr>
        <w:spacing w:after="0" w:line="73"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make payment of any sum due to CELLECTIS pursuant to this AGREEMENT,</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keep records as provided herein,</w:t>
      </w:r>
    </w:p>
    <w:p>
      <w:pPr>
        <w:spacing w:after="0" w:line="130" w:lineRule="exact"/>
        <w:rPr>
          <w:rFonts w:ascii="Arial" w:cs="Arial" w:eastAsia="Arial" w:hAnsi="Arial"/>
          <w:sz w:val="18"/>
          <w:szCs w:val="18"/>
          <w:b w:val="1"/>
          <w:bCs w:val="1"/>
          <w:color w:val="auto"/>
        </w:rPr>
      </w:pPr>
    </w:p>
    <w:p>
      <w:pPr>
        <w:ind w:left="900" w:right="660" w:hanging="446"/>
        <w:spacing w:after="0" w:line="291" w:lineRule="auto"/>
        <w:tabs>
          <w:tab w:leader="none" w:pos="900" w:val="left"/>
        </w:tabs>
        <w:numPr>
          <w:ilvl w:val="0"/>
          <w:numId w:val="28"/>
        </w:numPr>
        <w:rPr>
          <w:rFonts w:ascii="Arial" w:cs="Arial" w:eastAsia="Arial" w:hAnsi="Arial"/>
          <w:sz w:val="16"/>
          <w:szCs w:val="16"/>
          <w:b w:val="1"/>
          <w:bCs w:val="1"/>
          <w:color w:val="auto"/>
        </w:rPr>
      </w:pPr>
      <w:r>
        <w:rPr>
          <w:rFonts w:ascii="Arial" w:cs="Arial" w:eastAsia="Arial" w:hAnsi="Arial"/>
          <w:sz w:val="16"/>
          <w:szCs w:val="16"/>
          <w:color w:val="auto"/>
        </w:rPr>
        <w:t xml:space="preserve">pay the annual fee to be paid according to Section 3.h on a prorated </w:t>
      </w:r>
      <w:r>
        <w:rPr>
          <w:rFonts w:ascii="Arial" w:cs="Arial" w:eastAsia="Arial" w:hAnsi="Arial"/>
          <w:sz w:val="16"/>
          <w:szCs w:val="16"/>
          <w:i w:val="1"/>
          <w:iCs w:val="1"/>
          <w:color w:val="auto"/>
        </w:rPr>
        <w:t>temporis</w:t>
      </w:r>
      <w:r>
        <w:rPr>
          <w:rFonts w:ascii="Arial" w:cs="Arial" w:eastAsia="Arial" w:hAnsi="Arial"/>
          <w:sz w:val="16"/>
          <w:szCs w:val="16"/>
          <w:color w:val="auto"/>
        </w:rPr>
        <w:t xml:space="preserve"> basis based on 365 days. By way of illustration, if this AGREEMENT is terminated pursuant to this Section 11 at any time, the payment will be calculated as follows: </w:t>
      </w:r>
      <w:r>
        <w:rPr>
          <w:rFonts w:ascii="Arial" w:cs="Arial" w:eastAsia="Arial" w:hAnsi="Arial"/>
          <w:sz w:val="16"/>
          <w:szCs w:val="16"/>
          <w:b w:val="1"/>
          <w:bCs w:val="1"/>
          <w:color w:val="auto"/>
        </w:rPr>
        <w:t>Step 1</w:t>
      </w:r>
      <w:r>
        <w:rPr>
          <w:rFonts w:ascii="Arial" w:cs="Arial" w:eastAsia="Arial" w:hAnsi="Arial"/>
          <w:sz w:val="16"/>
          <w:szCs w:val="16"/>
          <w:color w:val="auto"/>
        </w:rPr>
        <w:t>: the annual fee of</w:t>
      </w:r>
    </w:p>
    <w:p>
      <w:pPr>
        <w:jc w:val="both"/>
        <w:ind w:left="900" w:right="10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 xml:space="preserve">*********** is divided by 365 which yields ****** (such quotient hereinafter “the conversion factor” or “CF”), </w:t>
      </w:r>
      <w:r>
        <w:rPr>
          <w:rFonts w:ascii="Arial" w:cs="Arial" w:eastAsia="Arial" w:hAnsi="Arial"/>
          <w:sz w:val="18"/>
          <w:szCs w:val="18"/>
          <w:b w:val="1"/>
          <w:bCs w:val="1"/>
          <w:color w:val="auto"/>
        </w:rPr>
        <w:t>Step 2</w:t>
      </w:r>
      <w:r>
        <w:rPr>
          <w:rFonts w:ascii="Arial" w:cs="Arial" w:eastAsia="Arial" w:hAnsi="Arial"/>
          <w:sz w:val="18"/>
          <w:szCs w:val="18"/>
          <w:color w:val="auto"/>
        </w:rPr>
        <w:t xml:space="preserve">: determine the number of elapsed days from the last anniversary of the EFFECTIVE DATE to the effective date of termination (hereinafter “the number of days”), </w:t>
      </w:r>
      <w:r>
        <w:rPr>
          <w:rFonts w:ascii="Arial" w:cs="Arial" w:eastAsia="Arial" w:hAnsi="Arial"/>
          <w:sz w:val="18"/>
          <w:szCs w:val="18"/>
          <w:b w:val="1"/>
          <w:bCs w:val="1"/>
          <w:color w:val="auto"/>
        </w:rPr>
        <w:t>Step</w:t>
      </w:r>
      <w:r>
        <w:rPr>
          <w:rFonts w:ascii="Arial" w:cs="Arial" w:eastAsia="Arial" w:hAnsi="Arial"/>
          <w:sz w:val="18"/>
          <w:szCs w:val="18"/>
          <w:color w:val="auto"/>
        </w:rPr>
        <w:t xml:space="preserve"> </w:t>
      </w:r>
      <w:r>
        <w:rPr>
          <w:rFonts w:ascii="Arial" w:cs="Arial" w:eastAsia="Arial" w:hAnsi="Arial"/>
          <w:sz w:val="18"/>
          <w:szCs w:val="18"/>
          <w:b w:val="1"/>
          <w:bCs w:val="1"/>
          <w:color w:val="auto"/>
        </w:rPr>
        <w:t>3</w:t>
      </w:r>
      <w:r>
        <w:rPr>
          <w:rFonts w:ascii="Arial" w:cs="Arial" w:eastAsia="Arial" w:hAnsi="Arial"/>
          <w:sz w:val="18"/>
          <w:szCs w:val="18"/>
          <w:color w:val="auto"/>
        </w:rPr>
        <w:t>: multiply the number of days determined in Step 2 by the CF determined in Step 1</w:t>
      </w:r>
    </w:p>
    <w:p>
      <w:pPr>
        <w:spacing w:after="0" w:line="95" w:lineRule="exact"/>
        <w:rPr>
          <w:rFonts w:ascii="Arial" w:cs="Arial" w:eastAsia="Arial" w:hAnsi="Arial"/>
          <w:sz w:val="16"/>
          <w:szCs w:val="16"/>
          <w:b w:val="1"/>
          <w:bCs w:val="1"/>
          <w:color w:val="auto"/>
        </w:rPr>
      </w:pPr>
    </w:p>
    <w:p>
      <w:pPr>
        <w:ind w:left="900" w:right="380" w:hanging="446"/>
        <w:spacing w:after="0" w:line="277" w:lineRule="auto"/>
        <w:tabs>
          <w:tab w:leader="none" w:pos="90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pay royalty for NET SALES of the LICENSED PRODUCTS made prior to the date of said termination or of sales made after termination of LICENSED PROCESS manufactured prior to termination.</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way of further illustration:</w:t>
      </w:r>
    </w:p>
    <w:p>
      <w:pPr>
        <w:spacing w:after="0" w:line="117" w:lineRule="exact"/>
        <w:rPr>
          <w:sz w:val="20"/>
          <w:szCs w:val="20"/>
          <w:color w:val="auto"/>
        </w:rPr>
      </w:pPr>
    </w:p>
    <w:p>
      <w:pPr>
        <w:ind w:left="1360" w:hanging="447"/>
        <w:spacing w:after="0" w:line="272" w:lineRule="auto"/>
        <w:tabs>
          <w:tab w:leader="none" w:pos="1360" w:val="left"/>
        </w:tabs>
        <w:numPr>
          <w:ilvl w:val="0"/>
          <w:numId w:val="29"/>
        </w:numPr>
        <w:rPr>
          <w:rFonts w:ascii="Arial" w:cs="Arial" w:eastAsia="Arial" w:hAnsi="Arial"/>
          <w:sz w:val="17"/>
          <w:szCs w:val="17"/>
          <w:b w:val="1"/>
          <w:bCs w:val="1"/>
          <w:color w:val="auto"/>
        </w:rPr>
      </w:pPr>
      <w:r>
        <w:rPr>
          <w:rFonts w:ascii="Arial" w:cs="Arial" w:eastAsia="Arial" w:hAnsi="Arial"/>
          <w:sz w:val="17"/>
          <w:szCs w:val="17"/>
          <w:color w:val="auto"/>
        </w:rPr>
        <w:t>All rights and licenses granted under this AGREEMENT as to a LICENSED PRODUCT, LICENSED SERVICE, or DERIVED PRODUCT made, transferred, used, sold, offered for sale, imported or exported before the date of termination of the AGREEMENT (a “pre-termination product or service”) for which CELLECTIS receives the full consideration specified in the AGREEMENT shall remain in full force and effect following the expiration of the AGREEMENT. If the AGREEMENT terminates while payments are still due under the AGREEMENT on a pre-termination product or service, the rights and licenses granted to the pre-termination product or service under the AGREEMENT shall only remain in full force and effect as long as Regeneron continues to make the payments on the pre-termination product or service that would due if the AGREEMENT were still in effect.</w:t>
      </w:r>
    </w:p>
    <w:p>
      <w:pPr>
        <w:spacing w:after="0" w:line="83" w:lineRule="exact"/>
        <w:rPr>
          <w:rFonts w:ascii="Arial" w:cs="Arial" w:eastAsia="Arial" w:hAnsi="Arial"/>
          <w:sz w:val="17"/>
          <w:szCs w:val="17"/>
          <w:b w:val="1"/>
          <w:bCs w:val="1"/>
          <w:color w:val="auto"/>
        </w:rPr>
      </w:pPr>
    </w:p>
    <w:p>
      <w:pPr>
        <w:ind w:left="1360" w:right="600" w:hanging="447"/>
        <w:spacing w:after="0" w:line="277" w:lineRule="auto"/>
        <w:tabs>
          <w:tab w:leader="none" w:pos="13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All rights and licenses granted under this AGREEMENT shall remain in full force and effect to the extent necessary to perform the SPECIAL AGREEMENTS following termination of the AGREEMENT.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11.4.  The provisions of Articles 6, 9, 11.3, 11.4, 13, and 14 shall survive the expiration or termination of this AGREEMENT.</w:t>
      </w:r>
    </w:p>
    <w:p>
      <w:pPr>
        <w:spacing w:after="0" w:line="11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July 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5" w:name="page86"/>
    <w:bookmarkEnd w:id="85"/>
    <w:p>
      <w:pPr>
        <w:ind w:left="440"/>
        <w:spacing w:after="0"/>
        <w:rPr>
          <w:sz w:val="20"/>
          <w:szCs w:val="20"/>
          <w:color w:val="auto"/>
        </w:rPr>
      </w:pPr>
      <w:r>
        <w:rPr>
          <w:rFonts w:ascii="Arial" w:cs="Arial" w:eastAsia="Arial" w:hAnsi="Arial"/>
          <w:sz w:val="18"/>
          <w:szCs w:val="18"/>
          <w:b w:val="1"/>
          <w:bCs w:val="1"/>
          <w:u w:val="single" w:color="auto"/>
          <w:color w:val="auto"/>
        </w:rPr>
        <w:t>ARTICLE 12 – MISCELLANEOUS</w:t>
      </w:r>
    </w:p>
    <w:p>
      <w:pPr>
        <w:spacing w:after="0" w:line="135" w:lineRule="exact"/>
        <w:rPr>
          <w:sz w:val="20"/>
          <w:szCs w:val="20"/>
          <w:color w:val="auto"/>
        </w:rPr>
      </w:pPr>
    </w:p>
    <w:p>
      <w:pPr>
        <w:ind w:left="440" w:right="240" w:hanging="472"/>
        <w:spacing w:after="0" w:line="264" w:lineRule="auto"/>
        <w:rPr>
          <w:sz w:val="20"/>
          <w:szCs w:val="20"/>
          <w:color w:val="auto"/>
        </w:rPr>
      </w:pPr>
      <w:r>
        <w:rPr>
          <w:rFonts w:ascii="Arial" w:cs="Arial" w:eastAsia="Arial" w:hAnsi="Arial"/>
          <w:sz w:val="18"/>
          <w:szCs w:val="18"/>
          <w:color w:val="auto"/>
        </w:rPr>
        <w:t>12.1. No amendment to this AGREEMENT shall be valid unless embodied in a writing executed by each of the PARTIES hereto. No waiver of any of the provisions of this AGREEMENT shall be valid unless embodied in a writing executed by the PARTY against whom the waiver is sought to be enforced.</w:t>
      </w:r>
    </w:p>
    <w:p>
      <w:pPr>
        <w:spacing w:after="0" w:line="87" w:lineRule="exact"/>
        <w:rPr>
          <w:sz w:val="20"/>
          <w:szCs w:val="20"/>
          <w:color w:val="auto"/>
        </w:rPr>
      </w:pPr>
    </w:p>
    <w:p>
      <w:pPr>
        <w:jc w:val="both"/>
        <w:ind w:left="440" w:right="140" w:hanging="472"/>
        <w:spacing w:after="0" w:line="264" w:lineRule="auto"/>
        <w:rPr>
          <w:sz w:val="20"/>
          <w:szCs w:val="20"/>
          <w:color w:val="auto"/>
        </w:rPr>
      </w:pPr>
      <w:r>
        <w:rPr>
          <w:rFonts w:ascii="Arial" w:cs="Arial" w:eastAsia="Arial" w:hAnsi="Arial"/>
          <w:sz w:val="18"/>
          <w:szCs w:val="18"/>
          <w:color w:val="auto"/>
        </w:rPr>
        <w:t>12.2. This AGREEMENT (******) constitutes the entire understanding and agreement between the PARTIES with respect to the subject matter hereof and supersedes all prior agreements, understanding or arrangements, whether written or oral. This AGREEMENT supersedes all terms of the ORIGINAL AGREEMENT.</w:t>
      </w:r>
    </w:p>
    <w:p>
      <w:pPr>
        <w:spacing w:after="0" w:line="87" w:lineRule="exact"/>
        <w:rPr>
          <w:sz w:val="20"/>
          <w:szCs w:val="20"/>
          <w:color w:val="auto"/>
        </w:rPr>
      </w:pPr>
    </w:p>
    <w:p>
      <w:pPr>
        <w:ind w:left="440" w:hanging="472"/>
        <w:spacing w:after="0" w:line="264" w:lineRule="auto"/>
        <w:rPr>
          <w:sz w:val="20"/>
          <w:szCs w:val="20"/>
          <w:color w:val="auto"/>
        </w:rPr>
      </w:pPr>
      <w:r>
        <w:rPr>
          <w:rFonts w:ascii="Arial" w:cs="Arial" w:eastAsia="Arial" w:hAnsi="Arial"/>
          <w:sz w:val="18"/>
          <w:szCs w:val="18"/>
          <w:color w:val="auto"/>
        </w:rPr>
        <w:t>12.3. Any notice of communication authorized or required to be given hereunder or for the purpose hereof shall be duly given by a PARTY if sent by prepaid registered post or by any other method of delivery capable of providing reasonable proof of receipt thereof and sent to the other party hereto, as follows:</w:t>
      </w:r>
    </w:p>
    <w:p>
      <w:pPr>
        <w:spacing w:after="0" w:line="69" w:lineRule="exact"/>
        <w:rPr>
          <w:sz w:val="20"/>
          <w:szCs w:val="20"/>
          <w:color w:val="auto"/>
        </w:rPr>
      </w:pPr>
    </w:p>
    <w:p>
      <w:pPr>
        <w:ind w:left="1000"/>
        <w:spacing w:after="0"/>
        <w:rPr>
          <w:sz w:val="20"/>
          <w:szCs w:val="20"/>
          <w:color w:val="auto"/>
        </w:rPr>
      </w:pPr>
      <w:r>
        <w:rPr>
          <w:rFonts w:ascii="Arial" w:cs="Arial" w:eastAsia="Arial" w:hAnsi="Arial"/>
          <w:sz w:val="18"/>
          <w:szCs w:val="18"/>
          <w:b w:val="1"/>
          <w:bCs w:val="1"/>
          <w:u w:val="single" w:color="auto"/>
          <w:color w:val="auto"/>
        </w:rPr>
        <w:t>If to CELLECTIS:</w:t>
      </w:r>
    </w:p>
    <w:p>
      <w:pPr>
        <w:spacing w:after="0" w:line="2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Dr. André CHOULIKA</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Directeur Général</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CELLECTIS</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102 avenue Gaston Roussel</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93235 Romainville</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FRANCE</w:t>
      </w:r>
    </w:p>
    <w:p>
      <w:pPr>
        <w:spacing w:after="0" w:line="10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And via Facsimile or Air Mail to:</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Dr. David Sourdive</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VP Corporate Development</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CELLECTIS</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102 avenue Gaston Roussel</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93235 Romainville</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FRANCE</w:t>
      </w:r>
    </w:p>
    <w:p>
      <w:pPr>
        <w:spacing w:after="0" w:line="10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(fax : No 33.1.41.83.99.03)</w:t>
      </w:r>
    </w:p>
    <w:p>
      <w:pPr>
        <w:spacing w:after="0" w:line="113" w:lineRule="exact"/>
        <w:rPr>
          <w:sz w:val="20"/>
          <w:szCs w:val="20"/>
          <w:color w:val="auto"/>
        </w:rPr>
      </w:pPr>
    </w:p>
    <w:p>
      <w:pPr>
        <w:ind w:left="1000"/>
        <w:spacing w:after="0"/>
        <w:rPr>
          <w:sz w:val="20"/>
          <w:szCs w:val="20"/>
          <w:color w:val="auto"/>
        </w:rPr>
      </w:pPr>
      <w:r>
        <w:rPr>
          <w:rFonts w:ascii="Arial" w:cs="Arial" w:eastAsia="Arial" w:hAnsi="Arial"/>
          <w:sz w:val="18"/>
          <w:szCs w:val="18"/>
          <w:b w:val="1"/>
          <w:bCs w:val="1"/>
          <w:u w:val="single" w:color="auto"/>
          <w:color w:val="auto"/>
        </w:rPr>
        <w:t>If to REGENERON:</w:t>
      </w:r>
    </w:p>
    <w:p>
      <w:pPr>
        <w:spacing w:after="0" w:line="2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General Counsel</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Regeneron Pharmaceuticals</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Tarrytown, New York 10591</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U.S.A.</w:t>
      </w:r>
    </w:p>
    <w:p>
      <w:pPr>
        <w:spacing w:after="0" w:line="10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FAX :914-345-7721</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July 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409575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1" w:right="259" w:bottom="1440" w:gutter="0" w:footer="0" w:header="0"/>
        </w:sectPr>
      </w:pPr>
    </w:p>
    <w:bookmarkStart w:id="86" w:name="page87"/>
    <w:bookmarkEnd w:id="86"/>
    <w:p>
      <w:pPr>
        <w:ind w:left="480" w:right="80" w:hanging="472"/>
        <w:spacing w:after="0" w:line="264" w:lineRule="auto"/>
        <w:rPr>
          <w:sz w:val="20"/>
          <w:szCs w:val="20"/>
          <w:color w:val="auto"/>
        </w:rPr>
      </w:pPr>
      <w:r>
        <w:rPr>
          <w:rFonts w:ascii="Arial" w:cs="Arial" w:eastAsia="Arial" w:hAnsi="Arial"/>
          <w:sz w:val="18"/>
          <w:szCs w:val="18"/>
          <w:color w:val="auto"/>
        </w:rPr>
        <w:t>12.4. It is expressly agreed that the relationship between REGENERON and CELLECTIS shall not constitute a partnership, joint venture or agency. Neither REGENERON nor CELLECTIS shall have the authority to make any statements, representations or commitments of any kind, or to take any action, which shall be binding on the others, without the prior consent of the other PARTY to do so.</w:t>
      </w:r>
    </w:p>
    <w:p>
      <w:pPr>
        <w:spacing w:after="0" w:line="87" w:lineRule="exact"/>
        <w:rPr>
          <w:sz w:val="20"/>
          <w:szCs w:val="20"/>
          <w:color w:val="auto"/>
        </w:rPr>
      </w:pPr>
    </w:p>
    <w:p>
      <w:pPr>
        <w:ind w:left="480" w:right="80" w:hanging="472"/>
        <w:spacing w:after="0" w:line="264" w:lineRule="auto"/>
        <w:rPr>
          <w:sz w:val="20"/>
          <w:szCs w:val="20"/>
          <w:color w:val="auto"/>
        </w:rPr>
      </w:pPr>
      <w:r>
        <w:rPr>
          <w:rFonts w:ascii="Arial" w:cs="Arial" w:eastAsia="Arial" w:hAnsi="Arial"/>
          <w:sz w:val="18"/>
          <w:szCs w:val="18"/>
          <w:color w:val="auto"/>
        </w:rPr>
        <w:t>12.5. In performing this AGREEMENT, the PARTIES shall comply with all applicable laws. Wherever there is any conflict between any provision of this AGREEMENT and any law, the law shall prevail, but in such event the affected provision of this AGREEMENT shall be limited or eliminated only to the extent necessary, and the remainder of this AGREEMENT shall remain in full force and effect.</w:t>
      </w:r>
    </w:p>
    <w:p>
      <w:pPr>
        <w:spacing w:after="0" w:line="87" w:lineRule="exact"/>
        <w:rPr>
          <w:sz w:val="20"/>
          <w:szCs w:val="20"/>
          <w:color w:val="auto"/>
        </w:rPr>
      </w:pPr>
    </w:p>
    <w:p>
      <w:pPr>
        <w:ind w:left="480" w:right="80" w:hanging="472"/>
        <w:spacing w:after="0" w:line="279" w:lineRule="auto"/>
        <w:rPr>
          <w:sz w:val="20"/>
          <w:szCs w:val="20"/>
          <w:color w:val="auto"/>
        </w:rPr>
      </w:pPr>
      <w:r>
        <w:rPr>
          <w:rFonts w:ascii="Arial" w:cs="Arial" w:eastAsia="Arial" w:hAnsi="Arial"/>
          <w:sz w:val="17"/>
          <w:szCs w:val="17"/>
          <w:color w:val="auto"/>
        </w:rPr>
        <w:t>12.6. Captions and paragraph headings are for convenience only and shall not form an interpretative part of this AGREEMENT. Unless otherwise specifically provided, all references to an Article incorporate all sections or subsections thereunder. This AGREEMENT has been prepared jointly and shall not be strictly construed against either party hereto. The feminine and masculine pronouns are interchangeable hereunder as the context may require. The plural shall be substituted for the singular number in any place in which the context may require such substitution.</w:t>
      </w:r>
    </w:p>
    <w:p>
      <w:pPr>
        <w:spacing w:after="0" w:line="77" w:lineRule="exact"/>
        <w:rPr>
          <w:sz w:val="20"/>
          <w:szCs w:val="20"/>
          <w:color w:val="auto"/>
        </w:rPr>
      </w:pPr>
    </w:p>
    <w:p>
      <w:pPr>
        <w:ind w:left="480" w:right="280" w:hanging="472"/>
        <w:spacing w:after="0" w:line="276" w:lineRule="auto"/>
        <w:rPr>
          <w:sz w:val="20"/>
          <w:szCs w:val="20"/>
          <w:color w:val="auto"/>
        </w:rPr>
      </w:pPr>
      <w:r>
        <w:rPr>
          <w:rFonts w:ascii="Arial" w:cs="Arial" w:eastAsia="Arial" w:hAnsi="Arial"/>
          <w:sz w:val="17"/>
          <w:szCs w:val="17"/>
          <w:color w:val="auto"/>
        </w:rPr>
        <w:t>12.7. Except as herein detailed, REGENERON may not assign any of its rights arising or which may arise under this AGREEMENT without the prior written consent of CELLECTIS, which consent shall not be unreasonably withheld. Notwithstanding the foregoing, REGENERON may assign its rights and obligations under this AGREEMENT to a THIRD PARTY who acquires all or substantially all of its business by merger, sale of assets or otherwise, so long as such THIRD PARTY agrees to be bound by the terms of this AGREEMENT. This AGREEMENT shall be binding upon and inure to the benefit of the PARTIES hereto and their respective successors and permitted assigns.</w:t>
      </w:r>
    </w:p>
    <w:p>
      <w:pPr>
        <w:spacing w:after="0" w:line="74" w:lineRule="exact"/>
        <w:rPr>
          <w:sz w:val="20"/>
          <w:szCs w:val="20"/>
          <w:color w:val="auto"/>
        </w:rPr>
      </w:pPr>
    </w:p>
    <w:p>
      <w:pPr>
        <w:ind w:left="480"/>
        <w:spacing w:after="0"/>
        <w:rPr>
          <w:sz w:val="20"/>
          <w:szCs w:val="20"/>
          <w:color w:val="auto"/>
        </w:rPr>
      </w:pPr>
      <w:r>
        <w:rPr>
          <w:rFonts w:ascii="Arial" w:cs="Arial" w:eastAsia="Arial" w:hAnsi="Arial"/>
          <w:sz w:val="18"/>
          <w:szCs w:val="18"/>
          <w:b w:val="1"/>
          <w:bCs w:val="1"/>
          <w:u w:val="single" w:color="auto"/>
          <w:color w:val="auto"/>
        </w:rPr>
        <w:t>ARTICLE 13 – GOVERNING LAW</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This AGREEMENT is acknowledged to have been made in and shall be construed in accordance with the laws of New York, United States, without regard to conflict of laws principles which would dictate the application of the law of a different jurisdiction. All disputes arising from the present AGREEMENT, its interpretation, the validity or its performance shall be submitted to the competent court of New York, United States. Each Party unconditionally submits to the jurisdiction identified in this Article 13. Nothing herein shall be construed to prevent either PARTY from obtaining, in case of urgency, equitable relief, including injunction or specific performance, in the event of a breach or threatened breach of the provisions of this AGREEMENT.</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8"/>
          <w:szCs w:val="18"/>
          <w:b w:val="1"/>
          <w:bCs w:val="1"/>
          <w:u w:val="single" w:color="auto"/>
          <w:color w:val="auto"/>
        </w:rPr>
        <w:t>ARTICLE 14 – RELEASE AND COVENANT NOT TO SUE</w:t>
      </w:r>
    </w:p>
    <w:p>
      <w:pPr>
        <w:spacing w:after="0" w:line="131" w:lineRule="exact"/>
        <w:rPr>
          <w:sz w:val="20"/>
          <w:szCs w:val="20"/>
          <w:color w:val="auto"/>
        </w:rPr>
      </w:pPr>
    </w:p>
    <w:p>
      <w:pPr>
        <w:ind w:left="480" w:right="140" w:hanging="472"/>
        <w:spacing w:after="0" w:line="289" w:lineRule="auto"/>
        <w:rPr>
          <w:sz w:val="20"/>
          <w:szCs w:val="20"/>
          <w:color w:val="auto"/>
        </w:rPr>
      </w:pPr>
      <w:r>
        <w:rPr>
          <w:rFonts w:ascii="Arial" w:cs="Arial" w:eastAsia="Arial" w:hAnsi="Arial"/>
          <w:sz w:val="17"/>
          <w:szCs w:val="17"/>
          <w:color w:val="auto"/>
        </w:rPr>
        <w:t xml:space="preserve">14.1. </w:t>
      </w:r>
      <w:r>
        <w:rPr>
          <w:rFonts w:ascii="Arial" w:cs="Arial" w:eastAsia="Arial" w:hAnsi="Arial"/>
          <w:sz w:val="17"/>
          <w:szCs w:val="17"/>
          <w:b w:val="1"/>
          <w:bCs w:val="1"/>
          <w:color w:val="auto"/>
        </w:rPr>
        <w:t>Release.</w:t>
      </w:r>
      <w:r>
        <w:rPr>
          <w:rFonts w:ascii="Arial" w:cs="Arial" w:eastAsia="Arial" w:hAnsi="Arial"/>
          <w:sz w:val="17"/>
          <w:szCs w:val="17"/>
          <w:color w:val="auto"/>
        </w:rPr>
        <w:t xml:space="preserve"> CELLECTIS on behalf of itself and its successors, assigns, and AFFILIATES, does hereby now release and discharge REGENERON, its successors, assigns, AFFILIATES, customers, ASTELLAS, ASTRAZENECA, SANOFI-AVENTIS (and their respective successors and assigns), and each of their respective current and former officers, directors, employees, agents, attorneys, and</w:t>
      </w:r>
    </w:p>
    <w:p>
      <w:pPr>
        <w:spacing w:after="0" w:line="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July 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87" w:name="page88"/>
    <w:bookmarkEnd w:id="87"/>
    <w:p>
      <w:pPr>
        <w:ind w:left="480" w:right="120"/>
        <w:spacing w:after="0" w:line="264" w:lineRule="auto"/>
        <w:rPr>
          <w:sz w:val="20"/>
          <w:szCs w:val="20"/>
          <w:color w:val="auto"/>
        </w:rPr>
      </w:pPr>
      <w:r>
        <w:rPr>
          <w:rFonts w:ascii="Arial" w:cs="Arial" w:eastAsia="Arial" w:hAnsi="Arial"/>
          <w:sz w:val="18"/>
          <w:szCs w:val="18"/>
          <w:color w:val="auto"/>
        </w:rPr>
        <w:t>representatives, from any and all CLAIMS (i) arising out of the SPECIAL AGREEMENTS and relating to the practice of the PATENTS in the FIELD OF USE; (ii) arising from the ORIGINAL AGREEMENT and (iii) relating to the practice of the PATENTS in the FIELD OF USE occurring on or before the date of this AGREEMENT.</w:t>
      </w:r>
    </w:p>
    <w:p>
      <w:pPr>
        <w:spacing w:after="0" w:line="83" w:lineRule="exact"/>
        <w:rPr>
          <w:sz w:val="20"/>
          <w:szCs w:val="20"/>
          <w:color w:val="auto"/>
        </w:rPr>
      </w:pPr>
    </w:p>
    <w:p>
      <w:pPr>
        <w:ind w:left="480" w:right="220" w:hanging="472"/>
        <w:spacing w:after="0" w:line="281" w:lineRule="auto"/>
        <w:rPr>
          <w:sz w:val="20"/>
          <w:szCs w:val="20"/>
          <w:color w:val="auto"/>
        </w:rPr>
      </w:pPr>
      <w:r>
        <w:rPr>
          <w:rFonts w:ascii="Arial" w:cs="Arial" w:eastAsia="Arial" w:hAnsi="Arial"/>
          <w:sz w:val="17"/>
          <w:szCs w:val="17"/>
          <w:color w:val="auto"/>
        </w:rPr>
        <w:t xml:space="preserve">14.2. </w:t>
      </w:r>
      <w:r>
        <w:rPr>
          <w:rFonts w:ascii="Arial" w:cs="Arial" w:eastAsia="Arial" w:hAnsi="Arial"/>
          <w:sz w:val="17"/>
          <w:szCs w:val="17"/>
          <w:b w:val="1"/>
          <w:bCs w:val="1"/>
          <w:color w:val="auto"/>
        </w:rPr>
        <w:t>Covenant Not to Sue</w:t>
      </w:r>
      <w:r>
        <w:rPr>
          <w:rFonts w:ascii="Arial" w:cs="Arial" w:eastAsia="Arial" w:hAnsi="Arial"/>
          <w:sz w:val="17"/>
          <w:szCs w:val="17"/>
          <w:color w:val="auto"/>
        </w:rPr>
        <w:t>. CELLECTIS, as well as its successors, assigns, and AFFILIATES shall not now or at any time in the future initiate any arbitration, lawsuit, or other proceeding asserting any CLAIM released pursuant to Section 14.1 of this AGREEMENT. If there is a breach of the obligations in Section 14.1, CELLECTIS shall indemnify REGENERON and its AFFILIATES and defend and hold them harmless, from and against any liability, loss, cost, or expense (including but not limited to actual attorneys’ fees) arising out of or related to such breach.</w:t>
      </w:r>
    </w:p>
    <w:p>
      <w:pPr>
        <w:spacing w:after="0" w:line="70" w:lineRule="exact"/>
        <w:rPr>
          <w:sz w:val="20"/>
          <w:szCs w:val="20"/>
          <w:color w:val="auto"/>
        </w:rPr>
      </w:pPr>
    </w:p>
    <w:p>
      <w:pPr>
        <w:ind w:left="480"/>
        <w:spacing w:after="0"/>
        <w:rPr>
          <w:sz w:val="20"/>
          <w:szCs w:val="20"/>
          <w:color w:val="auto"/>
        </w:rPr>
      </w:pPr>
      <w:r>
        <w:rPr>
          <w:rFonts w:ascii="Arial" w:cs="Arial" w:eastAsia="Arial" w:hAnsi="Arial"/>
          <w:sz w:val="18"/>
          <w:szCs w:val="18"/>
          <w:b w:val="1"/>
          <w:bCs w:val="1"/>
          <w:u w:val="single" w:color="auto"/>
          <w:color w:val="auto"/>
        </w:rPr>
        <w:t>ARTICLE 15 – REGISTRATION OF THE AGREEMENT</w:t>
      </w:r>
    </w:p>
    <w:p>
      <w:pPr>
        <w:spacing w:after="0" w:line="121"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If the terms of this AGREEMENT are such as to require that the AGREEMENT or any part of it be registered with or reported to or filed with a national or supranational agency having authority over a country of the TERRITORY in which REGENERON will do business under the AGREEMENT (SUCH AS THE US SECURITIES AND EXCHANGE COMMISSION), REGENERON shall, at its expense, undertake such registration or report. Prompt notice and appropriate verification of the act of registration or report of any agency ruling resulting therefrom will be supplied by REGENERON to CELLECTIS. Should such registration require partial communication of the AGREEMENT, REGENERON shall notify CELLECTIS prior to filing or registration and consider in good faith all reasonable comments provided by CELLECTIS.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PARTIES have caused this AGREEMENT to be executed on their behalf by their respective duly authorized officers.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r>
              <w:rPr>
                <w:rFonts w:ascii="Arial" w:cs="Arial" w:eastAsia="Arial" w:hAnsi="Arial"/>
                <w:sz w:val="18"/>
                <w:szCs w:val="18"/>
                <w:b w:val="1"/>
                <w:bCs w:val="1"/>
                <w:color w:val="auto"/>
              </w:rPr>
              <w:t>REGENERON PHARMACEUTICALS, INC.</w:t>
            </w:r>
          </w:p>
        </w:tc>
        <w:tc>
          <w:tcPr>
            <w:tcW w:w="7020" w:type="dxa"/>
            <w:vAlign w:val="bottom"/>
          </w:tcPr>
          <w:p>
            <w:pPr>
              <w:ind w:left="1420"/>
              <w:spacing w:after="0"/>
              <w:rPr>
                <w:sz w:val="20"/>
                <w:szCs w:val="20"/>
                <w:color w:val="auto"/>
              </w:rPr>
            </w:pPr>
            <w:r>
              <w:rPr>
                <w:rFonts w:ascii="Arial" w:cs="Arial" w:eastAsia="Arial" w:hAnsi="Arial"/>
                <w:sz w:val="18"/>
                <w:szCs w:val="18"/>
                <w:b w:val="1"/>
                <w:bCs w:val="1"/>
                <w:color w:val="auto"/>
              </w:rPr>
              <w:t>CELLECTIS S.A.</w:t>
            </w:r>
          </w:p>
        </w:tc>
      </w:tr>
      <w:tr>
        <w:trPr>
          <w:trHeight w:val="432"/>
        </w:trPr>
        <w:tc>
          <w:tcPr>
            <w:tcW w:w="4400" w:type="dxa"/>
            <w:vAlign w:val="bottom"/>
          </w:tcPr>
          <w:p>
            <w:pPr>
              <w:spacing w:after="0"/>
              <w:rPr>
                <w:sz w:val="20"/>
                <w:szCs w:val="20"/>
                <w:color w:val="auto"/>
              </w:rPr>
            </w:pPr>
            <w:r>
              <w:rPr>
                <w:rFonts w:ascii="Arial" w:cs="Arial" w:eastAsia="Arial" w:hAnsi="Arial"/>
                <w:sz w:val="18"/>
                <w:szCs w:val="18"/>
                <w:color w:val="auto"/>
              </w:rPr>
              <w:t>By:</w:t>
            </w:r>
          </w:p>
        </w:tc>
        <w:tc>
          <w:tcPr>
            <w:tcW w:w="7020" w:type="dxa"/>
            <w:vAlign w:val="bottom"/>
          </w:tcPr>
          <w:p>
            <w:pPr>
              <w:ind w:left="1420"/>
              <w:spacing w:after="0"/>
              <w:rPr>
                <w:sz w:val="20"/>
                <w:szCs w:val="20"/>
                <w:color w:val="auto"/>
              </w:rPr>
            </w:pPr>
            <w:r>
              <w:rPr>
                <w:rFonts w:ascii="Arial" w:cs="Arial" w:eastAsia="Arial" w:hAnsi="Arial"/>
                <w:sz w:val="18"/>
                <w:szCs w:val="18"/>
                <w:color w:val="auto"/>
              </w:rPr>
              <w:t>By:</w:t>
            </w:r>
          </w:p>
        </w:tc>
      </w:tr>
      <w:tr>
        <w:trPr>
          <w:trHeight w:val="432"/>
        </w:trPr>
        <w:tc>
          <w:tcPr>
            <w:tcW w:w="4400" w:type="dxa"/>
            <w:vAlign w:val="bottom"/>
          </w:tcPr>
          <w:p>
            <w:pPr>
              <w:spacing w:after="0"/>
              <w:rPr>
                <w:sz w:val="20"/>
                <w:szCs w:val="20"/>
                <w:color w:val="auto"/>
              </w:rPr>
            </w:pPr>
            <w:r>
              <w:rPr>
                <w:rFonts w:ascii="Arial" w:cs="Arial" w:eastAsia="Arial" w:hAnsi="Arial"/>
                <w:sz w:val="18"/>
                <w:szCs w:val="18"/>
                <w:color w:val="auto"/>
              </w:rPr>
              <w:t>/s/ Stuart Kolinski</w:t>
            </w:r>
          </w:p>
        </w:tc>
        <w:tc>
          <w:tcPr>
            <w:tcW w:w="7020" w:type="dxa"/>
            <w:vAlign w:val="bottom"/>
          </w:tcPr>
          <w:p>
            <w:pPr>
              <w:ind w:left="1420"/>
              <w:spacing w:after="0"/>
              <w:rPr>
                <w:sz w:val="20"/>
                <w:szCs w:val="20"/>
                <w:color w:val="auto"/>
              </w:rPr>
            </w:pPr>
            <w:r>
              <w:rPr>
                <w:rFonts w:ascii="Arial" w:cs="Arial" w:eastAsia="Arial" w:hAnsi="Arial"/>
                <w:sz w:val="18"/>
                <w:szCs w:val="18"/>
                <w:color w:val="auto"/>
              </w:rPr>
              <w:t>/s/ André Choulika</w:t>
            </w:r>
          </w:p>
        </w:tc>
      </w:tr>
      <w:tr>
        <w:trPr>
          <w:trHeight w:val="418"/>
        </w:trPr>
        <w:tc>
          <w:tcPr>
            <w:tcW w:w="4400" w:type="dxa"/>
            <w:vAlign w:val="bottom"/>
          </w:tcPr>
          <w:p>
            <w:pPr>
              <w:spacing w:after="0"/>
              <w:rPr>
                <w:sz w:val="20"/>
                <w:szCs w:val="20"/>
                <w:color w:val="auto"/>
              </w:rPr>
            </w:pPr>
            <w:r>
              <w:rPr>
                <w:rFonts w:ascii="Arial" w:cs="Arial" w:eastAsia="Arial" w:hAnsi="Arial"/>
                <w:sz w:val="18"/>
                <w:szCs w:val="18"/>
                <w:color w:val="auto"/>
              </w:rPr>
              <w:t>Name: Stuart Kolinski</w:t>
            </w:r>
          </w:p>
        </w:tc>
        <w:tc>
          <w:tcPr>
            <w:tcW w:w="7020" w:type="dxa"/>
            <w:vAlign w:val="bottom"/>
          </w:tcPr>
          <w:p>
            <w:pPr>
              <w:ind w:left="1420"/>
              <w:spacing w:after="0"/>
              <w:rPr>
                <w:sz w:val="20"/>
                <w:szCs w:val="20"/>
                <w:color w:val="auto"/>
              </w:rPr>
            </w:pPr>
            <w:r>
              <w:rPr>
                <w:rFonts w:ascii="Arial" w:cs="Arial" w:eastAsia="Arial" w:hAnsi="Arial"/>
                <w:sz w:val="18"/>
                <w:szCs w:val="18"/>
                <w:color w:val="auto"/>
              </w:rPr>
              <w:t>Name: Dr. André CHOULIKA,</w:t>
            </w:r>
          </w:p>
        </w:tc>
      </w:tr>
      <w:tr>
        <w:trPr>
          <w:trHeight w:val="230"/>
        </w:trPr>
        <w:tc>
          <w:tcPr>
            <w:tcW w:w="4400" w:type="dxa"/>
            <w:vAlign w:val="bottom"/>
          </w:tcPr>
          <w:p>
            <w:pPr>
              <w:ind w:left="540"/>
              <w:spacing w:after="0"/>
              <w:rPr>
                <w:sz w:val="20"/>
                <w:szCs w:val="20"/>
                <w:color w:val="auto"/>
              </w:rPr>
            </w:pPr>
            <w:r>
              <w:rPr>
                <w:rFonts w:ascii="Arial" w:cs="Arial" w:eastAsia="Arial" w:hAnsi="Arial"/>
                <w:sz w:val="18"/>
                <w:szCs w:val="18"/>
                <w:color w:val="auto"/>
              </w:rPr>
              <w:t>General Counsel</w:t>
            </w:r>
          </w:p>
        </w:tc>
        <w:tc>
          <w:tcPr>
            <w:tcW w:w="7020" w:type="dxa"/>
            <w:vAlign w:val="bottom"/>
          </w:tcPr>
          <w:p>
            <w:pPr>
              <w:ind w:left="1960"/>
              <w:spacing w:after="0"/>
              <w:rPr>
                <w:sz w:val="20"/>
                <w:szCs w:val="20"/>
                <w:color w:val="auto"/>
              </w:rPr>
            </w:pPr>
            <w:r>
              <w:rPr>
                <w:rFonts w:ascii="Arial" w:cs="Arial" w:eastAsia="Arial" w:hAnsi="Arial"/>
                <w:sz w:val="18"/>
                <w:szCs w:val="18"/>
                <w:color w:val="auto"/>
              </w:rPr>
              <w:t>Directeur Général</w:t>
            </w:r>
          </w:p>
        </w:tc>
      </w:tr>
      <w:tr>
        <w:trPr>
          <w:trHeight w:val="324"/>
        </w:trPr>
        <w:tc>
          <w:tcPr>
            <w:tcW w:w="4400" w:type="dxa"/>
            <w:vAlign w:val="bottom"/>
          </w:tcPr>
          <w:p>
            <w:pPr>
              <w:spacing w:after="0"/>
              <w:rPr>
                <w:sz w:val="24"/>
                <w:szCs w:val="24"/>
                <w:color w:val="auto"/>
              </w:rPr>
            </w:pPr>
          </w:p>
        </w:tc>
        <w:tc>
          <w:tcPr>
            <w:tcW w:w="7020" w:type="dxa"/>
            <w:vAlign w:val="bottom"/>
          </w:tcPr>
          <w:p>
            <w:pPr>
              <w:ind w:left="860"/>
              <w:spacing w:after="0"/>
              <w:rPr>
                <w:sz w:val="20"/>
                <w:szCs w:val="20"/>
                <w:color w:val="auto"/>
              </w:rPr>
            </w:pPr>
            <w:r>
              <w:rPr>
                <w:rFonts w:ascii="Arial" w:cs="Arial" w:eastAsia="Arial" w:hAnsi="Arial"/>
                <w:sz w:val="18"/>
                <w:szCs w:val="18"/>
                <w:b w:val="1"/>
                <w:bCs w:val="1"/>
                <w:color w:val="auto"/>
              </w:rPr>
              <w:t>July 1, 2008</w:t>
            </w:r>
          </w:p>
        </w:tc>
      </w:tr>
      <w:tr>
        <w:trPr>
          <w:trHeight w:val="632"/>
        </w:trPr>
        <w:tc>
          <w:tcPr>
            <w:tcW w:w="4400" w:type="dxa"/>
            <w:vAlign w:val="bottom"/>
            <w:tcBorders>
              <w:bottom w:val="single" w:sz="8" w:color="808080"/>
            </w:tcBorders>
          </w:tcPr>
          <w:p>
            <w:pPr>
              <w:spacing w:after="0"/>
              <w:rPr>
                <w:sz w:val="24"/>
                <w:szCs w:val="24"/>
                <w:color w:val="auto"/>
              </w:rPr>
            </w:pPr>
          </w:p>
        </w:tc>
        <w:tc>
          <w:tcPr>
            <w:tcW w:w="70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PATENTS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tcBorders>
              <w:bottom w:val="single" w:sz="8" w:color="auto"/>
            </w:tcBorders>
            <w:gridSpan w:val="3"/>
          </w:tcPr>
          <w:p>
            <w:pPr>
              <w:ind w:left="1280"/>
              <w:spacing w:after="0"/>
              <w:rPr>
                <w:sz w:val="20"/>
                <w:szCs w:val="20"/>
                <w:color w:val="auto"/>
              </w:rPr>
            </w:pPr>
            <w:r>
              <w:rPr>
                <w:rFonts w:ascii="Arial" w:cs="Arial" w:eastAsia="Arial" w:hAnsi="Arial"/>
                <w:sz w:val="14"/>
                <w:szCs w:val="14"/>
                <w:b w:val="1"/>
                <w:bCs w:val="1"/>
                <w:color w:val="auto"/>
              </w:rPr>
              <w:t>APPLICATION</w:t>
            </w:r>
          </w:p>
        </w:tc>
        <w:tc>
          <w:tcPr>
            <w:tcW w:w="340" w:type="dxa"/>
            <w:vAlign w:val="bottom"/>
          </w:tcPr>
          <w:p>
            <w:pPr>
              <w:spacing w:after="0"/>
              <w:rPr>
                <w:sz w:val="14"/>
                <w:szCs w:val="14"/>
                <w:color w:val="auto"/>
              </w:rPr>
            </w:pPr>
          </w:p>
        </w:tc>
        <w:tc>
          <w:tcPr>
            <w:tcW w:w="19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PUBLICATION</w:t>
            </w:r>
          </w:p>
        </w:tc>
        <w:tc>
          <w:tcPr>
            <w:tcW w:w="14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PATENT</w:t>
            </w:r>
          </w:p>
        </w:tc>
        <w:tc>
          <w:tcPr>
            <w:tcW w:w="340" w:type="dxa"/>
            <w:vAlign w:val="bottom"/>
          </w:tcPr>
          <w:p>
            <w:pPr>
              <w:spacing w:after="0"/>
              <w:rPr>
                <w:sz w:val="14"/>
                <w:szCs w:val="14"/>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19"/>
        </w:trPr>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0"/>
                <w:szCs w:val="10"/>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FILING DATE</w:t>
            </w:r>
          </w:p>
        </w:tc>
        <w:tc>
          <w:tcPr>
            <w:tcW w:w="340" w:type="dxa"/>
            <w:vAlign w:val="bottom"/>
          </w:tcPr>
          <w:p>
            <w:pPr>
              <w:spacing w:after="0"/>
              <w:rPr>
                <w:sz w:val="10"/>
                <w:szCs w:val="10"/>
                <w:color w:val="auto"/>
              </w:rPr>
            </w:pPr>
          </w:p>
        </w:tc>
        <w:tc>
          <w:tcPr>
            <w:tcW w:w="1960" w:type="dxa"/>
            <w:vAlign w:val="bottom"/>
            <w:gridSpan w:val="2"/>
            <w:vMerge w:val="continue"/>
          </w:tcPr>
          <w:p>
            <w:pPr>
              <w:spacing w:after="0"/>
              <w:rPr>
                <w:sz w:val="10"/>
                <w:szCs w:val="10"/>
                <w:color w:val="auto"/>
              </w:rPr>
            </w:pPr>
          </w:p>
        </w:tc>
        <w:tc>
          <w:tcPr>
            <w:tcW w:w="1400" w:type="dxa"/>
            <w:vAlign w:val="bottom"/>
            <w:vMerge w:val="restart"/>
          </w:tcPr>
          <w:p>
            <w:pPr>
              <w:jc w:val="center"/>
              <w:ind w:left="112"/>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GRANTING</w:t>
            </w:r>
          </w:p>
        </w:tc>
        <w:tc>
          <w:tcPr>
            <w:tcW w:w="34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62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340" w:type="dxa"/>
            <w:vAlign w:val="bottom"/>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10"/>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PCT/FR90/00185</w:t>
            </w:r>
          </w:p>
        </w:tc>
        <w:tc>
          <w:tcPr>
            <w:tcW w:w="194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1"/>
              </w:rPr>
              <w:t>19/03/90</w:t>
            </w:r>
          </w:p>
        </w:tc>
        <w:tc>
          <w:tcPr>
            <w:tcW w:w="3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1"/>
              </w:rPr>
              <w:t>WO 90/11354</w:t>
            </w: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88"/>
              </w:rPr>
              <w:t>8903630</w:t>
            </w:r>
          </w:p>
        </w:tc>
        <w:tc>
          <w:tcPr>
            <w:tcW w:w="194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20/03/89</w:t>
            </w:r>
          </w:p>
        </w:tc>
        <w:tc>
          <w:tcPr>
            <w:tcW w:w="340" w:type="dxa"/>
            <w:vAlign w:val="bottom"/>
          </w:tcPr>
          <w:p>
            <w:pPr>
              <w:spacing w:after="0"/>
              <w:rPr>
                <w:sz w:val="18"/>
                <w:szCs w:val="18"/>
                <w:color w:val="auto"/>
              </w:rPr>
            </w:pPr>
          </w:p>
        </w:tc>
        <w:tc>
          <w:tcPr>
            <w:tcW w:w="19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FR 2 646 438</w:t>
            </w:r>
          </w:p>
        </w:tc>
        <w:tc>
          <w:tcPr>
            <w:tcW w:w="1400" w:type="dxa"/>
            <w:vAlign w:val="bottom"/>
          </w:tcPr>
          <w:p>
            <w:pPr>
              <w:jc w:val="center"/>
              <w:ind w:left="132"/>
              <w:spacing w:after="0"/>
              <w:rPr>
                <w:sz w:val="20"/>
                <w:szCs w:val="20"/>
                <w:color w:val="auto"/>
              </w:rPr>
            </w:pPr>
            <w:r>
              <w:rPr>
                <w:rFonts w:ascii="Arial" w:cs="Arial" w:eastAsia="Arial" w:hAnsi="Arial"/>
                <w:sz w:val="18"/>
                <w:szCs w:val="18"/>
                <w:color w:val="auto"/>
                <w:w w:val="89"/>
              </w:rPr>
              <w:t>FR 2 646 438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90905207</w:t>
            </w:r>
          </w:p>
        </w:tc>
        <w:tc>
          <w:tcPr>
            <w:tcW w:w="194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1"/>
              </w:rPr>
              <w:t>19/03/90</w:t>
            </w:r>
          </w:p>
        </w:tc>
        <w:tc>
          <w:tcPr>
            <w:tcW w:w="3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9"/>
              </w:rPr>
              <w:t>EP 419 621</w:t>
            </w:r>
          </w:p>
        </w:tc>
        <w:tc>
          <w:tcPr>
            <w:tcW w:w="1400" w:type="dxa"/>
            <w:vAlign w:val="bottom"/>
            <w:shd w:val="clear" w:color="auto" w:fill="CCEEFF"/>
          </w:tcPr>
          <w:p>
            <w:pPr>
              <w:jc w:val="center"/>
              <w:ind w:left="112"/>
              <w:spacing w:after="0"/>
              <w:rPr>
                <w:sz w:val="20"/>
                <w:szCs w:val="20"/>
                <w:color w:val="auto"/>
              </w:rPr>
            </w:pPr>
            <w:r>
              <w:rPr>
                <w:rFonts w:ascii="Arial" w:cs="Arial" w:eastAsia="Arial" w:hAnsi="Arial"/>
                <w:sz w:val="18"/>
                <w:szCs w:val="18"/>
                <w:color w:val="auto"/>
                <w:w w:val="89"/>
              </w:rPr>
              <w:t>EP 419 621</w:t>
            </w:r>
          </w:p>
        </w:tc>
        <w:tc>
          <w:tcPr>
            <w:tcW w:w="2180" w:type="dxa"/>
            <w:vAlign w:val="bottom"/>
            <w:gridSpan w:val="3"/>
            <w:shd w:val="clear" w:color="auto" w:fill="CCEEFF"/>
          </w:tcPr>
          <w:p>
            <w:pPr>
              <w:jc w:val="center"/>
              <w:ind w:left="452"/>
              <w:spacing w:after="0"/>
              <w:rPr>
                <w:sz w:val="20"/>
                <w:szCs w:val="20"/>
                <w:color w:val="auto"/>
              </w:rPr>
            </w:pPr>
            <w:r>
              <w:rPr>
                <w:rFonts w:ascii="Arial" w:cs="Arial" w:eastAsia="Arial" w:hAnsi="Arial"/>
                <w:sz w:val="18"/>
                <w:szCs w:val="18"/>
                <w:color w:val="auto"/>
                <w:w w:val="91"/>
              </w:rPr>
              <w:t>27/12/95</w:t>
            </w:r>
          </w:p>
        </w:tc>
        <w:tc>
          <w:tcPr>
            <w:tcW w:w="198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1"/>
              </w:rPr>
              <w:t>19/03/10</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80" w:type="dxa"/>
            <w:vAlign w:val="bottom"/>
            <w:gridSpan w:val="8"/>
          </w:tcPr>
          <w:p>
            <w:pPr>
              <w:ind w:left="860"/>
              <w:spacing w:after="0"/>
              <w:rPr>
                <w:sz w:val="20"/>
                <w:szCs w:val="20"/>
                <w:color w:val="auto"/>
              </w:rPr>
            </w:pPr>
            <w:r>
              <w:rPr>
                <w:rFonts w:ascii="Arial" w:cs="Arial" w:eastAsia="Arial" w:hAnsi="Arial"/>
                <w:sz w:val="18"/>
                <w:szCs w:val="18"/>
                <w:color w:val="auto"/>
              </w:rPr>
              <w:t>NATIONAL VALIDATION IN: AT,BE,CH,DE,DK,ES,FR,GB,IT,LI,LU,NL,SE</w:t>
            </w:r>
          </w:p>
        </w:tc>
        <w:tc>
          <w:tcPr>
            <w:tcW w:w="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95107951</w:t>
            </w:r>
          </w:p>
        </w:tc>
        <w:tc>
          <w:tcPr>
            <w:tcW w:w="194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1"/>
              </w:rPr>
              <w:t>24/05/95</w:t>
            </w:r>
          </w:p>
        </w:tc>
        <w:tc>
          <w:tcPr>
            <w:tcW w:w="3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7"/>
              </w:rPr>
              <w:t>EP 682 111</w:t>
            </w: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89"/>
              </w:rPr>
              <w:t>95107952</w:t>
            </w:r>
          </w:p>
        </w:tc>
        <w:tc>
          <w:tcPr>
            <w:tcW w:w="194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24/05/95</w:t>
            </w:r>
          </w:p>
        </w:tc>
        <w:tc>
          <w:tcPr>
            <w:tcW w:w="340" w:type="dxa"/>
            <w:vAlign w:val="bottom"/>
          </w:tcPr>
          <w:p>
            <w:pPr>
              <w:spacing w:after="0"/>
              <w:rPr>
                <w:sz w:val="18"/>
                <w:szCs w:val="18"/>
                <w:color w:val="auto"/>
              </w:rPr>
            </w:pPr>
          </w:p>
        </w:tc>
        <w:tc>
          <w:tcPr>
            <w:tcW w:w="19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EP 682 112</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JP 50515490</w:t>
            </w:r>
          </w:p>
        </w:tc>
        <w:tc>
          <w:tcPr>
            <w:tcW w:w="194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1"/>
              </w:rPr>
              <w:t>19/03/90</w:t>
            </w:r>
          </w:p>
        </w:tc>
        <w:tc>
          <w:tcPr>
            <w:tcW w:w="3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JP 11318479</w:t>
            </w:r>
          </w:p>
        </w:tc>
        <w:tc>
          <w:tcPr>
            <w:tcW w:w="1400" w:type="dxa"/>
            <w:vAlign w:val="bottom"/>
            <w:shd w:val="clear" w:color="auto" w:fill="CCEEFF"/>
          </w:tcPr>
          <w:p>
            <w:pPr>
              <w:jc w:val="center"/>
              <w:ind w:left="112"/>
              <w:spacing w:after="0"/>
              <w:rPr>
                <w:sz w:val="20"/>
                <w:szCs w:val="20"/>
                <w:color w:val="auto"/>
              </w:rPr>
            </w:pPr>
            <w:r>
              <w:rPr>
                <w:rFonts w:ascii="Arial" w:cs="Arial" w:eastAsia="Arial" w:hAnsi="Arial"/>
                <w:sz w:val="18"/>
                <w:szCs w:val="18"/>
                <w:color w:val="auto"/>
                <w:w w:val="87"/>
              </w:rPr>
              <w:t>JP 3059481</w:t>
            </w:r>
          </w:p>
        </w:tc>
        <w:tc>
          <w:tcPr>
            <w:tcW w:w="2180" w:type="dxa"/>
            <w:vAlign w:val="bottom"/>
            <w:gridSpan w:val="3"/>
            <w:shd w:val="clear" w:color="auto" w:fill="CCEEFF"/>
          </w:tcPr>
          <w:p>
            <w:pPr>
              <w:jc w:val="center"/>
              <w:ind w:left="452"/>
              <w:spacing w:after="0"/>
              <w:rPr>
                <w:sz w:val="20"/>
                <w:szCs w:val="20"/>
                <w:color w:val="auto"/>
              </w:rPr>
            </w:pPr>
            <w:r>
              <w:rPr>
                <w:rFonts w:ascii="Arial" w:cs="Arial" w:eastAsia="Arial" w:hAnsi="Arial"/>
                <w:sz w:val="18"/>
                <w:szCs w:val="18"/>
                <w:color w:val="auto"/>
                <w:w w:val="93"/>
              </w:rPr>
              <w:t>4/07/00</w:t>
            </w:r>
          </w:p>
        </w:tc>
        <w:tc>
          <w:tcPr>
            <w:tcW w:w="198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1"/>
              </w:rPr>
              <w:t>19/03/10</w:t>
            </w: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89"/>
              </w:rPr>
              <w:t>JP 9936699</w:t>
            </w:r>
          </w:p>
        </w:tc>
        <w:tc>
          <w:tcPr>
            <w:tcW w:w="194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19/03/90</w:t>
            </w:r>
          </w:p>
        </w:tc>
        <w:tc>
          <w:tcPr>
            <w:tcW w:w="340" w:type="dxa"/>
            <w:vAlign w:val="bottom"/>
          </w:tcPr>
          <w:p>
            <w:pPr>
              <w:spacing w:after="0"/>
              <w:rPr>
                <w:sz w:val="18"/>
                <w:szCs w:val="18"/>
                <w:color w:val="auto"/>
              </w:rPr>
            </w:pPr>
          </w:p>
        </w:tc>
        <w:tc>
          <w:tcPr>
            <w:tcW w:w="19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JP 3504335</w:t>
            </w:r>
          </w:p>
        </w:tc>
        <w:tc>
          <w:tcPr>
            <w:tcW w:w="1400" w:type="dxa"/>
            <w:vAlign w:val="bottom"/>
          </w:tcPr>
          <w:p>
            <w:pPr>
              <w:jc w:val="center"/>
              <w:ind w:left="112"/>
              <w:spacing w:after="0"/>
              <w:rPr>
                <w:sz w:val="20"/>
                <w:szCs w:val="20"/>
                <w:color w:val="auto"/>
              </w:rPr>
            </w:pPr>
            <w:r>
              <w:rPr>
                <w:rFonts w:ascii="Arial" w:cs="Arial" w:eastAsia="Arial" w:hAnsi="Arial"/>
                <w:sz w:val="18"/>
                <w:szCs w:val="18"/>
                <w:color w:val="auto"/>
                <w:w w:val="87"/>
              </w:rPr>
              <w:t>JP 3298842</w:t>
            </w:r>
          </w:p>
        </w:tc>
        <w:tc>
          <w:tcPr>
            <w:tcW w:w="2180" w:type="dxa"/>
            <w:vAlign w:val="bottom"/>
            <w:gridSpan w:val="3"/>
          </w:tcPr>
          <w:p>
            <w:pPr>
              <w:jc w:val="center"/>
              <w:ind w:left="452"/>
              <w:spacing w:after="0"/>
              <w:rPr>
                <w:sz w:val="20"/>
                <w:szCs w:val="20"/>
                <w:color w:val="auto"/>
              </w:rPr>
            </w:pPr>
            <w:r>
              <w:rPr>
                <w:rFonts w:ascii="Arial" w:cs="Arial" w:eastAsia="Arial" w:hAnsi="Arial"/>
                <w:sz w:val="18"/>
                <w:szCs w:val="18"/>
                <w:color w:val="auto"/>
                <w:w w:val="93"/>
              </w:rPr>
              <w:t>8/07/02</w:t>
            </w:r>
          </w:p>
        </w:tc>
        <w:tc>
          <w:tcPr>
            <w:tcW w:w="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JP 00287359</w:t>
            </w:r>
          </w:p>
        </w:tc>
        <w:tc>
          <w:tcPr>
            <w:tcW w:w="194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1"/>
              </w:rPr>
              <w:t>19/03/90</w:t>
            </w:r>
          </w:p>
        </w:tc>
        <w:tc>
          <w:tcPr>
            <w:tcW w:w="3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7"/>
              </w:rPr>
              <w:t>JP 2001120284</w:t>
            </w:r>
          </w:p>
        </w:tc>
        <w:tc>
          <w:tcPr>
            <w:tcW w:w="1400" w:type="dxa"/>
            <w:vAlign w:val="bottom"/>
            <w:shd w:val="clear" w:color="auto" w:fill="CCEEFF"/>
          </w:tcPr>
          <w:p>
            <w:pPr>
              <w:jc w:val="center"/>
              <w:ind w:left="112"/>
              <w:spacing w:after="0"/>
              <w:rPr>
                <w:sz w:val="20"/>
                <w:szCs w:val="20"/>
                <w:color w:val="auto"/>
              </w:rPr>
            </w:pPr>
            <w:r>
              <w:rPr>
                <w:rFonts w:ascii="Arial" w:cs="Arial" w:eastAsia="Arial" w:hAnsi="Arial"/>
                <w:sz w:val="18"/>
                <w:szCs w:val="18"/>
                <w:color w:val="auto"/>
                <w:w w:val="87"/>
              </w:rPr>
              <w:t>JP 3298864</w:t>
            </w:r>
          </w:p>
        </w:tc>
        <w:tc>
          <w:tcPr>
            <w:tcW w:w="2180" w:type="dxa"/>
            <w:vAlign w:val="bottom"/>
            <w:gridSpan w:val="3"/>
            <w:shd w:val="clear" w:color="auto" w:fill="CCEEFF"/>
          </w:tcPr>
          <w:p>
            <w:pPr>
              <w:jc w:val="center"/>
              <w:ind w:left="452"/>
              <w:spacing w:after="0"/>
              <w:rPr>
                <w:sz w:val="20"/>
                <w:szCs w:val="20"/>
                <w:color w:val="auto"/>
              </w:rPr>
            </w:pPr>
            <w:r>
              <w:rPr>
                <w:rFonts w:ascii="Arial" w:cs="Arial" w:eastAsia="Arial" w:hAnsi="Arial"/>
                <w:sz w:val="18"/>
                <w:szCs w:val="18"/>
                <w:color w:val="auto"/>
                <w:w w:val="93"/>
              </w:rPr>
              <w:t>8/07/02</w:t>
            </w:r>
          </w:p>
        </w:tc>
        <w:tc>
          <w:tcPr>
            <w:tcW w:w="3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90"/>
              </w:rPr>
              <w:t>US 044,362</w:t>
            </w:r>
          </w:p>
        </w:tc>
        <w:tc>
          <w:tcPr>
            <w:tcW w:w="1940" w:type="dxa"/>
            <w:vAlign w:val="bottom"/>
            <w:gridSpan w:val="2"/>
          </w:tcPr>
          <w:p>
            <w:pPr>
              <w:jc w:val="center"/>
              <w:ind w:left="250"/>
              <w:spacing w:after="0"/>
              <w:rPr>
                <w:sz w:val="20"/>
                <w:szCs w:val="20"/>
                <w:color w:val="auto"/>
              </w:rPr>
            </w:pPr>
            <w:r>
              <w:rPr>
                <w:rFonts w:ascii="Arial" w:cs="Arial" w:eastAsia="Arial" w:hAnsi="Arial"/>
                <w:sz w:val="18"/>
                <w:szCs w:val="18"/>
                <w:color w:val="auto"/>
                <w:w w:val="93"/>
              </w:rPr>
              <w:t>7/04/93</w:t>
            </w: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US 301,037</w:t>
            </w:r>
          </w:p>
        </w:tc>
        <w:tc>
          <w:tcPr>
            <w:tcW w:w="194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3"/>
              </w:rPr>
              <w:t>6/09/94</w:t>
            </w:r>
          </w:p>
        </w:tc>
        <w:tc>
          <w:tcPr>
            <w:tcW w:w="3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jc w:val="center"/>
              <w:ind w:left="112"/>
              <w:spacing w:after="0"/>
              <w:rPr>
                <w:sz w:val="20"/>
                <w:szCs w:val="20"/>
                <w:color w:val="auto"/>
              </w:rPr>
            </w:pPr>
            <w:r>
              <w:rPr>
                <w:rFonts w:ascii="Arial" w:cs="Arial" w:eastAsia="Arial" w:hAnsi="Arial"/>
                <w:sz w:val="18"/>
                <w:szCs w:val="18"/>
                <w:color w:val="auto"/>
                <w:w w:val="90"/>
              </w:rPr>
              <w:t>US 6 528 313</w:t>
            </w:r>
          </w:p>
        </w:tc>
        <w:tc>
          <w:tcPr>
            <w:tcW w:w="2180" w:type="dxa"/>
            <w:vAlign w:val="bottom"/>
            <w:gridSpan w:val="3"/>
            <w:shd w:val="clear" w:color="auto" w:fill="CCEEFF"/>
          </w:tcPr>
          <w:p>
            <w:pPr>
              <w:jc w:val="center"/>
              <w:ind w:left="452"/>
              <w:spacing w:after="0"/>
              <w:rPr>
                <w:sz w:val="20"/>
                <w:szCs w:val="20"/>
                <w:color w:val="auto"/>
              </w:rPr>
            </w:pPr>
            <w:r>
              <w:rPr>
                <w:rFonts w:ascii="Arial" w:cs="Arial" w:eastAsia="Arial" w:hAnsi="Arial"/>
                <w:sz w:val="18"/>
                <w:szCs w:val="18"/>
                <w:color w:val="auto"/>
                <w:w w:val="91"/>
              </w:rPr>
              <w:t>04/03/03</w:t>
            </w:r>
          </w:p>
        </w:tc>
        <w:tc>
          <w:tcPr>
            <w:tcW w:w="198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1"/>
              </w:rPr>
              <w:t>04/03/20</w:t>
            </w: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90"/>
              </w:rPr>
              <w:t>US 466,699</w:t>
            </w:r>
          </w:p>
        </w:tc>
        <w:tc>
          <w:tcPr>
            <w:tcW w:w="1940" w:type="dxa"/>
            <w:vAlign w:val="bottom"/>
            <w:gridSpan w:val="2"/>
          </w:tcPr>
          <w:p>
            <w:pPr>
              <w:jc w:val="center"/>
              <w:ind w:left="250"/>
              <w:spacing w:after="0"/>
              <w:rPr>
                <w:sz w:val="20"/>
                <w:szCs w:val="20"/>
                <w:color w:val="auto"/>
              </w:rPr>
            </w:pPr>
            <w:r>
              <w:rPr>
                <w:rFonts w:ascii="Arial" w:cs="Arial" w:eastAsia="Arial" w:hAnsi="Arial"/>
                <w:sz w:val="18"/>
                <w:szCs w:val="18"/>
                <w:color w:val="auto"/>
                <w:w w:val="93"/>
              </w:rPr>
              <w:t>6/06/95</w:t>
            </w: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center"/>
              <w:ind w:left="132"/>
              <w:spacing w:after="0"/>
              <w:rPr>
                <w:sz w:val="20"/>
                <w:szCs w:val="20"/>
                <w:color w:val="auto"/>
              </w:rPr>
            </w:pPr>
            <w:r>
              <w:rPr>
                <w:rFonts w:ascii="Arial" w:cs="Arial" w:eastAsia="Arial" w:hAnsi="Arial"/>
                <w:sz w:val="18"/>
                <w:szCs w:val="18"/>
                <w:color w:val="auto"/>
                <w:w w:val="89"/>
              </w:rPr>
              <w:t>US6 638 768</w:t>
            </w:r>
          </w:p>
        </w:tc>
        <w:tc>
          <w:tcPr>
            <w:tcW w:w="2180" w:type="dxa"/>
            <w:vAlign w:val="bottom"/>
            <w:gridSpan w:val="3"/>
          </w:tcPr>
          <w:p>
            <w:pPr>
              <w:jc w:val="center"/>
              <w:ind w:left="452"/>
              <w:spacing w:after="0"/>
              <w:rPr>
                <w:sz w:val="20"/>
                <w:szCs w:val="20"/>
                <w:color w:val="auto"/>
              </w:rPr>
            </w:pPr>
            <w:r>
              <w:rPr>
                <w:rFonts w:ascii="Arial" w:cs="Arial" w:eastAsia="Arial" w:hAnsi="Arial"/>
                <w:sz w:val="18"/>
                <w:szCs w:val="18"/>
                <w:color w:val="auto"/>
                <w:w w:val="91"/>
              </w:rPr>
              <w:t>28/10/03</w:t>
            </w:r>
          </w:p>
        </w:tc>
        <w:tc>
          <w:tcPr>
            <w:tcW w:w="198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28/10/20</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US 466,539</w:t>
            </w:r>
          </w:p>
        </w:tc>
        <w:tc>
          <w:tcPr>
            <w:tcW w:w="194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3"/>
              </w:rPr>
              <w:t>6/06/95</w:t>
            </w:r>
          </w:p>
        </w:tc>
        <w:tc>
          <w:tcPr>
            <w:tcW w:w="3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jc w:val="center"/>
              <w:ind w:left="112"/>
              <w:spacing w:after="0"/>
              <w:rPr>
                <w:sz w:val="20"/>
                <w:szCs w:val="20"/>
                <w:color w:val="auto"/>
              </w:rPr>
            </w:pPr>
            <w:r>
              <w:rPr>
                <w:rFonts w:ascii="Arial" w:cs="Arial" w:eastAsia="Arial" w:hAnsi="Arial"/>
                <w:sz w:val="18"/>
                <w:szCs w:val="18"/>
                <w:color w:val="auto"/>
                <w:w w:val="90"/>
              </w:rPr>
              <w:t>US 6 528 314</w:t>
            </w:r>
          </w:p>
        </w:tc>
        <w:tc>
          <w:tcPr>
            <w:tcW w:w="2180" w:type="dxa"/>
            <w:vAlign w:val="bottom"/>
            <w:gridSpan w:val="3"/>
            <w:shd w:val="clear" w:color="auto" w:fill="CCEEFF"/>
          </w:tcPr>
          <w:p>
            <w:pPr>
              <w:jc w:val="center"/>
              <w:ind w:left="452"/>
              <w:spacing w:after="0"/>
              <w:rPr>
                <w:sz w:val="20"/>
                <w:szCs w:val="20"/>
                <w:color w:val="auto"/>
              </w:rPr>
            </w:pPr>
            <w:r>
              <w:rPr>
                <w:rFonts w:ascii="Arial" w:cs="Arial" w:eastAsia="Arial" w:hAnsi="Arial"/>
                <w:sz w:val="18"/>
                <w:szCs w:val="18"/>
                <w:color w:val="auto"/>
                <w:w w:val="91"/>
              </w:rPr>
              <w:t>04/03/03</w:t>
            </w:r>
          </w:p>
        </w:tc>
        <w:tc>
          <w:tcPr>
            <w:tcW w:w="198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1"/>
              </w:rPr>
              <w:t>04/03/20</w:t>
            </w: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88"/>
              </w:rPr>
              <w:t>SG 96060827</w:t>
            </w:r>
          </w:p>
        </w:tc>
        <w:tc>
          <w:tcPr>
            <w:tcW w:w="1940" w:type="dxa"/>
            <w:vAlign w:val="bottom"/>
            <w:gridSpan w:val="2"/>
          </w:tcPr>
          <w:p>
            <w:pPr>
              <w:jc w:val="center"/>
              <w:ind w:left="250"/>
              <w:spacing w:after="0"/>
              <w:rPr>
                <w:sz w:val="20"/>
                <w:szCs w:val="20"/>
                <w:color w:val="auto"/>
              </w:rPr>
            </w:pPr>
            <w:r>
              <w:rPr>
                <w:rFonts w:ascii="Arial" w:cs="Arial" w:eastAsia="Arial" w:hAnsi="Arial"/>
                <w:sz w:val="18"/>
                <w:szCs w:val="18"/>
                <w:color w:val="auto"/>
                <w:w w:val="93"/>
              </w:rPr>
              <w:t>1/02/97</w:t>
            </w:r>
          </w:p>
        </w:tc>
        <w:tc>
          <w:tcPr>
            <w:tcW w:w="340" w:type="dxa"/>
            <w:vAlign w:val="bottom"/>
          </w:tcPr>
          <w:p>
            <w:pPr>
              <w:spacing w:after="0"/>
              <w:rPr>
                <w:sz w:val="18"/>
                <w:szCs w:val="18"/>
                <w:color w:val="auto"/>
              </w:rPr>
            </w:pPr>
          </w:p>
        </w:tc>
        <w:tc>
          <w:tcPr>
            <w:tcW w:w="196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SG49110</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SG 96060876</w:t>
            </w:r>
          </w:p>
        </w:tc>
        <w:tc>
          <w:tcPr>
            <w:tcW w:w="194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1"/>
              </w:rPr>
              <w:t>19/03/90</w:t>
            </w:r>
          </w:p>
        </w:tc>
        <w:tc>
          <w:tcPr>
            <w:tcW w:w="3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6"/>
              </w:rPr>
              <w:t>SG49112</w:t>
            </w: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91"/>
              </w:rPr>
              <w:t>US 10/639,754</w:t>
            </w:r>
          </w:p>
        </w:tc>
        <w:tc>
          <w:tcPr>
            <w:tcW w:w="194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13/08/03</w:t>
            </w:r>
          </w:p>
        </w:tc>
        <w:tc>
          <w:tcPr>
            <w:tcW w:w="1960" w:type="dxa"/>
            <w:vAlign w:val="bottom"/>
            <w:gridSpan w:val="2"/>
          </w:tcPr>
          <w:p>
            <w:pPr>
              <w:jc w:val="center"/>
              <w:ind w:left="250"/>
              <w:spacing w:after="0"/>
              <w:rPr>
                <w:sz w:val="20"/>
                <w:szCs w:val="20"/>
                <w:color w:val="auto"/>
              </w:rPr>
            </w:pPr>
            <w:r>
              <w:rPr>
                <w:rFonts w:ascii="Arial" w:cs="Arial" w:eastAsia="Arial" w:hAnsi="Arial"/>
                <w:sz w:val="18"/>
                <w:szCs w:val="18"/>
                <w:color w:val="auto"/>
                <w:w w:val="88"/>
              </w:rPr>
              <w:t>20040250301</w:t>
            </w: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180" w:type="dxa"/>
            <w:vAlign w:val="bottom"/>
            <w:gridSpan w:val="3"/>
            <w:shd w:val="clear" w:color="auto" w:fill="CCEEFF"/>
          </w:tcPr>
          <w:p>
            <w:pPr>
              <w:jc w:val="center"/>
              <w:ind w:left="452"/>
              <w:spacing w:after="0" w:line="201" w:lineRule="exact"/>
              <w:rPr>
                <w:sz w:val="20"/>
                <w:szCs w:val="20"/>
                <w:color w:val="auto"/>
              </w:rPr>
            </w:pPr>
            <w:r>
              <w:rPr>
                <w:rFonts w:ascii="Arial" w:cs="Arial" w:eastAsia="Arial" w:hAnsi="Arial"/>
                <w:sz w:val="18"/>
                <w:szCs w:val="18"/>
                <w:color w:val="auto"/>
                <w:w w:val="88"/>
              </w:rPr>
              <w:t>11/717,037</w:t>
            </w:r>
          </w:p>
        </w:tc>
        <w:tc>
          <w:tcPr>
            <w:tcW w:w="3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(unpublished)</w:t>
            </w:r>
          </w:p>
        </w:tc>
        <w:tc>
          <w:tcPr>
            <w:tcW w:w="3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US 10/770,418</w:t>
            </w:r>
          </w:p>
        </w:tc>
        <w:tc>
          <w:tcPr>
            <w:tcW w:w="194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1"/>
              </w:rPr>
              <w:t>4/2/04</w:t>
            </w:r>
          </w:p>
        </w:tc>
        <w:tc>
          <w:tcPr>
            <w:tcW w:w="196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88"/>
              </w:rPr>
              <w:t>20040203153</w:t>
            </w:r>
          </w:p>
        </w:tc>
        <w:tc>
          <w:tcPr>
            <w:tcW w:w="3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Filed 13/03/07</w:t>
            </w:r>
          </w:p>
        </w:tc>
        <w:tc>
          <w:tcPr>
            <w:tcW w:w="3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93"/>
              </w:rPr>
              <w:t>NL 030029711</w:t>
            </w:r>
          </w:p>
        </w:tc>
        <w:tc>
          <w:tcPr>
            <w:tcW w:w="1940" w:type="dxa"/>
            <w:vAlign w:val="bottom"/>
            <w:gridSpan w:val="2"/>
          </w:tcPr>
          <w:p>
            <w:pPr>
              <w:jc w:val="center"/>
              <w:ind w:left="250"/>
              <w:spacing w:after="0"/>
              <w:rPr>
                <w:sz w:val="20"/>
                <w:szCs w:val="20"/>
                <w:color w:val="auto"/>
              </w:rPr>
            </w:pPr>
            <w:r>
              <w:rPr>
                <w:rFonts w:ascii="Arial" w:cs="Arial" w:eastAsia="Arial" w:hAnsi="Arial"/>
                <w:sz w:val="18"/>
                <w:szCs w:val="18"/>
                <w:color w:val="auto"/>
                <w:w w:val="93"/>
              </w:rPr>
              <w:t>7/10/07</w:t>
            </w: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LU 0091371</w:t>
            </w:r>
          </w:p>
        </w:tc>
        <w:tc>
          <w:tcPr>
            <w:tcW w:w="194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1"/>
              </w:rPr>
              <w:t>10/10/07</w:t>
            </w:r>
          </w:p>
        </w:tc>
        <w:tc>
          <w:tcPr>
            <w:tcW w:w="3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93"/>
              </w:rPr>
              <w:t>HK 0150696</w:t>
            </w:r>
          </w:p>
        </w:tc>
        <w:tc>
          <w:tcPr>
            <w:tcW w:w="1940" w:type="dxa"/>
            <w:vAlign w:val="bottom"/>
            <w:gridSpan w:val="2"/>
          </w:tcPr>
          <w:p>
            <w:pPr>
              <w:jc w:val="center"/>
              <w:ind w:left="230"/>
              <w:spacing w:after="0"/>
              <w:rPr>
                <w:sz w:val="20"/>
                <w:szCs w:val="20"/>
                <w:color w:val="auto"/>
              </w:rPr>
            </w:pPr>
            <w:r>
              <w:rPr>
                <w:rFonts w:ascii="Arial" w:cs="Arial" w:eastAsia="Arial" w:hAnsi="Arial"/>
                <w:sz w:val="18"/>
                <w:szCs w:val="18"/>
                <w:color w:val="auto"/>
                <w:w w:val="91"/>
              </w:rPr>
              <w:t>8/8/96</w:t>
            </w: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ES 2281897</w:t>
            </w:r>
          </w:p>
        </w:tc>
        <w:tc>
          <w:tcPr>
            <w:tcW w:w="194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89"/>
              </w:rPr>
              <w:t>19/3/1990</w:t>
            </w:r>
          </w:p>
        </w:tc>
        <w:tc>
          <w:tcPr>
            <w:tcW w:w="3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90"/>
              </w:rPr>
              <w:t>ES 2081977</w:t>
            </w:r>
          </w:p>
        </w:tc>
        <w:tc>
          <w:tcPr>
            <w:tcW w:w="194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19/3/1990</w:t>
            </w: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DK 0682112</w:t>
            </w:r>
          </w:p>
        </w:tc>
        <w:tc>
          <w:tcPr>
            <w:tcW w:w="194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3"/>
              </w:rPr>
              <w:t>19/3/90</w:t>
            </w:r>
          </w:p>
        </w:tc>
        <w:tc>
          <w:tcPr>
            <w:tcW w:w="3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93"/>
              </w:rPr>
              <w:t>DK 0419621</w:t>
            </w:r>
          </w:p>
        </w:tc>
        <w:tc>
          <w:tcPr>
            <w:tcW w:w="1940" w:type="dxa"/>
            <w:vAlign w:val="bottom"/>
            <w:gridSpan w:val="2"/>
          </w:tcPr>
          <w:p>
            <w:pPr>
              <w:jc w:val="center"/>
              <w:ind w:left="250"/>
              <w:spacing w:after="0"/>
              <w:rPr>
                <w:sz w:val="20"/>
                <w:szCs w:val="20"/>
                <w:color w:val="auto"/>
              </w:rPr>
            </w:pPr>
            <w:r>
              <w:rPr>
                <w:rFonts w:ascii="Arial" w:cs="Arial" w:eastAsia="Arial" w:hAnsi="Arial"/>
                <w:sz w:val="18"/>
                <w:szCs w:val="18"/>
                <w:color w:val="auto"/>
                <w:w w:val="93"/>
              </w:rPr>
              <w:t>19/3/90</w:t>
            </w: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 69034238</w:t>
            </w:r>
          </w:p>
        </w:tc>
        <w:tc>
          <w:tcPr>
            <w:tcW w:w="194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3"/>
              </w:rPr>
              <w:t>19/3/90</w:t>
            </w:r>
          </w:p>
        </w:tc>
        <w:tc>
          <w:tcPr>
            <w:tcW w:w="3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92"/>
              </w:rPr>
              <w:t>DE 69024440</w:t>
            </w:r>
          </w:p>
        </w:tc>
        <w:tc>
          <w:tcPr>
            <w:tcW w:w="194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19/3/1990</w:t>
            </w: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AT 0359363</w:t>
            </w:r>
          </w:p>
        </w:tc>
        <w:tc>
          <w:tcPr>
            <w:tcW w:w="194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89"/>
              </w:rPr>
              <w:t>19/3/1990</w:t>
            </w:r>
          </w:p>
        </w:tc>
        <w:tc>
          <w:tcPr>
            <w:tcW w:w="3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91"/>
              </w:rPr>
              <w:t>AT 0132189</w:t>
            </w:r>
          </w:p>
        </w:tc>
        <w:tc>
          <w:tcPr>
            <w:tcW w:w="194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19/3/1990</w:t>
            </w: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EP 1826215</w:t>
            </w:r>
          </w:p>
        </w:tc>
        <w:tc>
          <w:tcPr>
            <w:tcW w:w="340" w:type="dxa"/>
            <w:vAlign w:val="bottom"/>
            <w:shd w:val="clear" w:color="auto" w:fill="CCEEFF"/>
          </w:tcPr>
          <w:p>
            <w:pPr>
              <w:spacing w:after="0"/>
              <w:rPr>
                <w:sz w:val="17"/>
                <w:szCs w:val="17"/>
                <w:color w:val="auto"/>
              </w:rPr>
            </w:pPr>
          </w:p>
        </w:tc>
        <w:tc>
          <w:tcPr>
            <w:tcW w:w="16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F. 3/19/90 (Div. of</w:t>
            </w:r>
          </w:p>
        </w:tc>
        <w:tc>
          <w:tcPr>
            <w:tcW w:w="3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Appl. No.</w:t>
            </w: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00682 112 and</w:t>
            </w:r>
          </w:p>
        </w:tc>
        <w:tc>
          <w:tcPr>
            <w:tcW w:w="3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07007307.7</w:t>
            </w:r>
          </w:p>
        </w:tc>
        <w:tc>
          <w:tcPr>
            <w:tcW w:w="194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1"/>
              </w:rPr>
              <w:t>0419 621)</w:t>
            </w:r>
          </w:p>
        </w:tc>
        <w:tc>
          <w:tcPr>
            <w:tcW w:w="34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July 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958" w:right="1440"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10.3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SUBSCRIPTION AGREEMENT</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color w:val="auto"/>
        </w:rPr>
        <w:t>This Subscription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made as of the 1</w:t>
      </w:r>
      <w:r>
        <w:rPr>
          <w:rFonts w:ascii="Arial" w:cs="Arial" w:eastAsia="Arial" w:hAnsi="Arial"/>
          <w:sz w:val="14"/>
          <w:szCs w:val="14"/>
          <w:color w:val="auto"/>
        </w:rPr>
        <w:t>st</w:t>
      </w:r>
      <w:r>
        <w:rPr>
          <w:rFonts w:ascii="Arial" w:cs="Arial" w:eastAsia="Arial" w:hAnsi="Arial"/>
          <w:sz w:val="17"/>
          <w:szCs w:val="17"/>
          <w:color w:val="auto"/>
        </w:rPr>
        <w:t xml:space="preserve"> day of July, 2008, by and between Cellectis S.A., a French </w:t>
      </w:r>
      <w:r>
        <w:rPr>
          <w:rFonts w:ascii="Arial" w:cs="Arial" w:eastAsia="Arial" w:hAnsi="Arial"/>
          <w:sz w:val="17"/>
          <w:szCs w:val="17"/>
          <w:i w:val="1"/>
          <w:iCs w:val="1"/>
          <w:color w:val="auto"/>
        </w:rPr>
        <w:t>société anonyme</w:t>
      </w:r>
      <w:r>
        <w:rPr>
          <w:rFonts w:ascii="Arial" w:cs="Arial" w:eastAsia="Arial" w:hAnsi="Arial"/>
          <w:sz w:val="17"/>
          <w:szCs w:val="17"/>
          <w:color w:val="auto"/>
        </w:rPr>
        <w:t>, the main office of which is located 102, avenue Gaston Roussel, 93230 Romainville, France, registered with the registry of commerce and companies of Bobigny under number 428 859 052, (the “</w:t>
      </w:r>
      <w:r>
        <w:rPr>
          <w:rFonts w:ascii="Arial" w:cs="Arial" w:eastAsia="Arial" w:hAnsi="Arial"/>
          <w:sz w:val="17"/>
          <w:szCs w:val="17"/>
          <w:b w:val="1"/>
          <w:bCs w:val="1"/>
          <w:color w:val="auto"/>
        </w:rPr>
        <w:t>Company</w:t>
      </w:r>
      <w:r>
        <w:rPr>
          <w:rFonts w:ascii="Arial" w:cs="Arial" w:eastAsia="Arial" w:hAnsi="Arial"/>
          <w:sz w:val="17"/>
          <w:szCs w:val="17"/>
          <w:color w:val="auto"/>
        </w:rPr>
        <w:t>”) and Regeneron Pharmaceuticals, Inc., a company incorporated under the law of New York, the main office of which is located 777 Old Saw Mill River Road, Tarrytown, New York 10591 (the “</w:t>
      </w:r>
      <w:r>
        <w:rPr>
          <w:rFonts w:ascii="Arial" w:cs="Arial" w:eastAsia="Arial" w:hAnsi="Arial"/>
          <w:sz w:val="17"/>
          <w:szCs w:val="17"/>
          <w:b w:val="1"/>
          <w:bCs w:val="1"/>
          <w:color w:val="auto"/>
        </w:rPr>
        <w:t>Investor</w:t>
      </w:r>
      <w:r>
        <w:rPr>
          <w:rFonts w:ascii="Arial" w:cs="Arial" w:eastAsia="Arial" w:hAnsi="Arial"/>
          <w:sz w:val="17"/>
          <w:szCs w:val="17"/>
          <w:color w:val="auto"/>
        </w:rPr>
        <w:t>”) (the Company and the Investor shall be sometimes hereinafter individually referred to as a “</w:t>
      </w:r>
      <w:r>
        <w:rPr>
          <w:rFonts w:ascii="Arial" w:cs="Arial" w:eastAsia="Arial" w:hAnsi="Arial"/>
          <w:sz w:val="17"/>
          <w:szCs w:val="17"/>
          <w:b w:val="1"/>
          <w:bCs w:val="1"/>
          <w:color w:val="auto"/>
        </w:rPr>
        <w:t>Party</w:t>
      </w:r>
      <w:r>
        <w:rPr>
          <w:rFonts w:ascii="Arial" w:cs="Arial" w:eastAsia="Arial" w:hAnsi="Arial"/>
          <w:sz w:val="17"/>
          <w:szCs w:val="17"/>
          <w:color w:val="auto"/>
        </w:rPr>
        <w:t>” and collectively as the “</w:t>
      </w:r>
      <w:r>
        <w:rPr>
          <w:rFonts w:ascii="Arial" w:cs="Arial" w:eastAsia="Arial" w:hAnsi="Arial"/>
          <w:sz w:val="17"/>
          <w:szCs w:val="17"/>
          <w:b w:val="1"/>
          <w:bCs w:val="1"/>
          <w:color w:val="auto"/>
        </w:rPr>
        <w:t>Parties</w:t>
      </w:r>
      <w:r>
        <w:rPr>
          <w:rFonts w:ascii="Arial" w:cs="Arial" w:eastAsia="Arial" w:hAnsi="Arial"/>
          <w:sz w:val="17"/>
          <w:szCs w:val="17"/>
          <w:color w:val="auto"/>
        </w:rPr>
        <w:t>”).</w:t>
      </w:r>
    </w:p>
    <w:p>
      <w:pPr>
        <w:spacing w:after="0" w:line="60"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the terms and subject to the conditions set forth in this Agreement, the Company desires to issue to the Investor, and the Investor</w:t>
      </w:r>
      <w:r>
        <w:rPr>
          <w:rFonts w:ascii="Arial" w:cs="Arial" w:eastAsia="Arial" w:hAnsi="Arial"/>
          <w:sz w:val="18"/>
          <w:szCs w:val="18"/>
          <w:b w:val="1"/>
          <w:bCs w:val="1"/>
          <w:color w:val="auto"/>
        </w:rPr>
        <w:t xml:space="preserve"> </w:t>
      </w:r>
      <w:r>
        <w:rPr>
          <w:rFonts w:ascii="Arial" w:cs="Arial" w:eastAsia="Arial" w:hAnsi="Arial"/>
          <w:sz w:val="18"/>
          <w:szCs w:val="18"/>
          <w:color w:val="auto"/>
        </w:rPr>
        <w:t>desires to subscribe from the Company, certain ordinary shares of the Company (the “</w:t>
      </w:r>
      <w:r>
        <w:rPr>
          <w:rFonts w:ascii="Arial" w:cs="Arial" w:eastAsia="Arial" w:hAnsi="Arial"/>
          <w:sz w:val="18"/>
          <w:szCs w:val="18"/>
          <w:b w:val="1"/>
          <w:bCs w:val="1"/>
          <w:color w:val="auto"/>
        </w:rPr>
        <w:t>Investment</w:t>
      </w:r>
      <w:r>
        <w:rPr>
          <w:rFonts w:ascii="Arial" w:cs="Arial" w:eastAsia="Arial" w:hAnsi="Arial"/>
          <w:sz w:val="18"/>
          <w:szCs w:val="18"/>
          <w:color w:val="auto"/>
        </w:rPr>
        <w: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Investor and the Company agree as follows:</w:t>
      </w:r>
    </w:p>
    <w:p>
      <w:pPr>
        <w:spacing w:after="0" w:line="117"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2"/>
          <w:szCs w:val="12"/>
          <w:b w:val="1"/>
          <w:bCs w:val="1"/>
          <w:u w:val="single" w:color="auto"/>
          <w:color w:val="auto"/>
        </w:rPr>
        <w:t xml:space="preserve">THE </w:t>
      </w:r>
      <w:r>
        <w:rPr>
          <w:rFonts w:ascii="Arial" w:cs="Arial" w:eastAsia="Arial" w:hAnsi="Arial"/>
          <w:sz w:val="18"/>
          <w:szCs w:val="18"/>
          <w:b w:val="1"/>
          <w:bCs w:val="1"/>
          <w:u w:val="single" w:color="auto"/>
          <w:color w:val="auto"/>
        </w:rPr>
        <w:t>I</w:t>
      </w:r>
      <w:r>
        <w:rPr>
          <w:rFonts w:ascii="Arial" w:cs="Arial" w:eastAsia="Arial" w:hAnsi="Arial"/>
          <w:sz w:val="12"/>
          <w:szCs w:val="12"/>
          <w:b w:val="1"/>
          <w:bCs w:val="1"/>
          <w:u w:val="single" w:color="auto"/>
          <w:color w:val="auto"/>
        </w:rPr>
        <w:t>NVESTMENT</w:t>
      </w:r>
    </w:p>
    <w:p>
      <w:pPr>
        <w:spacing w:after="0" w:line="117" w:lineRule="exact"/>
        <w:rPr>
          <w:sz w:val="20"/>
          <w:szCs w:val="20"/>
          <w:color w:val="auto"/>
        </w:rPr>
      </w:pPr>
    </w:p>
    <w:p>
      <w:pPr>
        <w:ind w:left="900" w:hanging="445"/>
        <w:spacing w:after="0" w:line="261" w:lineRule="auto"/>
        <w:tabs>
          <w:tab w:leader="none" w:pos="880" w:val="left"/>
        </w:tabs>
        <w:rPr>
          <w:sz w:val="20"/>
          <w:szCs w:val="20"/>
          <w:color w:val="auto"/>
        </w:rPr>
      </w:pPr>
      <w:r>
        <w:rPr>
          <w:rFonts w:ascii="Arial" w:cs="Arial" w:eastAsia="Arial" w:hAnsi="Arial"/>
          <w:sz w:val="18"/>
          <w:szCs w:val="18"/>
          <w:color w:val="auto"/>
        </w:rPr>
        <w:t>1.1.</w:t>
        <w:tab/>
        <w:t>Subject to the prior approval of the board of directors (</w:t>
      </w:r>
      <w:r>
        <w:rPr>
          <w:rFonts w:ascii="Arial" w:cs="Arial" w:eastAsia="Arial" w:hAnsi="Arial"/>
          <w:sz w:val="18"/>
          <w:szCs w:val="18"/>
          <w:i w:val="1"/>
          <w:iCs w:val="1"/>
          <w:color w:val="auto"/>
        </w:rPr>
        <w:t>conseil d’administration</w:t>
      </w:r>
      <w:r>
        <w:rPr>
          <w:rFonts w:ascii="Arial" w:cs="Arial" w:eastAsia="Arial" w:hAnsi="Arial"/>
          <w:sz w:val="18"/>
          <w:szCs w:val="18"/>
          <w:color w:val="auto"/>
        </w:rPr>
        <w:t>) (the “</w:t>
      </w:r>
      <w:r>
        <w:rPr>
          <w:rFonts w:ascii="Arial" w:cs="Arial" w:eastAsia="Arial" w:hAnsi="Arial"/>
          <w:sz w:val="18"/>
          <w:szCs w:val="18"/>
          <w:b w:val="1"/>
          <w:bCs w:val="1"/>
          <w:color w:val="auto"/>
        </w:rPr>
        <w:t>Board</w:t>
      </w:r>
      <w:r>
        <w:rPr>
          <w:rFonts w:ascii="Arial" w:cs="Arial" w:eastAsia="Arial" w:hAnsi="Arial"/>
          <w:sz w:val="18"/>
          <w:szCs w:val="18"/>
          <w:color w:val="auto"/>
        </w:rPr>
        <w:t>”) and extraordinary general meeting of the shareholders of the Company (the “</w:t>
      </w:r>
      <w:r>
        <w:rPr>
          <w:rFonts w:ascii="Arial" w:cs="Arial" w:eastAsia="Arial" w:hAnsi="Arial"/>
          <w:sz w:val="18"/>
          <w:szCs w:val="18"/>
          <w:b w:val="1"/>
          <w:bCs w:val="1"/>
          <w:color w:val="auto"/>
        </w:rPr>
        <w:t>EGM</w:t>
      </w:r>
      <w:r>
        <w:rPr>
          <w:rFonts w:ascii="Arial" w:cs="Arial" w:eastAsia="Arial" w:hAnsi="Arial"/>
          <w:sz w:val="18"/>
          <w:szCs w:val="18"/>
          <w:color w:val="auto"/>
        </w:rPr>
        <w:t>”), the Investment will be completed by means of the issuance and subscription of a number of 368,301 ordinary shares of the Company (the “</w:t>
      </w:r>
      <w:r>
        <w:rPr>
          <w:rFonts w:ascii="Arial" w:cs="Arial" w:eastAsia="Arial" w:hAnsi="Arial"/>
          <w:sz w:val="18"/>
          <w:szCs w:val="18"/>
          <w:b w:val="1"/>
          <w:bCs w:val="1"/>
          <w:color w:val="auto"/>
        </w:rPr>
        <w:t>Ordinary Shares</w:t>
      </w:r>
      <w:r>
        <w:rPr>
          <w:rFonts w:ascii="Arial" w:cs="Arial" w:eastAsia="Arial" w:hAnsi="Arial"/>
          <w:sz w:val="18"/>
          <w:szCs w:val="18"/>
          <w:color w:val="auto"/>
        </w:rPr>
        <w:t>”) with a par value of EUR 0.05 each at a price of EUR 8.63 per share (the “</w:t>
      </w:r>
      <w:r>
        <w:rPr>
          <w:rFonts w:ascii="Arial" w:cs="Arial" w:eastAsia="Arial" w:hAnsi="Arial"/>
          <w:sz w:val="18"/>
          <w:szCs w:val="18"/>
          <w:b w:val="1"/>
          <w:bCs w:val="1"/>
          <w:color w:val="auto"/>
        </w:rPr>
        <w:t>Subscription</w:t>
      </w:r>
      <w:r>
        <w:rPr>
          <w:rFonts w:ascii="Arial" w:cs="Arial" w:eastAsia="Arial" w:hAnsi="Arial"/>
          <w:sz w:val="18"/>
          <w:szCs w:val="18"/>
          <w:color w:val="auto"/>
        </w:rPr>
        <w:t xml:space="preserve"> </w:t>
      </w:r>
      <w:r>
        <w:rPr>
          <w:rFonts w:ascii="Arial" w:cs="Arial" w:eastAsia="Arial" w:hAnsi="Arial"/>
          <w:sz w:val="18"/>
          <w:szCs w:val="18"/>
          <w:b w:val="1"/>
          <w:bCs w:val="1"/>
          <w:color w:val="auto"/>
        </w:rPr>
        <w:t>Price</w:t>
      </w:r>
      <w:r>
        <w:rPr>
          <w:rFonts w:ascii="Arial" w:cs="Arial" w:eastAsia="Arial" w:hAnsi="Arial"/>
          <w:sz w:val="18"/>
          <w:szCs w:val="18"/>
          <w:color w:val="auto"/>
        </w:rPr>
        <w:t>”), representing a total investment of EUR 3,178,437.63 (issue premium included).</w:t>
      </w:r>
    </w:p>
    <w:p>
      <w:pPr>
        <w:spacing w:after="0" w:line="90" w:lineRule="exact"/>
        <w:rPr>
          <w:sz w:val="20"/>
          <w:szCs w:val="20"/>
          <w:color w:val="auto"/>
        </w:rPr>
      </w:pPr>
    </w:p>
    <w:p>
      <w:pPr>
        <w:ind w:left="900" w:right="180" w:hanging="445"/>
        <w:spacing w:after="0" w:line="264" w:lineRule="auto"/>
        <w:tabs>
          <w:tab w:leader="none" w:pos="880" w:val="left"/>
        </w:tabs>
        <w:rPr>
          <w:sz w:val="20"/>
          <w:szCs w:val="20"/>
          <w:color w:val="auto"/>
        </w:rPr>
      </w:pPr>
      <w:r>
        <w:rPr>
          <w:rFonts w:ascii="Arial" w:cs="Arial" w:eastAsia="Arial" w:hAnsi="Arial"/>
          <w:sz w:val="18"/>
          <w:szCs w:val="18"/>
          <w:color w:val="auto"/>
        </w:rPr>
        <w:t>1.2.</w:t>
        <w:tab/>
        <w:t>Subject to the prior approval of the Board, the EGM shall be held no later than October 30, 2008 in order to decide the issuance of the Ordinary Shares, with a waiver of the shareholders’ preemptive rights (</w:t>
      </w:r>
      <w:r>
        <w:rPr>
          <w:rFonts w:ascii="Arial" w:cs="Arial" w:eastAsia="Arial" w:hAnsi="Arial"/>
          <w:sz w:val="18"/>
          <w:szCs w:val="18"/>
          <w:i w:val="1"/>
          <w:iCs w:val="1"/>
          <w:color w:val="auto"/>
        </w:rPr>
        <w:t>droits préférentiels de souscription</w:t>
      </w:r>
      <w:r>
        <w:rPr>
          <w:rFonts w:ascii="Arial" w:cs="Arial" w:eastAsia="Arial" w:hAnsi="Arial"/>
          <w:sz w:val="18"/>
          <w:szCs w:val="18"/>
          <w:color w:val="auto"/>
        </w:rPr>
        <w:t>) in favour of the Investor, at the Subscription Price, in accordance with applicable French law.</w:t>
      </w:r>
    </w:p>
    <w:p>
      <w:pPr>
        <w:spacing w:after="0" w:line="87" w:lineRule="exact"/>
        <w:rPr>
          <w:sz w:val="20"/>
          <w:szCs w:val="20"/>
          <w:color w:val="auto"/>
        </w:rPr>
      </w:pPr>
    </w:p>
    <w:p>
      <w:pPr>
        <w:ind w:left="900" w:right="260" w:hanging="445"/>
        <w:spacing w:after="0" w:line="277" w:lineRule="auto"/>
        <w:tabs>
          <w:tab w:leader="none" w:pos="880" w:val="left"/>
        </w:tabs>
        <w:rPr>
          <w:sz w:val="20"/>
          <w:szCs w:val="20"/>
          <w:color w:val="auto"/>
        </w:rPr>
      </w:pPr>
      <w:r>
        <w:rPr>
          <w:rFonts w:ascii="Arial" w:cs="Arial" w:eastAsia="Arial" w:hAnsi="Arial"/>
          <w:sz w:val="18"/>
          <w:szCs w:val="18"/>
          <w:color w:val="auto"/>
        </w:rPr>
        <w:t>1.3.</w:t>
        <w:tab/>
        <w:t>The Investor hereby undertakes to subscribe the Ordinary Shares and to pay in full the Subscription Price within a week of the EGM, provided that such subscription shall take place on November 7 2008 at the latest.</w:t>
      </w:r>
    </w:p>
    <w:p>
      <w:pPr>
        <w:spacing w:after="0" w:line="76" w:lineRule="exact"/>
        <w:rPr>
          <w:sz w:val="20"/>
          <w:szCs w:val="20"/>
          <w:color w:val="auto"/>
        </w:rPr>
      </w:pPr>
    </w:p>
    <w:p>
      <w:pPr>
        <w:ind w:left="900" w:right="540"/>
        <w:spacing w:after="0" w:line="264" w:lineRule="auto"/>
        <w:rPr>
          <w:sz w:val="20"/>
          <w:szCs w:val="20"/>
          <w:color w:val="auto"/>
        </w:rPr>
      </w:pPr>
      <w:r>
        <w:rPr>
          <w:rFonts w:ascii="Arial" w:cs="Arial" w:eastAsia="Arial" w:hAnsi="Arial"/>
          <w:sz w:val="18"/>
          <w:szCs w:val="18"/>
          <w:color w:val="auto"/>
        </w:rPr>
        <w:t>The Subscription Price will be fully paid up in cash by wire transfer to the Company’s bank account which details shall be provided by the Company to the Investor at the latest 7 days before the EGM. The issuance of the Ordinary Shares will occur at the date of the certificate established by the depositary of the funds (the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87" w:lineRule="exact"/>
        <w:rPr>
          <w:sz w:val="20"/>
          <w:szCs w:val="20"/>
          <w:color w:val="auto"/>
        </w:rPr>
      </w:pPr>
    </w:p>
    <w:p>
      <w:pPr>
        <w:jc w:val="center"/>
        <w:ind w:left="600" w:right="100"/>
        <w:spacing w:after="0" w:line="308" w:lineRule="auto"/>
        <w:rPr>
          <w:sz w:val="20"/>
          <w:szCs w:val="20"/>
          <w:color w:val="auto"/>
        </w:rPr>
      </w:pPr>
      <w:r>
        <w:rPr>
          <w:rFonts w:ascii="Arial" w:cs="Arial" w:eastAsia="Arial" w:hAnsi="Arial"/>
          <w:sz w:val="17"/>
          <w:szCs w:val="17"/>
          <w:color w:val="auto"/>
        </w:rPr>
        <w:t xml:space="preserve">1.4.  The Ordinary Shares will be issued in dematerialized form. Title to the Ordinary Shares will be evidenced in accordance with Article L. 211-4 of the French Code </w:t>
      </w:r>
      <w:r>
        <w:rPr>
          <w:rFonts w:ascii="Arial" w:cs="Arial" w:eastAsia="Arial" w:hAnsi="Arial"/>
          <w:sz w:val="17"/>
          <w:szCs w:val="17"/>
          <w:i w:val="1"/>
          <w:iCs w:val="1"/>
          <w:color w:val="auto"/>
        </w:rPr>
        <w:t>monétaire et financier</w:t>
      </w:r>
      <w:r>
        <w:rPr>
          <w:rFonts w:ascii="Arial" w:cs="Arial" w:eastAsia="Arial" w:hAnsi="Arial"/>
          <w:sz w:val="17"/>
          <w:szCs w:val="17"/>
          <w:color w:val="auto"/>
        </w:rPr>
        <w:t xml:space="preserve"> by book-entries (</w:t>
      </w:r>
      <w:r>
        <w:rPr>
          <w:rFonts w:ascii="Arial" w:cs="Arial" w:eastAsia="Arial" w:hAnsi="Arial"/>
          <w:sz w:val="17"/>
          <w:szCs w:val="17"/>
          <w:i w:val="1"/>
          <w:iCs w:val="1"/>
          <w:color w:val="auto"/>
        </w:rPr>
        <w:t>inscription en compte)</w:t>
      </w:r>
      <w:r>
        <w:rPr>
          <w:rFonts w:ascii="Arial" w:cs="Arial" w:eastAsia="Arial" w:hAnsi="Arial"/>
          <w:sz w:val="17"/>
          <w:szCs w:val="17"/>
          <w:color w:val="auto"/>
        </w:rPr>
        <w:t xml:space="preserve"> in the books of Société Générale acting as account holder.</w:t>
      </w:r>
    </w:p>
    <w:p>
      <w:pPr>
        <w:spacing w:after="0" w:line="52"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Upon issue, the Ordinary Shares will be recorded in the books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1" w:name="page92"/>
    <w:bookmarkEnd w:id="91"/>
    <w:p>
      <w:pPr>
        <w:ind w:left="892" w:right="40"/>
        <w:spacing w:after="0" w:line="277" w:lineRule="auto"/>
        <w:rPr>
          <w:sz w:val="20"/>
          <w:szCs w:val="20"/>
          <w:color w:val="auto"/>
        </w:rPr>
      </w:pPr>
      <w:r>
        <w:rPr>
          <w:rFonts w:ascii="Arial" w:cs="Arial" w:eastAsia="Arial" w:hAnsi="Arial"/>
          <w:sz w:val="18"/>
          <w:szCs w:val="18"/>
          <w:color w:val="auto"/>
        </w:rPr>
        <w:t>Société Générale in the name of the Investor’s financial intermediary. Details of the Investor’s financial intermediary’s account shall be provided by the Investor to the Company at the latest 7 days before the EGM.</w:t>
      </w:r>
    </w:p>
    <w:p>
      <w:pPr>
        <w:spacing w:after="0" w:line="58" w:lineRule="exact"/>
        <w:rPr>
          <w:sz w:val="20"/>
          <w:szCs w:val="20"/>
          <w:color w:val="auto"/>
        </w:rPr>
      </w:pPr>
    </w:p>
    <w:p>
      <w:pPr>
        <w:ind w:left="452" w:hanging="452"/>
        <w:spacing w:after="0"/>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b w:val="1"/>
          <w:bCs w:val="1"/>
          <w:u w:val="single" w:color="auto"/>
          <w:color w:val="auto"/>
        </w:rPr>
        <w:t>L</w:t>
      </w:r>
      <w:r>
        <w:rPr>
          <w:rFonts w:ascii="Arial" w:cs="Arial" w:eastAsia="Arial" w:hAnsi="Arial"/>
          <w:sz w:val="12"/>
          <w:szCs w:val="12"/>
          <w:b w:val="1"/>
          <w:bCs w:val="1"/>
          <w:u w:val="single" w:color="auto"/>
          <w:color w:val="auto"/>
        </w:rPr>
        <w:t>ISTING AND</w:t>
      </w:r>
      <w:r>
        <w:rPr>
          <w:rFonts w:ascii="Arial" w:cs="Arial" w:eastAsia="Arial" w:hAnsi="Arial"/>
          <w:sz w:val="18"/>
          <w:szCs w:val="18"/>
          <w:b w:val="1"/>
          <w:bCs w:val="1"/>
          <w:u w:val="single" w:color="auto"/>
          <w:color w:val="auto"/>
        </w:rPr>
        <w:t xml:space="preserve"> C</w:t>
      </w:r>
      <w:r>
        <w:rPr>
          <w:rFonts w:ascii="Arial" w:cs="Arial" w:eastAsia="Arial" w:hAnsi="Arial"/>
          <w:sz w:val="12"/>
          <w:szCs w:val="12"/>
          <w:b w:val="1"/>
          <w:bCs w:val="1"/>
          <w:u w:val="single" w:color="auto"/>
          <w:color w:val="auto"/>
        </w:rPr>
        <w:t>LEARING</w:t>
      </w:r>
    </w:p>
    <w:p>
      <w:pPr>
        <w:spacing w:after="0" w:line="135" w:lineRule="exact"/>
        <w:rPr>
          <w:sz w:val="20"/>
          <w:szCs w:val="20"/>
          <w:color w:val="auto"/>
        </w:rPr>
      </w:pPr>
    </w:p>
    <w:p>
      <w:pPr>
        <w:jc w:val="both"/>
        <w:ind w:left="452" w:right="240"/>
        <w:spacing w:after="0" w:line="264" w:lineRule="auto"/>
        <w:rPr>
          <w:sz w:val="20"/>
          <w:szCs w:val="20"/>
          <w:color w:val="auto"/>
        </w:rPr>
      </w:pPr>
      <w:r>
        <w:rPr>
          <w:rFonts w:ascii="Arial" w:cs="Arial" w:eastAsia="Arial" w:hAnsi="Arial"/>
          <w:sz w:val="18"/>
          <w:szCs w:val="18"/>
          <w:color w:val="auto"/>
        </w:rPr>
        <w:t>The Company undertakes (i) to apply in due course to NYSE Euronext for the Ordinary Shares to be admitted to trading on the Alternext market of NYSE Euronext with effect from the Issuance Date, and (ii) to make an application for the admission of the Ordinary Shares to the clearing systems operated by Euroclear France, Euroclear and Clearstream.</w:t>
      </w:r>
    </w:p>
    <w:p>
      <w:pPr>
        <w:spacing w:after="0" w:line="83" w:lineRule="exact"/>
        <w:rPr>
          <w:sz w:val="20"/>
          <w:szCs w:val="20"/>
          <w:color w:val="auto"/>
        </w:rPr>
      </w:pPr>
    </w:p>
    <w:p>
      <w:pPr>
        <w:ind w:left="452" w:hanging="452"/>
        <w:spacing w:after="0"/>
        <w:tabs>
          <w:tab w:leader="none" w:pos="452" w:val="left"/>
        </w:tabs>
        <w:numPr>
          <w:ilvl w:val="0"/>
          <w:numId w:val="32"/>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2"/>
          <w:szCs w:val="12"/>
          <w:b w:val="1"/>
          <w:bCs w:val="1"/>
          <w:u w:val="single" w:color="auto"/>
          <w:color w:val="auto"/>
        </w:rPr>
        <w:t>EPRESENTATIONS AND</w:t>
      </w:r>
      <w:r>
        <w:rPr>
          <w:rFonts w:ascii="Arial" w:cs="Arial" w:eastAsia="Arial" w:hAnsi="Arial"/>
          <w:sz w:val="18"/>
          <w:szCs w:val="18"/>
          <w:b w:val="1"/>
          <w:bCs w:val="1"/>
          <w:u w:val="single" w:color="auto"/>
          <w:color w:val="auto"/>
        </w:rPr>
        <w:t xml:space="preserve"> W</w:t>
      </w:r>
      <w:r>
        <w:rPr>
          <w:rFonts w:ascii="Arial" w:cs="Arial" w:eastAsia="Arial" w:hAnsi="Arial"/>
          <w:sz w:val="12"/>
          <w:szCs w:val="12"/>
          <w:b w:val="1"/>
          <w:bCs w:val="1"/>
          <w:u w:val="single" w:color="auto"/>
          <w:color w:val="auto"/>
        </w:rPr>
        <w:t>ARRANTIES OF THE</w:t>
      </w:r>
      <w:r>
        <w:rPr>
          <w:rFonts w:ascii="Arial" w:cs="Arial" w:eastAsia="Arial" w:hAnsi="Arial"/>
          <w:sz w:val="18"/>
          <w:szCs w:val="18"/>
          <w:b w:val="1"/>
          <w:bCs w:val="1"/>
          <w:u w:val="single" w:color="auto"/>
          <w:color w:val="auto"/>
        </w:rPr>
        <w:t xml:space="preserve"> I</w:t>
      </w:r>
      <w:r>
        <w:rPr>
          <w:rFonts w:ascii="Arial" w:cs="Arial" w:eastAsia="Arial" w:hAnsi="Arial"/>
          <w:sz w:val="12"/>
          <w:szCs w:val="12"/>
          <w:b w:val="1"/>
          <w:bCs w:val="1"/>
          <w:u w:val="single" w:color="auto"/>
          <w:color w:val="auto"/>
        </w:rPr>
        <w:t>NVESTOR</w:t>
      </w:r>
    </w:p>
    <w:p>
      <w:pPr>
        <w:spacing w:after="0" w:line="135" w:lineRule="exact"/>
        <w:rPr>
          <w:sz w:val="20"/>
          <w:szCs w:val="20"/>
          <w:color w:val="auto"/>
        </w:rPr>
      </w:pPr>
    </w:p>
    <w:p>
      <w:pPr>
        <w:ind w:left="452" w:right="340"/>
        <w:spacing w:after="0" w:line="277" w:lineRule="auto"/>
        <w:rPr>
          <w:sz w:val="20"/>
          <w:szCs w:val="20"/>
          <w:color w:val="auto"/>
        </w:rPr>
      </w:pPr>
      <w:r>
        <w:rPr>
          <w:rFonts w:ascii="Arial" w:cs="Arial" w:eastAsia="Arial" w:hAnsi="Arial"/>
          <w:sz w:val="18"/>
          <w:szCs w:val="18"/>
          <w:color w:val="auto"/>
        </w:rPr>
        <w:t>The Investor hereby represents and warrants to the Company that the statements in this Section 3 are true and correct as of the date hereof and will confirm to the Company on the Issuance Date that such representations are still true and correct:</w:t>
      </w:r>
    </w:p>
    <w:p>
      <w:pPr>
        <w:spacing w:after="0" w:line="62" w:lineRule="exact"/>
        <w:rPr>
          <w:sz w:val="20"/>
          <w:szCs w:val="20"/>
          <w:color w:val="auto"/>
        </w:rPr>
      </w:pPr>
    </w:p>
    <w:p>
      <w:pPr>
        <w:ind w:left="892" w:right="420" w:hanging="445"/>
        <w:spacing w:after="0" w:line="342" w:lineRule="auto"/>
        <w:tabs>
          <w:tab w:leader="none" w:pos="872"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The Investor is aware that the Ordinary Shares purchased hereunder are not being offered pursuant to a prospectus or similar document, are “restricted securities” under US securities laws and may not be resold in the United States without registration or an exemption therefrom.</w:t>
      </w:r>
    </w:p>
    <w:p>
      <w:pPr>
        <w:spacing w:after="0" w:line="29" w:lineRule="exact"/>
        <w:rPr>
          <w:sz w:val="20"/>
          <w:szCs w:val="20"/>
          <w:color w:val="auto"/>
        </w:rPr>
      </w:pPr>
    </w:p>
    <w:p>
      <w:pPr>
        <w:ind w:left="892" w:right="160" w:hanging="445"/>
        <w:spacing w:after="0" w:line="259" w:lineRule="auto"/>
        <w:tabs>
          <w:tab w:leader="none" w:pos="872" w:val="left"/>
        </w:tabs>
        <w:rPr>
          <w:sz w:val="20"/>
          <w:szCs w:val="20"/>
          <w:color w:val="auto"/>
        </w:rPr>
      </w:pPr>
      <w:r>
        <w:rPr>
          <w:rFonts w:ascii="Arial" w:cs="Arial" w:eastAsia="Arial" w:hAnsi="Arial"/>
          <w:sz w:val="18"/>
          <w:szCs w:val="18"/>
          <w:color w:val="auto"/>
        </w:rPr>
        <w:t>3.2.</w:t>
        <w:tab/>
        <w:t>All actions on the part of the Investor necessary for the authorization execution and performance by the Investor of this Agreement have been duly taken and this Agreement is a legal, valid, and binding obligation, enforceable as to the Investor in accordance with its terms except to the extent limited by applicable bankruptcy, insolvency, reorganization, moratorium and similar laws of general application related to the enforcement of creditor’s rights generally.</w:t>
      </w:r>
    </w:p>
    <w:p>
      <w:pPr>
        <w:spacing w:after="0" w:line="92" w:lineRule="exact"/>
        <w:rPr>
          <w:sz w:val="20"/>
          <w:szCs w:val="20"/>
          <w:color w:val="auto"/>
        </w:rPr>
      </w:pPr>
    </w:p>
    <w:p>
      <w:pPr>
        <w:ind w:left="892" w:right="120" w:hanging="445"/>
        <w:spacing w:after="0" w:line="264" w:lineRule="auto"/>
        <w:tabs>
          <w:tab w:leader="none" w:pos="872" w:val="left"/>
        </w:tabs>
        <w:rPr>
          <w:sz w:val="20"/>
          <w:szCs w:val="20"/>
          <w:color w:val="auto"/>
        </w:rPr>
      </w:pPr>
      <w:r>
        <w:rPr>
          <w:rFonts w:ascii="Arial" w:cs="Arial" w:eastAsia="Arial" w:hAnsi="Arial"/>
          <w:sz w:val="18"/>
          <w:szCs w:val="18"/>
          <w:color w:val="auto"/>
        </w:rPr>
        <w:t>3.3.</w:t>
        <w:tab/>
        <w:t>The Investor acknowledges that neither the Company nor any director, officer, shareholder, advisor, agent or affiliate of the Company has made any representations or warranties with respect to the Company or the Ordinary Shares, except for the representations and warranties of the Company set out in Section 4 below.</w:t>
      </w:r>
    </w:p>
    <w:p>
      <w:pPr>
        <w:spacing w:after="0" w:line="87" w:lineRule="exact"/>
        <w:rPr>
          <w:sz w:val="20"/>
          <w:szCs w:val="20"/>
          <w:color w:val="auto"/>
        </w:rPr>
      </w:pPr>
    </w:p>
    <w:p>
      <w:pPr>
        <w:ind w:left="452"/>
        <w:spacing w:after="0"/>
        <w:tabs>
          <w:tab w:leader="none" w:pos="872"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The Investor is an “accredited investor” as defined in rule 501 under the US Securities Act of 1933, as amended.</w:t>
      </w:r>
    </w:p>
    <w:p>
      <w:pPr>
        <w:spacing w:after="0" w:line="131" w:lineRule="exact"/>
        <w:rPr>
          <w:sz w:val="20"/>
          <w:szCs w:val="20"/>
          <w:color w:val="auto"/>
        </w:rPr>
      </w:pPr>
    </w:p>
    <w:p>
      <w:pPr>
        <w:jc w:val="both"/>
        <w:ind w:left="892" w:right="600" w:hanging="445"/>
        <w:spacing w:after="0" w:line="264" w:lineRule="auto"/>
        <w:tabs>
          <w:tab w:leader="none" w:pos="872" w:val="left"/>
        </w:tabs>
        <w:rPr>
          <w:sz w:val="20"/>
          <w:szCs w:val="20"/>
          <w:color w:val="auto"/>
        </w:rPr>
      </w:pPr>
      <w:r>
        <w:rPr>
          <w:rFonts w:ascii="Arial" w:cs="Arial" w:eastAsia="Arial" w:hAnsi="Arial"/>
          <w:sz w:val="18"/>
          <w:szCs w:val="18"/>
          <w:color w:val="auto"/>
        </w:rPr>
        <w:t>3.5.</w:t>
        <w:tab/>
        <w:t>The Investor is acquiring the Ordinary Shares for investment purposes and not with a view to any distribution thereof in violation of any applicable securities laws. The Investor has no arrangement or understanding with any person to sell, distribute, grant participations in or otherwise transfer the Ordinary Shares.</w:t>
      </w:r>
    </w:p>
    <w:p>
      <w:pPr>
        <w:spacing w:after="0" w:line="87" w:lineRule="exact"/>
        <w:rPr>
          <w:sz w:val="20"/>
          <w:szCs w:val="20"/>
          <w:color w:val="auto"/>
        </w:rPr>
      </w:pPr>
    </w:p>
    <w:p>
      <w:pPr>
        <w:ind w:left="892" w:hanging="445"/>
        <w:spacing w:after="0" w:line="277" w:lineRule="auto"/>
        <w:tabs>
          <w:tab w:leader="none" w:pos="872" w:val="left"/>
        </w:tabs>
        <w:rPr>
          <w:sz w:val="20"/>
          <w:szCs w:val="20"/>
          <w:color w:val="auto"/>
        </w:rPr>
      </w:pPr>
      <w:r>
        <w:rPr>
          <w:rFonts w:ascii="Arial" w:cs="Arial" w:eastAsia="Arial" w:hAnsi="Arial"/>
          <w:sz w:val="18"/>
          <w:szCs w:val="18"/>
          <w:color w:val="auto"/>
        </w:rPr>
        <w:t>3.6.</w:t>
        <w:tab/>
        <w:t>The Investor represents that it can bear the economic risk of its investment, it has such knowledge and experience in financial or business matters and it is capable of evaluating the merits and risks of the investment in the shares hereunder.</w:t>
      </w:r>
    </w:p>
    <w:p>
      <w:pPr>
        <w:spacing w:after="0" w:line="14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936" w:right="299" w:bottom="1440" w:gutter="0" w:footer="0" w:header="0"/>
        </w:sectPr>
      </w:pPr>
    </w:p>
    <w:bookmarkStart w:id="92" w:name="page93"/>
    <w:bookmarkEnd w:id="92"/>
    <w:p>
      <w:pPr>
        <w:ind w:left="452" w:hanging="452"/>
        <w:spacing w:after="0"/>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2"/>
          <w:szCs w:val="12"/>
          <w:b w:val="1"/>
          <w:bCs w:val="1"/>
          <w:u w:val="single" w:color="auto"/>
          <w:color w:val="auto"/>
        </w:rPr>
        <w:t>EPRESENTATIONS AND</w:t>
      </w:r>
      <w:r>
        <w:rPr>
          <w:rFonts w:ascii="Arial" w:cs="Arial" w:eastAsia="Arial" w:hAnsi="Arial"/>
          <w:sz w:val="18"/>
          <w:szCs w:val="18"/>
          <w:b w:val="1"/>
          <w:bCs w:val="1"/>
          <w:u w:val="single" w:color="auto"/>
          <w:color w:val="auto"/>
        </w:rPr>
        <w:t xml:space="preserve"> W</w:t>
      </w:r>
      <w:r>
        <w:rPr>
          <w:rFonts w:ascii="Arial" w:cs="Arial" w:eastAsia="Arial" w:hAnsi="Arial"/>
          <w:sz w:val="12"/>
          <w:szCs w:val="12"/>
          <w:b w:val="1"/>
          <w:bCs w:val="1"/>
          <w:u w:val="single" w:color="auto"/>
          <w:color w:val="auto"/>
        </w:rPr>
        <w:t>ARRANTIES OF</w:t>
      </w:r>
      <w:r>
        <w:rPr>
          <w:rFonts w:ascii="Arial" w:cs="Arial" w:eastAsia="Arial" w:hAnsi="Arial"/>
          <w:sz w:val="18"/>
          <w:szCs w:val="18"/>
          <w:b w:val="1"/>
          <w:bCs w:val="1"/>
          <w:u w:val="single" w:color="auto"/>
          <w:color w:val="auto"/>
        </w:rPr>
        <w:t xml:space="preserve"> T</w:t>
      </w:r>
      <w:r>
        <w:rPr>
          <w:rFonts w:ascii="Arial" w:cs="Arial" w:eastAsia="Arial" w:hAnsi="Arial"/>
          <w:sz w:val="12"/>
          <w:szCs w:val="12"/>
          <w:b w:val="1"/>
          <w:bCs w:val="1"/>
          <w:u w:val="single" w:color="auto"/>
          <w:color w:val="auto"/>
        </w:rPr>
        <w:t>HE</w:t>
      </w:r>
      <w:r>
        <w:rPr>
          <w:rFonts w:ascii="Arial" w:cs="Arial" w:eastAsia="Arial" w:hAnsi="Arial"/>
          <w:sz w:val="18"/>
          <w:szCs w:val="18"/>
          <w:b w:val="1"/>
          <w:bCs w:val="1"/>
          <w:u w:val="single" w:color="auto"/>
          <w:color w:val="auto"/>
        </w:rPr>
        <w:t xml:space="preserve"> C</w:t>
      </w:r>
      <w:r>
        <w:rPr>
          <w:rFonts w:ascii="Arial" w:cs="Arial" w:eastAsia="Arial" w:hAnsi="Arial"/>
          <w:sz w:val="12"/>
          <w:szCs w:val="12"/>
          <w:b w:val="1"/>
          <w:bCs w:val="1"/>
          <w:u w:val="single" w:color="auto"/>
          <w:color w:val="auto"/>
        </w:rPr>
        <w:t>OMPANY</w:t>
      </w:r>
    </w:p>
    <w:p>
      <w:pPr>
        <w:spacing w:after="0" w:line="135" w:lineRule="exact"/>
        <w:rPr>
          <w:sz w:val="20"/>
          <w:szCs w:val="20"/>
          <w:color w:val="auto"/>
        </w:rPr>
      </w:pPr>
    </w:p>
    <w:p>
      <w:pPr>
        <w:ind w:left="452"/>
        <w:spacing w:after="0"/>
        <w:rPr>
          <w:sz w:val="20"/>
          <w:szCs w:val="20"/>
          <w:color w:val="auto"/>
        </w:rPr>
      </w:pPr>
      <w:r>
        <w:rPr>
          <w:rFonts w:ascii="Arial" w:cs="Arial" w:eastAsia="Arial" w:hAnsi="Arial"/>
          <w:sz w:val="17"/>
          <w:szCs w:val="17"/>
          <w:color w:val="auto"/>
        </w:rPr>
        <w:t>The Company represents and warrants to the Investor that the statements contained in this Section 4 are true and correct as of the date hereof:</w:t>
      </w:r>
    </w:p>
    <w:p>
      <w:pPr>
        <w:spacing w:after="0" w:line="129" w:lineRule="exact"/>
        <w:rPr>
          <w:sz w:val="20"/>
          <w:szCs w:val="20"/>
          <w:color w:val="auto"/>
        </w:rPr>
      </w:pPr>
    </w:p>
    <w:p>
      <w:pPr>
        <w:ind w:left="892" w:right="400" w:hanging="445"/>
        <w:spacing w:after="0" w:line="277" w:lineRule="auto"/>
        <w:tabs>
          <w:tab w:leader="none" w:pos="872" w:val="left"/>
        </w:tabs>
        <w:rPr>
          <w:sz w:val="20"/>
          <w:szCs w:val="20"/>
          <w:color w:val="auto"/>
        </w:rPr>
      </w:pPr>
      <w:r>
        <w:rPr>
          <w:rFonts w:ascii="Arial" w:cs="Arial" w:eastAsia="Arial" w:hAnsi="Arial"/>
          <w:sz w:val="18"/>
          <w:szCs w:val="18"/>
          <w:color w:val="auto"/>
        </w:rPr>
        <w:t>4.1.</w:t>
        <w:tab/>
        <w:t xml:space="preserve">The Company is duly organized and validly existing under the laws of the </w:t>
      </w:r>
      <w:r>
        <w:rPr>
          <w:rFonts w:ascii="Arial" w:cs="Arial" w:eastAsia="Arial" w:hAnsi="Arial"/>
          <w:sz w:val="18"/>
          <w:szCs w:val="18"/>
          <w:i w:val="1"/>
          <w:iCs w:val="1"/>
          <w:color w:val="auto"/>
        </w:rPr>
        <w:t>République française</w:t>
      </w:r>
      <w:r>
        <w:rPr>
          <w:rFonts w:ascii="Arial" w:cs="Arial" w:eastAsia="Arial" w:hAnsi="Arial"/>
          <w:sz w:val="18"/>
          <w:szCs w:val="18"/>
          <w:color w:val="auto"/>
        </w:rPr>
        <w:t>, and has all requisite power and authority to execute and deliver this Agreement and to consummate the transactions contemplated hereby.</w:t>
      </w:r>
    </w:p>
    <w:p>
      <w:pPr>
        <w:spacing w:after="0" w:line="76" w:lineRule="exact"/>
        <w:rPr>
          <w:sz w:val="20"/>
          <w:szCs w:val="20"/>
          <w:color w:val="auto"/>
        </w:rPr>
      </w:pPr>
    </w:p>
    <w:p>
      <w:pPr>
        <w:ind w:left="892" w:right="180" w:hanging="445"/>
        <w:spacing w:after="0" w:line="308" w:lineRule="auto"/>
        <w:tabs>
          <w:tab w:leader="none" w:pos="872"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If and when issued, the Ordinary Shares shall have the rights, restrictions and privileges as shall be set forth from time to time in the Articles of Association of the Company. The current articles of association of the Company (</w:t>
      </w:r>
      <w:r>
        <w:rPr>
          <w:rFonts w:ascii="Arial" w:cs="Arial" w:eastAsia="Arial" w:hAnsi="Arial"/>
          <w:sz w:val="17"/>
          <w:szCs w:val="17"/>
          <w:i w:val="1"/>
          <w:iCs w:val="1"/>
          <w:color w:val="auto"/>
        </w:rPr>
        <w:t>statuts</w:t>
      </w:r>
      <w:r>
        <w:rPr>
          <w:rFonts w:ascii="Arial" w:cs="Arial" w:eastAsia="Arial" w:hAnsi="Arial"/>
          <w:sz w:val="17"/>
          <w:szCs w:val="17"/>
          <w:color w:val="auto"/>
        </w:rPr>
        <w:t>) are attached as an Exhibit hereto.</w:t>
      </w:r>
    </w:p>
    <w:p>
      <w:pPr>
        <w:spacing w:after="0" w:line="52" w:lineRule="exact"/>
        <w:rPr>
          <w:sz w:val="20"/>
          <w:szCs w:val="20"/>
          <w:color w:val="auto"/>
        </w:rPr>
      </w:pPr>
    </w:p>
    <w:p>
      <w:pPr>
        <w:jc w:val="both"/>
        <w:ind w:left="892" w:right="420" w:hanging="445"/>
        <w:spacing w:after="0" w:line="264" w:lineRule="auto"/>
        <w:tabs>
          <w:tab w:leader="none" w:pos="872" w:val="left"/>
        </w:tabs>
        <w:rPr>
          <w:sz w:val="20"/>
          <w:szCs w:val="20"/>
          <w:color w:val="auto"/>
        </w:rPr>
      </w:pPr>
      <w:r>
        <w:rPr>
          <w:rFonts w:ascii="Arial" w:cs="Arial" w:eastAsia="Arial" w:hAnsi="Arial"/>
          <w:sz w:val="18"/>
          <w:szCs w:val="18"/>
          <w:color w:val="auto"/>
        </w:rPr>
        <w:t>4.3.</w:t>
        <w:tab/>
        <w:t>The issue of the Ordinary Shares, the entering by the Company into this Agreement and the consummation of the transactions contemplated hereby and compliance with their terms do not violate, conflict with or result in a breach of any terms, conditions or provisions of any deed, agreement, mortgage or other instrument to which the Company or any of its subsidiaries is a party.</w:t>
      </w:r>
    </w:p>
    <w:p>
      <w:pPr>
        <w:spacing w:after="0" w:line="69" w:lineRule="exact"/>
        <w:rPr>
          <w:sz w:val="20"/>
          <w:szCs w:val="20"/>
          <w:color w:val="auto"/>
        </w:rPr>
      </w:pPr>
    </w:p>
    <w:p>
      <w:pPr>
        <w:ind w:left="452" w:hanging="452"/>
        <w:spacing w:after="0"/>
        <w:tabs>
          <w:tab w:leader="none" w:pos="452" w:val="left"/>
        </w:tabs>
        <w:numPr>
          <w:ilvl w:val="0"/>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2"/>
          <w:szCs w:val="12"/>
          <w:b w:val="1"/>
          <w:bCs w:val="1"/>
          <w:u w:val="single" w:color="auto"/>
          <w:color w:val="auto"/>
        </w:rPr>
        <w:t>ONDITIONS PRECEDENT</w:t>
      </w:r>
    </w:p>
    <w:p>
      <w:pPr>
        <w:spacing w:after="0" w:line="121" w:lineRule="exact"/>
        <w:rPr>
          <w:sz w:val="20"/>
          <w:szCs w:val="20"/>
          <w:color w:val="auto"/>
        </w:rPr>
      </w:pPr>
    </w:p>
    <w:p>
      <w:pPr>
        <w:ind w:left="452"/>
        <w:spacing w:after="0"/>
        <w:tabs>
          <w:tab w:leader="none" w:pos="872"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The obligations of the Investor to subscribe and pay for the Ordinary Shares are conditional upon:</w:t>
      </w:r>
    </w:p>
    <w:p>
      <w:pPr>
        <w:spacing w:after="0" w:line="117" w:lineRule="exact"/>
        <w:rPr>
          <w:sz w:val="20"/>
          <w:szCs w:val="20"/>
          <w:color w:val="auto"/>
        </w:rPr>
      </w:pPr>
    </w:p>
    <w:p>
      <w:pPr>
        <w:ind w:left="1352" w:right="60" w:hanging="447"/>
        <w:spacing w:after="0" w:line="342" w:lineRule="auto"/>
        <w:tabs>
          <w:tab w:leader="none" w:pos="1352"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there having been, as at the Issuance Date, no event making any of the representations, warranties and undertakings contained in Clauses 2 and 4 hereof untrue or incorrect in any material respect on the Issuance Date as though they had been given on such date; and</w:t>
      </w:r>
    </w:p>
    <w:p>
      <w:pPr>
        <w:spacing w:after="0" w:line="29" w:lineRule="exact"/>
        <w:rPr>
          <w:rFonts w:ascii="Arial" w:cs="Arial" w:eastAsia="Arial" w:hAnsi="Arial"/>
          <w:sz w:val="16"/>
          <w:szCs w:val="16"/>
          <w:color w:val="auto"/>
        </w:rPr>
      </w:pPr>
    </w:p>
    <w:p>
      <w:pPr>
        <w:ind w:left="1352" w:hanging="447"/>
        <w:spacing w:after="0"/>
        <w:tabs>
          <w:tab w:leader="none" w:pos="1352"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issuance of the Ordinary Shares having been approved and decided at and by the EGM in accordance with applicable French law.</w:t>
      </w:r>
    </w:p>
    <w:p>
      <w:pPr>
        <w:spacing w:after="0" w:line="136" w:lineRule="exact"/>
        <w:rPr>
          <w:rFonts w:ascii="Arial" w:cs="Arial" w:eastAsia="Arial" w:hAnsi="Arial"/>
          <w:sz w:val="16"/>
          <w:szCs w:val="16"/>
          <w:color w:val="auto"/>
        </w:rPr>
      </w:pPr>
    </w:p>
    <w:p>
      <w:pPr>
        <w:ind w:left="452" w:hanging="452"/>
        <w:spacing w:after="0"/>
        <w:tabs>
          <w:tab w:leader="none" w:pos="452" w:val="left"/>
        </w:tabs>
        <w:numPr>
          <w:ilvl w:val="0"/>
          <w:numId w:val="35"/>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2"/>
          <w:szCs w:val="12"/>
          <w:b w:val="1"/>
          <w:bCs w:val="1"/>
          <w:u w:val="single" w:color="auto"/>
          <w:color w:val="auto"/>
        </w:rPr>
        <w:t>ONFIDENTIALITY</w:t>
      </w:r>
    </w:p>
    <w:p>
      <w:pPr>
        <w:spacing w:after="0" w:line="135" w:lineRule="exact"/>
        <w:rPr>
          <w:sz w:val="20"/>
          <w:szCs w:val="20"/>
          <w:color w:val="auto"/>
        </w:rPr>
      </w:pPr>
    </w:p>
    <w:p>
      <w:pPr>
        <w:ind w:left="452" w:right="120"/>
        <w:spacing w:after="0" w:line="286" w:lineRule="auto"/>
        <w:rPr>
          <w:sz w:val="20"/>
          <w:szCs w:val="20"/>
          <w:color w:val="auto"/>
        </w:rPr>
      </w:pPr>
      <w:r>
        <w:rPr>
          <w:rFonts w:ascii="Arial" w:cs="Arial" w:eastAsia="Arial" w:hAnsi="Arial"/>
          <w:sz w:val="17"/>
          <w:szCs w:val="17"/>
          <w:color w:val="auto"/>
        </w:rPr>
        <w:t>The Investor understands and agrees that, since the Company is listed on the Alternext market of NYSE Euronext and the Investor may have access to inside information, the Investor must comply with applicable securities laws and regulations, which provide, in particular, that certain uses of inside information, communication of inside information or manipulation of the market price of listed securities constitute an offence.</w:t>
      </w:r>
    </w:p>
    <w:p>
      <w:pPr>
        <w:spacing w:after="0" w:line="71" w:lineRule="exact"/>
        <w:rPr>
          <w:sz w:val="20"/>
          <w:szCs w:val="20"/>
          <w:color w:val="auto"/>
        </w:rPr>
      </w:pPr>
    </w:p>
    <w:p>
      <w:pPr>
        <w:ind w:left="452"/>
        <w:spacing w:after="0" w:line="259" w:lineRule="auto"/>
        <w:rPr>
          <w:sz w:val="20"/>
          <w:szCs w:val="20"/>
          <w:color w:val="auto"/>
        </w:rPr>
      </w:pPr>
      <w:r>
        <w:rPr>
          <w:rFonts w:ascii="Arial" w:cs="Arial" w:eastAsia="Arial" w:hAnsi="Arial"/>
          <w:sz w:val="18"/>
          <w:szCs w:val="18"/>
          <w:color w:val="auto"/>
        </w:rPr>
        <w:t>The Investor undertakes to the Company that any confidential information concerning the Company which comes into the Investor’s possession or to the Investor’s attention will be kept in the strictest confidence and will not, without the prior written consent of the Company, be used by the Investor or be disclosed to, or discussed with, any third party whatsoever. The above undertaking of confidentiality will not apply to information which is in the public domain at the</w:t>
      </w:r>
    </w:p>
    <w:p>
      <w:pPr>
        <w:spacing w:after="0" w:line="16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040" w:right="259" w:bottom="1440" w:gutter="0" w:footer="0" w:header="0"/>
        </w:sectPr>
      </w:pPr>
    </w:p>
    <w:bookmarkStart w:id="93" w:name="page94"/>
    <w:bookmarkEnd w:id="93"/>
    <w:p>
      <w:pPr>
        <w:ind w:left="460" w:right="80"/>
        <w:spacing w:after="0" w:line="264" w:lineRule="auto"/>
        <w:rPr>
          <w:sz w:val="20"/>
          <w:szCs w:val="20"/>
          <w:color w:val="auto"/>
        </w:rPr>
      </w:pPr>
      <w:r>
        <w:rPr>
          <w:rFonts w:ascii="Arial" w:cs="Arial" w:eastAsia="Arial" w:hAnsi="Arial"/>
          <w:sz w:val="18"/>
          <w:szCs w:val="18"/>
          <w:color w:val="auto"/>
        </w:rPr>
        <w:t>time of disclosure or subsequently becomes part of the public domain, except by breach by the Investor of its obligations, is received from a third party who is not under an obligation of confidentiality to the Company or is independently developed without the use of confidential information received from the Company.</w:t>
      </w:r>
    </w:p>
    <w:p>
      <w:pPr>
        <w:spacing w:after="0" w:line="83"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b w:val="1"/>
          <w:bCs w:val="1"/>
          <w:u w:val="single" w:color="auto"/>
          <w:color w:val="auto"/>
        </w:rPr>
        <w:t>F</w:t>
      </w:r>
      <w:r>
        <w:rPr>
          <w:rFonts w:ascii="Arial" w:cs="Arial" w:eastAsia="Arial" w:hAnsi="Arial"/>
          <w:sz w:val="12"/>
          <w:szCs w:val="12"/>
          <w:b w:val="1"/>
          <w:bCs w:val="1"/>
          <w:u w:val="single" w:color="auto"/>
          <w:color w:val="auto"/>
        </w:rPr>
        <w:t>EES AND</w:t>
      </w:r>
      <w:r>
        <w:rPr>
          <w:rFonts w:ascii="Arial" w:cs="Arial" w:eastAsia="Arial" w:hAnsi="Arial"/>
          <w:sz w:val="18"/>
          <w:szCs w:val="18"/>
          <w:b w:val="1"/>
          <w:bCs w:val="1"/>
          <w:u w:val="single" w:color="auto"/>
          <w:color w:val="auto"/>
        </w:rPr>
        <w:t xml:space="preserve"> E</w:t>
      </w:r>
      <w:r>
        <w:rPr>
          <w:rFonts w:ascii="Arial" w:cs="Arial" w:eastAsia="Arial" w:hAnsi="Arial"/>
          <w:sz w:val="12"/>
          <w:szCs w:val="12"/>
          <w:b w:val="1"/>
          <w:bCs w:val="1"/>
          <w:u w:val="single" w:color="auto"/>
          <w:color w:val="auto"/>
        </w:rPr>
        <w:t>XPENSES</w:t>
      </w:r>
    </w:p>
    <w:p>
      <w:pPr>
        <w:spacing w:after="0" w:line="135" w:lineRule="exact"/>
        <w:rPr>
          <w:sz w:val="20"/>
          <w:szCs w:val="20"/>
          <w:color w:val="auto"/>
        </w:rPr>
      </w:pPr>
    </w:p>
    <w:p>
      <w:pPr>
        <w:ind w:left="460" w:right="740"/>
        <w:spacing w:after="0" w:line="277" w:lineRule="auto"/>
        <w:rPr>
          <w:sz w:val="20"/>
          <w:szCs w:val="20"/>
          <w:color w:val="auto"/>
        </w:rPr>
      </w:pPr>
      <w:r>
        <w:rPr>
          <w:rFonts w:ascii="Arial" w:cs="Arial" w:eastAsia="Arial" w:hAnsi="Arial"/>
          <w:sz w:val="18"/>
          <w:szCs w:val="18"/>
          <w:color w:val="auto"/>
        </w:rPr>
        <w:t>Each of the Parties hereto shall each bear its own expenses and legal fees incurred by it or on its behalf with respect to this Agreement and the transactions contemplated hereby.</w:t>
      </w:r>
    </w:p>
    <w:p>
      <w:pPr>
        <w:spacing w:after="0" w:line="72"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b w:val="1"/>
          <w:bCs w:val="1"/>
          <w:u w:val="single" w:color="auto"/>
          <w:color w:val="auto"/>
        </w:rPr>
        <w:t>N</w:t>
      </w:r>
      <w:r>
        <w:rPr>
          <w:rFonts w:ascii="Arial" w:cs="Arial" w:eastAsia="Arial" w:hAnsi="Arial"/>
          <w:sz w:val="12"/>
          <w:szCs w:val="12"/>
          <w:b w:val="1"/>
          <w:bCs w:val="1"/>
          <w:u w:val="single" w:color="auto"/>
          <w:color w:val="auto"/>
        </w:rPr>
        <w:t>OTICES</w:t>
      </w:r>
    </w:p>
    <w:p>
      <w:pPr>
        <w:spacing w:after="0" w:line="121" w:lineRule="exact"/>
        <w:rPr>
          <w:sz w:val="20"/>
          <w:szCs w:val="20"/>
          <w:color w:val="auto"/>
        </w:rPr>
      </w:pPr>
    </w:p>
    <w:p>
      <w:pPr>
        <w:ind w:left="900" w:right="80" w:hanging="445"/>
        <w:spacing w:after="0" w:line="342" w:lineRule="auto"/>
        <w:tabs>
          <w:tab w:leader="none" w:pos="8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All notices hereunder will be in writing, mailed registered or certified mail, postage prepaid, addressed to the parties at their respective addresses as set out in the preamble to this Agreement, or transmitted by courier, facsimile or e-mail or other reliable method of transmission.</w:t>
      </w:r>
    </w:p>
    <w:p>
      <w:pPr>
        <w:spacing w:after="0" w:line="29" w:lineRule="exact"/>
        <w:rPr>
          <w:sz w:val="20"/>
          <w:szCs w:val="20"/>
          <w:color w:val="auto"/>
        </w:rPr>
      </w:pPr>
    </w:p>
    <w:p>
      <w:pPr>
        <w:ind w:left="900" w:hanging="445"/>
        <w:spacing w:after="0" w:line="264" w:lineRule="auto"/>
        <w:tabs>
          <w:tab w:leader="none" w:pos="880" w:val="left"/>
        </w:tabs>
        <w:rPr>
          <w:sz w:val="20"/>
          <w:szCs w:val="20"/>
          <w:color w:val="auto"/>
        </w:rPr>
      </w:pPr>
      <w:r>
        <w:rPr>
          <w:rFonts w:ascii="Arial" w:cs="Arial" w:eastAsia="Arial" w:hAnsi="Arial"/>
          <w:sz w:val="18"/>
          <w:szCs w:val="18"/>
          <w:color w:val="auto"/>
        </w:rPr>
        <w:t>8.2.</w:t>
        <w:tab/>
        <w:t>Notices will be deemed received by the receiving party within seven (7) days of mailing, if mailed, within three (3) days of sending, if sent by courier, when actually delivered by hand, if so delivered, and on the first business day (at the receiving end) following transmission, if transmitted by facsimile or e-mail with confirmation of receipt.</w:t>
      </w:r>
    </w:p>
    <w:p>
      <w:pPr>
        <w:spacing w:after="0" w:line="69"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2"/>
          <w:szCs w:val="12"/>
          <w:b w:val="1"/>
          <w:bCs w:val="1"/>
          <w:u w:val="single" w:color="auto"/>
          <w:color w:val="auto"/>
        </w:rPr>
        <w:t>SSIGNMENT</w:t>
      </w:r>
    </w:p>
    <w:p>
      <w:pPr>
        <w:spacing w:after="0" w:line="135" w:lineRule="exact"/>
        <w:rPr>
          <w:sz w:val="20"/>
          <w:szCs w:val="20"/>
          <w:color w:val="auto"/>
        </w:rPr>
      </w:pPr>
    </w:p>
    <w:p>
      <w:pPr>
        <w:ind w:left="460" w:right="580"/>
        <w:spacing w:after="0" w:line="342" w:lineRule="auto"/>
        <w:rPr>
          <w:sz w:val="20"/>
          <w:szCs w:val="20"/>
          <w:color w:val="auto"/>
        </w:rPr>
      </w:pPr>
      <w:r>
        <w:rPr>
          <w:rFonts w:ascii="Arial" w:cs="Arial" w:eastAsia="Arial" w:hAnsi="Arial"/>
          <w:sz w:val="16"/>
          <w:szCs w:val="16"/>
          <w:color w:val="auto"/>
        </w:rPr>
        <w:t>The provisions of this Agreement shall be binding upon and inure to the benefit of the parties hereto and their respective successors and assigns, provided that the Investor may not pledge, assign, delegate or otherwise transfer any of the its rights or obligations under this Agreement.</w:t>
      </w:r>
    </w:p>
    <w:p>
      <w:pPr>
        <w:spacing w:after="0" w:line="25"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b w:val="1"/>
          <w:bCs w:val="1"/>
          <w:u w:val="single" w:color="auto"/>
          <w:color w:val="auto"/>
        </w:rPr>
        <w:t>T</w:t>
      </w:r>
      <w:r>
        <w:rPr>
          <w:rFonts w:ascii="Arial" w:cs="Arial" w:eastAsia="Arial" w:hAnsi="Arial"/>
          <w:sz w:val="12"/>
          <w:szCs w:val="12"/>
          <w:b w:val="1"/>
          <w:bCs w:val="1"/>
          <w:u w:val="single" w:color="auto"/>
          <w:color w:val="auto"/>
        </w:rPr>
        <w:t>ERMINATION</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Agreement shall automatically terminate if the Ordinary Shares have not been duly issued on November 7, 2008 at the latest.</w:t>
      </w:r>
    </w:p>
    <w:p>
      <w:pPr>
        <w:spacing w:after="0" w:line="127"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b w:val="1"/>
          <w:bCs w:val="1"/>
          <w:u w:val="single" w:color="auto"/>
          <w:color w:val="auto"/>
        </w:rPr>
        <w:t>E</w:t>
      </w:r>
      <w:r>
        <w:rPr>
          <w:rFonts w:ascii="Arial" w:cs="Arial" w:eastAsia="Arial" w:hAnsi="Arial"/>
          <w:sz w:val="12"/>
          <w:szCs w:val="12"/>
          <w:b w:val="1"/>
          <w:bCs w:val="1"/>
          <w:u w:val="single" w:color="auto"/>
          <w:color w:val="auto"/>
        </w:rPr>
        <w:t>NTIRE</w:t>
      </w:r>
      <w:r>
        <w:rPr>
          <w:rFonts w:ascii="Arial" w:cs="Arial" w:eastAsia="Arial" w:hAnsi="Arial"/>
          <w:sz w:val="18"/>
          <w:szCs w:val="18"/>
          <w:b w:val="1"/>
          <w:bCs w:val="1"/>
          <w:u w:val="single" w:color="auto"/>
          <w:color w:val="auto"/>
        </w:rPr>
        <w:t xml:space="preserve"> A</w:t>
      </w:r>
      <w:r>
        <w:rPr>
          <w:rFonts w:ascii="Arial" w:cs="Arial" w:eastAsia="Arial" w:hAnsi="Arial"/>
          <w:sz w:val="12"/>
          <w:szCs w:val="12"/>
          <w:b w:val="1"/>
          <w:bCs w:val="1"/>
          <w:u w:val="single" w:color="auto"/>
          <w:color w:val="auto"/>
        </w:rPr>
        <w:t>GREEMENT AND</w:t>
      </w:r>
      <w:r>
        <w:rPr>
          <w:rFonts w:ascii="Arial" w:cs="Arial" w:eastAsia="Arial" w:hAnsi="Arial"/>
          <w:sz w:val="18"/>
          <w:szCs w:val="18"/>
          <w:b w:val="1"/>
          <w:bCs w:val="1"/>
          <w:u w:val="single" w:color="auto"/>
          <w:color w:val="auto"/>
        </w:rPr>
        <w:t xml:space="preserve"> A</w:t>
      </w:r>
      <w:r>
        <w:rPr>
          <w:rFonts w:ascii="Arial" w:cs="Arial" w:eastAsia="Arial" w:hAnsi="Arial"/>
          <w:sz w:val="12"/>
          <w:szCs w:val="12"/>
          <w:b w:val="1"/>
          <w:bCs w:val="1"/>
          <w:u w:val="single" w:color="auto"/>
          <w:color w:val="auto"/>
        </w:rPr>
        <w:t>MENDMENT</w:t>
      </w:r>
    </w:p>
    <w:p>
      <w:pPr>
        <w:spacing w:after="0" w:line="135" w:lineRule="exact"/>
        <w:rPr>
          <w:sz w:val="20"/>
          <w:szCs w:val="20"/>
          <w:color w:val="auto"/>
        </w:rPr>
      </w:pPr>
    </w:p>
    <w:p>
      <w:pPr>
        <w:ind w:left="460" w:right="720"/>
        <w:spacing w:after="0" w:line="342" w:lineRule="auto"/>
        <w:rPr>
          <w:sz w:val="20"/>
          <w:szCs w:val="20"/>
          <w:color w:val="auto"/>
        </w:rPr>
      </w:pPr>
      <w:r>
        <w:rPr>
          <w:rFonts w:ascii="Arial" w:cs="Arial" w:eastAsia="Arial" w:hAnsi="Arial"/>
          <w:sz w:val="16"/>
          <w:szCs w:val="16"/>
          <w:color w:val="auto"/>
        </w:rPr>
        <w:t>This Agreement constitutes the entire agreement between the Parties with respect to the subject matter hereof and contains all of the promises, undertakings, and other representations made by the parties to each other prior to its execution, all of which are merged herein.</w:t>
      </w:r>
    </w:p>
    <w:p>
      <w:pPr>
        <w:spacing w:after="0" w:line="29" w:lineRule="exact"/>
        <w:rPr>
          <w:sz w:val="20"/>
          <w:szCs w:val="20"/>
          <w:color w:val="auto"/>
        </w:rPr>
      </w:pPr>
    </w:p>
    <w:p>
      <w:pPr>
        <w:ind w:left="460" w:right="80"/>
        <w:spacing w:after="0" w:line="342" w:lineRule="auto"/>
        <w:rPr>
          <w:sz w:val="20"/>
          <w:szCs w:val="20"/>
          <w:color w:val="auto"/>
        </w:rPr>
      </w:pPr>
      <w:r>
        <w:rPr>
          <w:rFonts w:ascii="Arial" w:cs="Arial" w:eastAsia="Arial" w:hAnsi="Arial"/>
          <w:sz w:val="16"/>
          <w:szCs w:val="16"/>
          <w:color w:val="auto"/>
        </w:rPr>
        <w:t>This Agreement shall prevail over any prior agreement, understanding, promise or undertaking of the parties with respect to the subject matter hereof, all of which are merged herein. No subsequent amendment to this Agreement will be of any effect unless executed in writing and signed by the Parties.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4" w:name="page95"/>
    <w:bookmarkEnd w:id="94"/>
    <w:p>
      <w:pPr>
        <w:ind w:left="280" w:hanging="272"/>
        <w:spacing w:after="0"/>
        <w:tabs>
          <w:tab w:leader="none" w:pos="280" w:val="left"/>
        </w:tabs>
        <w:numPr>
          <w:ilvl w:val="0"/>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G</w:t>
      </w:r>
      <w:r>
        <w:rPr>
          <w:rFonts w:ascii="Arial" w:cs="Arial" w:eastAsia="Arial" w:hAnsi="Arial"/>
          <w:sz w:val="12"/>
          <w:szCs w:val="12"/>
          <w:b w:val="1"/>
          <w:bCs w:val="1"/>
          <w:u w:val="single" w:color="auto"/>
          <w:color w:val="auto"/>
        </w:rPr>
        <w:t>OVERNING</w:t>
      </w:r>
      <w:r>
        <w:rPr>
          <w:rFonts w:ascii="Arial" w:cs="Arial" w:eastAsia="Arial" w:hAnsi="Arial"/>
          <w:sz w:val="18"/>
          <w:szCs w:val="18"/>
          <w:b w:val="1"/>
          <w:bCs w:val="1"/>
          <w:u w:val="single" w:color="auto"/>
          <w:color w:val="auto"/>
        </w:rPr>
        <w:t xml:space="preserve"> L</w:t>
      </w:r>
      <w:r>
        <w:rPr>
          <w:rFonts w:ascii="Arial" w:cs="Arial" w:eastAsia="Arial" w:hAnsi="Arial"/>
          <w:sz w:val="12"/>
          <w:szCs w:val="12"/>
          <w:b w:val="1"/>
          <w:bCs w:val="1"/>
          <w:u w:val="single" w:color="auto"/>
          <w:color w:val="auto"/>
        </w:rPr>
        <w:t>AW</w:t>
      </w:r>
      <w:r>
        <w:rPr>
          <w:rFonts w:ascii="Arial" w:cs="Arial" w:eastAsia="Arial" w:hAnsi="Arial"/>
          <w:sz w:val="18"/>
          <w:szCs w:val="18"/>
          <w:b w:val="1"/>
          <w:bCs w:val="1"/>
          <w:u w:val="single" w:color="auto"/>
          <w:color w:val="auto"/>
        </w:rPr>
        <w:t>; J</w:t>
      </w:r>
      <w:r>
        <w:rPr>
          <w:rFonts w:ascii="Arial" w:cs="Arial" w:eastAsia="Arial" w:hAnsi="Arial"/>
          <w:sz w:val="12"/>
          <w:szCs w:val="12"/>
          <w:b w:val="1"/>
          <w:bCs w:val="1"/>
          <w:u w:val="single" w:color="auto"/>
          <w:color w:val="auto"/>
        </w:rPr>
        <w:t>URISDICTION</w:t>
      </w:r>
      <w:r>
        <w:rPr>
          <w:rFonts w:ascii="Arial" w:cs="Arial" w:eastAsia="Arial" w:hAnsi="Arial"/>
          <w:sz w:val="18"/>
          <w:szCs w:val="18"/>
          <w:b w:val="1"/>
          <w:bCs w:val="1"/>
          <w:u w:val="single" w:color="auto"/>
          <w:color w:val="auto"/>
        </w:rPr>
        <w:t>.</w:t>
      </w:r>
    </w:p>
    <w:p>
      <w:pPr>
        <w:spacing w:after="0" w:line="135"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 xml:space="preserve">This Agreement shall be governed by and construed according to the laws of the </w:t>
      </w:r>
      <w:r>
        <w:rPr>
          <w:rFonts w:ascii="Arial" w:cs="Arial" w:eastAsia="Arial" w:hAnsi="Arial"/>
          <w:sz w:val="18"/>
          <w:szCs w:val="18"/>
          <w:i w:val="1"/>
          <w:iCs w:val="1"/>
          <w:color w:val="auto"/>
        </w:rPr>
        <w:t>République française</w:t>
      </w:r>
      <w:r>
        <w:rPr>
          <w:rFonts w:ascii="Arial" w:cs="Arial" w:eastAsia="Arial" w:hAnsi="Arial"/>
          <w:sz w:val="18"/>
          <w:szCs w:val="18"/>
          <w:color w:val="auto"/>
        </w:rPr>
        <w:t xml:space="preserve"> without regard to the conflict of laws provisions thereof. The Parties irrevocably agree that the commercial court (</w:t>
      </w:r>
      <w:r>
        <w:rPr>
          <w:rFonts w:ascii="Arial" w:cs="Arial" w:eastAsia="Arial" w:hAnsi="Arial"/>
          <w:sz w:val="18"/>
          <w:szCs w:val="18"/>
          <w:i w:val="1"/>
          <w:iCs w:val="1"/>
          <w:color w:val="auto"/>
        </w:rPr>
        <w:t>tribunal de commerce</w:t>
      </w:r>
      <w:r>
        <w:rPr>
          <w:rFonts w:ascii="Arial" w:cs="Arial" w:eastAsia="Arial" w:hAnsi="Arial"/>
          <w:sz w:val="18"/>
          <w:szCs w:val="18"/>
          <w:color w:val="auto"/>
        </w:rPr>
        <w:t>) of Paris shall have exclusive jurisdiction to resolve any dispute or claim of whatever nature arising out of or relating to this Agreement.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on the date first appearing above: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CELLECTIS S. 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By: /s/ André Choulika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Name: André Choulika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Title: Directeur Général</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By: /s/ Stuart Kolinski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Name: Stuart Kolinski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Title: General Counsel</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2" w:right="27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color w:val="auto"/>
        </w:rPr>
        <w:t>Exhibit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Articles of association (</w:t>
      </w:r>
      <w:r>
        <w:rPr>
          <w:rFonts w:ascii="Arial" w:cs="Arial" w:eastAsia="Arial" w:hAnsi="Arial"/>
          <w:sz w:val="16"/>
          <w:szCs w:val="16"/>
          <w:i w:val="1"/>
          <w:iCs w:val="1"/>
          <w:u w:val="single" w:color="auto"/>
          <w:color w:val="auto"/>
        </w:rPr>
        <w:t>statuts</w:t>
      </w:r>
      <w:r>
        <w:rPr>
          <w:rFonts w:ascii="Arial" w:cs="Arial" w:eastAsia="Arial" w:hAnsi="Arial"/>
          <w:sz w:val="16"/>
          <w:szCs w:val="16"/>
          <w:u w:val="single" w:color="auto"/>
          <w:color w:val="auto"/>
        </w:rPr>
        <w:t>) of the Company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019"/>
          </w:cols>
          <w:pgMar w:left="1440" w:top="962" w:right="1440"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12.1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Combined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color w:val="auto"/>
                <w:w w:val="95"/>
              </w:rPr>
              <w:t>Six months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60" w:type="dxa"/>
            <w:vAlign w:val="bottom"/>
            <w:gridSpan w:val="3"/>
            <w:vMerge w:val="restart"/>
          </w:tcPr>
          <w:p>
            <w:pPr>
              <w:ind w:left="240"/>
              <w:spacing w:after="0"/>
              <w:rPr>
                <w:sz w:val="20"/>
                <w:szCs w:val="20"/>
                <w:color w:val="auto"/>
              </w:rPr>
            </w:pPr>
            <w:r>
              <w:rPr>
                <w:rFonts w:ascii="Arial" w:cs="Arial" w:eastAsia="Arial" w:hAnsi="Arial"/>
                <w:sz w:val="14"/>
                <w:szCs w:val="14"/>
                <w:color w:val="auto"/>
                <w:w w:val="93"/>
              </w:rPr>
              <w:t>Years ended December 31,</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center"/>
              <w:ind w:right="174"/>
              <w:spacing w:after="0"/>
              <w:rPr>
                <w:sz w:val="20"/>
                <w:szCs w:val="20"/>
                <w:color w:val="auto"/>
              </w:rPr>
            </w:pPr>
            <w:r>
              <w:rPr>
                <w:rFonts w:ascii="Arial" w:cs="Arial" w:eastAsia="Arial" w:hAnsi="Arial"/>
                <w:sz w:val="14"/>
                <w:szCs w:val="14"/>
                <w:color w:val="auto"/>
                <w:w w:val="87"/>
              </w:rPr>
              <w:t>ended</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jc w:val="center"/>
              <w:ind w:right="194"/>
              <w:spacing w:after="0" w:line="154" w:lineRule="exact"/>
              <w:rPr>
                <w:sz w:val="20"/>
                <w:szCs w:val="20"/>
                <w:color w:val="auto"/>
              </w:rPr>
            </w:pPr>
            <w:r>
              <w:rPr>
                <w:rFonts w:ascii="Arial" w:cs="Arial" w:eastAsia="Arial" w:hAnsi="Arial"/>
                <w:sz w:val="14"/>
                <w:szCs w:val="14"/>
                <w:color w:val="auto"/>
                <w:w w:val="89"/>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352"/>
              <w:spacing w:after="0" w:line="142" w:lineRule="exact"/>
              <w:rPr>
                <w:sz w:val="20"/>
                <w:szCs w:val="20"/>
                <w:color w:val="auto"/>
              </w:rPr>
            </w:pPr>
            <w:r>
              <w:rPr>
                <w:rFonts w:ascii="Arial" w:cs="Arial" w:eastAsia="Arial" w:hAnsi="Arial"/>
                <w:sz w:val="14"/>
                <w:szCs w:val="14"/>
                <w:color w:val="auto"/>
              </w:rPr>
              <w:t>2003</w:t>
            </w:r>
          </w:p>
        </w:tc>
        <w:tc>
          <w:tcPr>
            <w:tcW w:w="1380" w:type="dxa"/>
            <w:vAlign w:val="bottom"/>
            <w:gridSpan w:val="2"/>
          </w:tcPr>
          <w:p>
            <w:pPr>
              <w:jc w:val="right"/>
              <w:ind w:right="270"/>
              <w:spacing w:after="0" w:line="142" w:lineRule="exact"/>
              <w:rPr>
                <w:sz w:val="20"/>
                <w:szCs w:val="20"/>
                <w:color w:val="auto"/>
              </w:rPr>
            </w:pPr>
            <w:r>
              <w:rPr>
                <w:rFonts w:ascii="Arial" w:cs="Arial" w:eastAsia="Arial" w:hAnsi="Arial"/>
                <w:sz w:val="14"/>
                <w:szCs w:val="14"/>
                <w:color w:val="auto"/>
              </w:rPr>
              <w:t>2004</w:t>
            </w:r>
          </w:p>
        </w:tc>
        <w:tc>
          <w:tcPr>
            <w:tcW w:w="1460" w:type="dxa"/>
            <w:vAlign w:val="bottom"/>
            <w:gridSpan w:val="2"/>
          </w:tcPr>
          <w:p>
            <w:pPr>
              <w:jc w:val="right"/>
              <w:ind w:right="290"/>
              <w:spacing w:after="0" w:line="142" w:lineRule="exact"/>
              <w:rPr>
                <w:sz w:val="20"/>
                <w:szCs w:val="20"/>
                <w:color w:val="auto"/>
              </w:rPr>
            </w:pPr>
            <w:r>
              <w:rPr>
                <w:rFonts w:ascii="Arial" w:cs="Arial" w:eastAsia="Arial" w:hAnsi="Arial"/>
                <w:sz w:val="14"/>
                <w:szCs w:val="14"/>
                <w:color w:val="auto"/>
              </w:rPr>
              <w:t>2005</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2"/>
              <w:spacing w:after="0" w:line="142" w:lineRule="exact"/>
              <w:rPr>
                <w:sz w:val="20"/>
                <w:szCs w:val="20"/>
                <w:color w:val="auto"/>
              </w:rPr>
            </w:pPr>
            <w:r>
              <w:rPr>
                <w:rFonts w:ascii="Arial" w:cs="Arial" w:eastAsia="Arial" w:hAnsi="Arial"/>
                <w:sz w:val="14"/>
                <w:szCs w:val="14"/>
                <w:color w:val="auto"/>
              </w:rPr>
              <w:t>2006</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2"/>
              <w:spacing w:after="0" w:line="142" w:lineRule="exact"/>
              <w:rPr>
                <w:sz w:val="20"/>
                <w:szCs w:val="20"/>
                <w:color w:val="auto"/>
              </w:rPr>
            </w:pPr>
            <w:r>
              <w:rPr>
                <w:rFonts w:ascii="Arial" w:cs="Arial" w:eastAsia="Arial" w:hAnsi="Arial"/>
                <w:sz w:val="14"/>
                <w:szCs w:val="14"/>
                <w:color w:val="auto"/>
              </w:rPr>
              <w:t>2007</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center"/>
              <w:ind w:right="174"/>
              <w:spacing w:after="0" w:line="142" w:lineRule="exact"/>
              <w:rPr>
                <w:sz w:val="20"/>
                <w:szCs w:val="20"/>
                <w:color w:val="auto"/>
              </w:rPr>
            </w:pPr>
            <w:r>
              <w:rPr>
                <w:rFonts w:ascii="Arial" w:cs="Arial" w:eastAsia="Arial" w:hAnsi="Arial"/>
                <w:sz w:val="14"/>
                <w:szCs w:val="14"/>
                <w:color w:val="auto"/>
                <w:w w:val="96"/>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tcPr>
          <w:p>
            <w:pPr>
              <w:ind w:left="200"/>
              <w:spacing w:after="0" w:line="201" w:lineRule="exact"/>
              <w:rPr>
                <w:sz w:val="20"/>
                <w:szCs w:val="20"/>
                <w:color w:val="auto"/>
              </w:rPr>
            </w:pPr>
            <w:r>
              <w:rPr>
                <w:rFonts w:ascii="Arial" w:cs="Arial" w:eastAsia="Arial" w:hAnsi="Arial"/>
                <w:sz w:val="18"/>
                <w:szCs w:val="18"/>
                <w:color w:val="auto"/>
              </w:rPr>
              <w:t>Income (loss) from continuing</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400"/>
              <w:spacing w:after="0"/>
              <w:rPr>
                <w:sz w:val="20"/>
                <w:szCs w:val="20"/>
                <w:color w:val="auto"/>
              </w:rPr>
            </w:pPr>
            <w:r>
              <w:rPr>
                <w:rFonts w:ascii="Arial" w:cs="Arial" w:eastAsia="Arial" w:hAnsi="Arial"/>
                <w:sz w:val="18"/>
                <w:szCs w:val="18"/>
                <w:color w:val="auto"/>
              </w:rPr>
              <w:t>operations before income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Pr>
          <w:p>
            <w:pPr>
              <w:ind w:left="400"/>
              <w:spacing w:after="0"/>
              <w:rPr>
                <w:sz w:val="20"/>
                <w:szCs w:val="20"/>
                <w:color w:val="auto"/>
              </w:rPr>
            </w:pPr>
            <w:r>
              <w:rPr>
                <w:rFonts w:ascii="Arial" w:cs="Arial" w:eastAsia="Arial" w:hAnsi="Arial"/>
                <w:sz w:val="18"/>
                <w:szCs w:val="18"/>
                <w:color w:val="auto"/>
              </w:rPr>
              <w:t>(loss) from equity investee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2"/>
              <w:spacing w:after="0"/>
              <w:rPr>
                <w:sz w:val="20"/>
                <w:szCs w:val="20"/>
                <w:color w:val="auto"/>
              </w:rPr>
            </w:pPr>
            <w:r>
              <w:rPr>
                <w:rFonts w:ascii="Arial" w:cs="Arial" w:eastAsia="Arial" w:hAnsi="Arial"/>
                <w:sz w:val="18"/>
                <w:szCs w:val="18"/>
                <w:color w:val="auto"/>
                <w:w w:val="88"/>
              </w:rPr>
              <w:t>(107,395)</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$41,565</w:t>
            </w:r>
          </w:p>
        </w:tc>
        <w:tc>
          <w:tcPr>
            <w:tcW w:w="1460" w:type="dxa"/>
            <w:vAlign w:val="bottom"/>
            <w:gridSpan w:val="2"/>
          </w:tcPr>
          <w:p>
            <w:pPr>
              <w:jc w:val="right"/>
              <w:ind w:right="90"/>
              <w:spacing w:after="0"/>
              <w:rPr>
                <w:sz w:val="20"/>
                <w:szCs w:val="20"/>
                <w:color w:val="auto"/>
              </w:rPr>
            </w:pPr>
            <w:r>
              <w:rPr>
                <w:rFonts w:ascii="Arial" w:cs="Arial" w:eastAsia="Arial" w:hAnsi="Arial"/>
                <w:sz w:val="18"/>
                <w:szCs w:val="18"/>
                <w:color w:val="auto"/>
              </w:rPr>
              <w:t>$(95,456)</w:t>
            </w:r>
          </w:p>
        </w:tc>
        <w:tc>
          <w:tcPr>
            <w:tcW w:w="4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w w:val="88"/>
              </w:rPr>
              <w:t>(103,150)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w w:val="88"/>
              </w:rPr>
              <w:t>(105,600)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4"/>
              <w:spacing w:after="0"/>
              <w:rPr>
                <w:sz w:val="20"/>
                <w:szCs w:val="20"/>
                <w:color w:val="auto"/>
              </w:rPr>
            </w:pPr>
            <w:r>
              <w:rPr>
                <w:rFonts w:ascii="Arial" w:cs="Arial" w:eastAsia="Arial" w:hAnsi="Arial"/>
                <w:sz w:val="18"/>
                <w:szCs w:val="18"/>
                <w:color w:val="auto"/>
                <w:w w:val="89"/>
              </w:rPr>
              <w:t>(30,077)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14,108</w:t>
            </w:r>
          </w:p>
        </w:tc>
        <w:tc>
          <w:tcPr>
            <w:tcW w:w="13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14,060</w:t>
            </w:r>
          </w:p>
        </w:tc>
        <w:tc>
          <w:tcPr>
            <w:tcW w:w="1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13,687</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13,643</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13,708</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6,543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 capitalized</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Pr>
          <w:p>
            <w:pPr>
              <w:ind w:left="400"/>
              <w:spacing w:after="0"/>
              <w:rPr>
                <w:sz w:val="20"/>
                <w:szCs w:val="20"/>
                <w:color w:val="auto"/>
              </w:rPr>
            </w:pPr>
            <w:r>
              <w:rPr>
                <w:rFonts w:ascii="Arial" w:cs="Arial" w:eastAsia="Arial" w:hAnsi="Arial"/>
                <w:sz w:val="18"/>
                <w:szCs w:val="18"/>
                <w:color w:val="auto"/>
              </w:rPr>
              <w:t>interest</w:t>
            </w:r>
          </w:p>
        </w:tc>
        <w:tc>
          <w:tcPr>
            <w:tcW w:w="260" w:type="dxa"/>
            <w:vAlign w:val="bottom"/>
          </w:tcPr>
          <w:p>
            <w:pPr>
              <w:spacing w:after="0"/>
              <w:rPr>
                <w:sz w:val="20"/>
                <w:szCs w:val="20"/>
                <w:color w:val="auto"/>
              </w:rPr>
            </w:pP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33</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78</w:t>
            </w:r>
          </w:p>
        </w:tc>
        <w:tc>
          <w:tcPr>
            <w:tcW w:w="1460" w:type="dxa"/>
            <w:vAlign w:val="bottom"/>
            <w:gridSpan w:val="2"/>
          </w:tcPr>
          <w:p>
            <w:pPr>
              <w:jc w:val="right"/>
              <w:ind w:right="150"/>
              <w:spacing w:after="0"/>
              <w:rPr>
                <w:sz w:val="20"/>
                <w:szCs w:val="20"/>
                <w:color w:val="auto"/>
              </w:rPr>
            </w:pPr>
            <w:r>
              <w:rPr>
                <w:rFonts w:ascii="Arial" w:cs="Arial" w:eastAsia="Arial" w:hAnsi="Arial"/>
                <w:sz w:val="18"/>
                <w:szCs w:val="18"/>
                <w:color w:val="auto"/>
              </w:rPr>
              <w:t>78</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73</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15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capitalized</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(276)</w:t>
            </w:r>
          </w:p>
        </w:tc>
        <w:tc>
          <w:tcPr>
            <w:tcW w:w="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9"/>
        </w:trPr>
        <w:tc>
          <w:tcPr>
            <w:tcW w:w="2880" w:type="dxa"/>
            <w:vAlign w:val="bottom"/>
            <w:gridSpan w:val="2"/>
          </w:tcPr>
          <w:p>
            <w:pPr>
              <w:spacing w:after="0"/>
              <w:rPr>
                <w:sz w:val="20"/>
                <w:szCs w:val="20"/>
                <w:color w:val="auto"/>
              </w:rPr>
            </w:pPr>
            <w:r>
              <w:rPr>
                <w:rFonts w:ascii="Arial" w:cs="Arial" w:eastAsia="Arial" w:hAnsi="Arial"/>
                <w:sz w:val="18"/>
                <w:szCs w:val="18"/>
                <w:color w:val="auto"/>
              </w:rPr>
              <w:t>Adjusted earnings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(93,530)</w:t>
            </w:r>
          </w:p>
        </w:tc>
        <w:tc>
          <w:tcPr>
            <w:tcW w:w="13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$55,703</w:t>
            </w:r>
          </w:p>
        </w:tc>
        <w:tc>
          <w:tcPr>
            <w:tcW w:w="14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$(81,691)</w:t>
            </w: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(89,434)</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(91,869)</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89"/>
              </w:rPr>
              <w:t>(23,524)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11,932</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$12,175</w:t>
            </w:r>
          </w:p>
        </w:tc>
        <w:tc>
          <w:tcPr>
            <w:tcW w:w="1460" w:type="dxa"/>
            <w:vAlign w:val="bottom"/>
            <w:gridSpan w:val="2"/>
          </w:tcPr>
          <w:p>
            <w:pPr>
              <w:jc w:val="right"/>
              <w:ind w:right="150"/>
              <w:spacing w:after="0"/>
              <w:rPr>
                <w:sz w:val="20"/>
                <w:szCs w:val="20"/>
                <w:color w:val="auto"/>
              </w:rPr>
            </w:pPr>
            <w:r>
              <w:rPr>
                <w:rFonts w:ascii="Arial" w:cs="Arial" w:eastAsia="Arial" w:hAnsi="Arial"/>
                <w:sz w:val="18"/>
                <w:szCs w:val="18"/>
                <w:color w:val="auto"/>
              </w:rPr>
              <w:t>$ 12,046</w:t>
            </w:r>
          </w:p>
        </w:tc>
        <w:tc>
          <w:tcPr>
            <w:tcW w:w="4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12,043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12,043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4"/>
              <w:spacing w:after="0"/>
              <w:rPr>
                <w:sz w:val="20"/>
                <w:szCs w:val="20"/>
                <w:color w:val="auto"/>
              </w:rPr>
            </w:pPr>
            <w:r>
              <w:rPr>
                <w:rFonts w:ascii="Arial" w:cs="Arial" w:eastAsia="Arial" w:hAnsi="Arial"/>
                <w:sz w:val="18"/>
                <w:szCs w:val="18"/>
                <w:color w:val="auto"/>
              </w:rPr>
              <w:t>5,685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capitalized</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276</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tcPr>
          <w:p>
            <w:pPr>
              <w:ind w:left="200"/>
              <w:spacing w:after="0" w:line="201" w:lineRule="exact"/>
              <w:rPr>
                <w:sz w:val="20"/>
                <w:szCs w:val="20"/>
                <w:color w:val="auto"/>
              </w:rPr>
            </w:pPr>
            <w:r>
              <w:rPr>
                <w:rFonts w:ascii="Arial" w:cs="Arial" w:eastAsia="Arial" w:hAnsi="Arial"/>
                <w:sz w:val="18"/>
                <w:szCs w:val="18"/>
                <w:color w:val="auto"/>
              </w:rPr>
              <w:t>Assumed interest component of</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Pr>
          <w:p>
            <w:pPr>
              <w:ind w:left="400"/>
              <w:spacing w:after="0"/>
              <w:rPr>
                <w:sz w:val="20"/>
                <w:szCs w:val="20"/>
                <w:color w:val="auto"/>
              </w:rPr>
            </w:pPr>
            <w:r>
              <w:rPr>
                <w:rFonts w:ascii="Arial" w:cs="Arial" w:eastAsia="Arial" w:hAnsi="Arial"/>
                <w:sz w:val="18"/>
                <w:szCs w:val="18"/>
                <w:color w:val="auto"/>
              </w:rPr>
              <w:t>rental charges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1,900</w:t>
            </w:r>
          </w:p>
        </w:tc>
        <w:tc>
          <w:tcPr>
            <w:tcW w:w="13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1,885</w:t>
            </w:r>
          </w:p>
        </w:tc>
        <w:tc>
          <w:tcPr>
            <w:tcW w:w="14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1,641</w:t>
            </w:r>
          </w:p>
        </w:tc>
        <w:tc>
          <w:tcPr>
            <w:tcW w:w="4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1,600</w:t>
            </w:r>
          </w:p>
        </w:tc>
        <w:tc>
          <w:tcPr>
            <w:tcW w:w="4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1,665</w:t>
            </w:r>
          </w:p>
        </w:tc>
        <w:tc>
          <w:tcPr>
            <w:tcW w:w="4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14,108</w:t>
            </w:r>
          </w:p>
        </w:tc>
        <w:tc>
          <w:tcPr>
            <w:tcW w:w="138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$14,060</w:t>
            </w:r>
          </w:p>
        </w:tc>
        <w:tc>
          <w:tcPr>
            <w:tcW w:w="146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$ 13,687</w:t>
            </w:r>
          </w:p>
        </w:tc>
        <w:tc>
          <w:tcPr>
            <w:tcW w:w="4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13,643</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13,708</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6,543</w:t>
            </w:r>
          </w:p>
        </w:tc>
        <w:tc>
          <w:tcPr>
            <w:tcW w:w="0" w:type="dxa"/>
            <w:vAlign w:val="bottom"/>
          </w:tcPr>
          <w:p>
            <w:pPr>
              <w:spacing w:after="0"/>
              <w:rPr>
                <w:sz w:val="1"/>
                <w:szCs w:val="1"/>
                <w:color w:val="auto"/>
              </w:rPr>
            </w:pPr>
          </w:p>
        </w:tc>
      </w:tr>
      <w:tr>
        <w:trPr>
          <w:trHeight w:val="20"/>
        </w:trPr>
        <w:tc>
          <w:tcPr>
            <w:tcW w:w="288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880" w:type="dxa"/>
            <w:vAlign w:val="bottom"/>
            <w:gridSpan w:val="2"/>
          </w:tcPr>
          <w:p>
            <w:pPr>
              <w:spacing w:after="0"/>
              <w:rPr>
                <w:sz w:val="20"/>
                <w:szCs w:val="20"/>
                <w:color w:val="auto"/>
              </w:rPr>
            </w:pPr>
            <w:r>
              <w:rPr>
                <w:rFonts w:ascii="Arial" w:cs="Arial" w:eastAsia="Arial" w:hAnsi="Arial"/>
                <w:sz w:val="18"/>
                <w:szCs w:val="18"/>
                <w:color w:val="auto"/>
              </w:rPr>
              <w:t>Ratio of earnings to fixed charges</w:t>
            </w:r>
          </w:p>
        </w:tc>
        <w:tc>
          <w:tcPr>
            <w:tcW w:w="260" w:type="dxa"/>
            <w:vAlign w:val="bottom"/>
          </w:tcPr>
          <w:p>
            <w:pPr>
              <w:spacing w:after="0"/>
              <w:rPr>
                <w:sz w:val="24"/>
                <w:szCs w:val="24"/>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(A)</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3.96</w:t>
            </w:r>
          </w:p>
        </w:tc>
        <w:tc>
          <w:tcPr>
            <w:tcW w:w="400" w:type="dxa"/>
            <w:vAlign w:val="bottom"/>
          </w:tcPr>
          <w:p>
            <w:pPr>
              <w:spacing w:after="0"/>
              <w:rPr>
                <w:sz w:val="24"/>
                <w:szCs w:val="24"/>
                <w:color w:val="auto"/>
              </w:rPr>
            </w:pPr>
          </w:p>
        </w:tc>
        <w:tc>
          <w:tcPr>
            <w:tcW w:w="1460" w:type="dxa"/>
            <w:vAlign w:val="bottom"/>
            <w:gridSpan w:val="2"/>
          </w:tcPr>
          <w:p>
            <w:pPr>
              <w:ind w:left="620"/>
              <w:spacing w:after="0"/>
              <w:rPr>
                <w:sz w:val="20"/>
                <w:szCs w:val="20"/>
                <w:color w:val="auto"/>
              </w:rPr>
            </w:pPr>
            <w:r>
              <w:rPr>
                <w:rFonts w:ascii="Arial" w:cs="Arial" w:eastAsia="Arial" w:hAnsi="Arial"/>
                <w:sz w:val="18"/>
                <w:szCs w:val="18"/>
                <w:color w:val="auto"/>
              </w:rPr>
              <w:t>(A)</w:t>
            </w:r>
          </w:p>
        </w:tc>
        <w:tc>
          <w:tcPr>
            <w:tcW w:w="260" w:type="dxa"/>
            <w:vAlign w:val="bottom"/>
          </w:tcPr>
          <w:p>
            <w:pPr>
              <w:spacing w:after="0"/>
              <w:rPr>
                <w:sz w:val="24"/>
                <w:szCs w:val="24"/>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(A)</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(A)</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0" w:lineRule="exact"/>
        <w:rPr>
          <w:sz w:val="20"/>
          <w:szCs w:val="20"/>
          <w:color w:val="auto"/>
        </w:rPr>
      </w:pPr>
    </w:p>
    <w:p>
      <w:pPr>
        <w:ind w:left="460" w:right="20" w:hanging="452"/>
        <w:spacing w:after="0" w:line="342"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Due to the registrant’s losses for the years ended December 31, 2003, 2005, 2006, and 2007, and for the six months ended June 30, 2008, the ratio coverage was less than 1:1. To achieve a coverage ratio of 1:1, the registrant must generate additional earnings of the amounts shown in the table below.</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5"/>
              </w:rPr>
              <w:t>Six months</w:t>
            </w:r>
          </w:p>
        </w:tc>
        <w:tc>
          <w:tcPr>
            <w:tcW w:w="0" w:type="dxa"/>
            <w:vAlign w:val="bottom"/>
          </w:tcPr>
          <w:p>
            <w:pPr>
              <w:spacing w:after="0"/>
              <w:rPr>
                <w:sz w:val="1"/>
                <w:szCs w:val="1"/>
                <w:color w:val="auto"/>
              </w:rPr>
            </w:pPr>
          </w:p>
        </w:tc>
      </w:tr>
      <w:tr>
        <w:trPr>
          <w:trHeight w:val="162"/>
        </w:trPr>
        <w:tc>
          <w:tcPr>
            <w:tcW w:w="4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40" w:type="dxa"/>
            <w:vAlign w:val="bottom"/>
            <w:gridSpan w:val="3"/>
            <w:vMerge w:val="restart"/>
          </w:tcPr>
          <w:p>
            <w:pPr>
              <w:jc w:val="right"/>
              <w:ind w:right="450"/>
              <w:spacing w:after="0"/>
              <w:rPr>
                <w:sz w:val="20"/>
                <w:szCs w:val="20"/>
                <w:color w:val="auto"/>
              </w:rPr>
            </w:pPr>
            <w:r>
              <w:rPr>
                <w:rFonts w:ascii="Arial" w:cs="Arial" w:eastAsia="Arial" w:hAnsi="Arial"/>
                <w:sz w:val="14"/>
                <w:szCs w:val="14"/>
                <w:color w:val="auto"/>
              </w:rPr>
              <w:t>Years ended December 31,</w:t>
            </w: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87"/>
              </w:rPr>
              <w:t>ended</w:t>
            </w:r>
          </w:p>
        </w:tc>
        <w:tc>
          <w:tcPr>
            <w:tcW w:w="0" w:type="dxa"/>
            <w:vAlign w:val="bottom"/>
          </w:tcPr>
          <w:p>
            <w:pPr>
              <w:spacing w:after="0"/>
              <w:rPr>
                <w:sz w:val="1"/>
                <w:szCs w:val="1"/>
                <w:color w:val="auto"/>
              </w:rPr>
            </w:pPr>
          </w:p>
        </w:tc>
      </w:tr>
      <w:tr>
        <w:trPr>
          <w:trHeight w:val="154"/>
        </w:trPr>
        <w:tc>
          <w:tcPr>
            <w:tcW w:w="402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3"/>
            <w:vMerge w:val="continue"/>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tcPr>
          <w:p>
            <w:pPr>
              <w:jc w:val="center"/>
              <w:spacing w:after="0" w:line="154" w:lineRule="exact"/>
              <w:rPr>
                <w:sz w:val="20"/>
                <w:szCs w:val="20"/>
                <w:color w:val="auto"/>
              </w:rPr>
            </w:pPr>
            <w:r>
              <w:rPr>
                <w:rFonts w:ascii="Arial" w:cs="Arial" w:eastAsia="Arial" w:hAnsi="Arial"/>
                <w:sz w:val="14"/>
                <w:szCs w:val="14"/>
                <w:color w:val="auto"/>
                <w:w w:val="89"/>
              </w:rPr>
              <w:t>June 30,</w:t>
            </w:r>
          </w:p>
        </w:tc>
        <w:tc>
          <w:tcPr>
            <w:tcW w:w="0" w:type="dxa"/>
            <w:vAlign w:val="bottom"/>
          </w:tcPr>
          <w:p>
            <w:pPr>
              <w:spacing w:after="0"/>
              <w:rPr>
                <w:sz w:val="1"/>
                <w:szCs w:val="1"/>
                <w:color w:val="auto"/>
              </w:rPr>
            </w:pPr>
          </w:p>
        </w:tc>
      </w:tr>
      <w:tr>
        <w:trPr>
          <w:trHeight w:val="142"/>
        </w:trPr>
        <w:tc>
          <w:tcPr>
            <w:tcW w:w="4020" w:type="dxa"/>
            <w:vAlign w:val="bottom"/>
            <w:vMerge w:val="restart"/>
          </w:tcPr>
          <w:p>
            <w:pPr>
              <w:spacing w:after="0"/>
              <w:rPr>
                <w:sz w:val="20"/>
                <w:szCs w:val="20"/>
                <w:color w:val="auto"/>
              </w:rPr>
            </w:pPr>
            <w:r>
              <w:rPr>
                <w:rFonts w:ascii="Arial" w:cs="Arial" w:eastAsia="Arial" w:hAnsi="Arial"/>
                <w:sz w:val="18"/>
                <w:szCs w:val="18"/>
                <w:color w:val="auto"/>
              </w:rPr>
              <w:t>Coverage deficiency</w:t>
            </w:r>
          </w:p>
        </w:tc>
        <w:tc>
          <w:tcPr>
            <w:tcW w:w="1140" w:type="dxa"/>
            <w:vAlign w:val="bottom"/>
          </w:tcPr>
          <w:p>
            <w:pPr>
              <w:jc w:val="right"/>
              <w:ind w:right="339"/>
              <w:spacing w:after="0" w:line="142" w:lineRule="exact"/>
              <w:rPr>
                <w:sz w:val="20"/>
                <w:szCs w:val="20"/>
                <w:color w:val="auto"/>
              </w:rPr>
            </w:pPr>
            <w:r>
              <w:rPr>
                <w:rFonts w:ascii="Arial" w:cs="Arial" w:eastAsia="Arial" w:hAnsi="Arial"/>
                <w:sz w:val="14"/>
                <w:szCs w:val="14"/>
                <w:color w:val="auto"/>
              </w:rPr>
              <w:t>2003</w:t>
            </w:r>
          </w:p>
        </w:tc>
        <w:tc>
          <w:tcPr>
            <w:tcW w:w="1500" w:type="dxa"/>
            <w:vAlign w:val="bottom"/>
            <w:gridSpan w:val="2"/>
          </w:tcPr>
          <w:p>
            <w:pPr>
              <w:jc w:val="right"/>
              <w:ind w:right="319"/>
              <w:spacing w:after="0" w:line="142" w:lineRule="exact"/>
              <w:rPr>
                <w:sz w:val="20"/>
                <w:szCs w:val="20"/>
                <w:color w:val="auto"/>
              </w:rPr>
            </w:pPr>
            <w:r>
              <w:rPr>
                <w:rFonts w:ascii="Arial" w:cs="Arial" w:eastAsia="Arial" w:hAnsi="Arial"/>
                <w:sz w:val="14"/>
                <w:szCs w:val="14"/>
                <w:color w:val="auto"/>
              </w:rPr>
              <w:t>2005</w:t>
            </w:r>
          </w:p>
        </w:tc>
        <w:tc>
          <w:tcPr>
            <w:tcW w:w="1580" w:type="dxa"/>
            <w:vAlign w:val="bottom"/>
            <w:gridSpan w:val="2"/>
          </w:tcPr>
          <w:p>
            <w:pPr>
              <w:jc w:val="right"/>
              <w:ind w:right="350"/>
              <w:spacing w:after="0" w:line="142" w:lineRule="exact"/>
              <w:rPr>
                <w:sz w:val="20"/>
                <w:szCs w:val="20"/>
                <w:color w:val="auto"/>
              </w:rPr>
            </w:pPr>
            <w:r>
              <w:rPr>
                <w:rFonts w:ascii="Arial" w:cs="Arial" w:eastAsia="Arial" w:hAnsi="Arial"/>
                <w:sz w:val="14"/>
                <w:szCs w:val="14"/>
                <w:color w:val="auto"/>
              </w:rPr>
              <w:t>2006</w:t>
            </w:r>
          </w:p>
        </w:tc>
        <w:tc>
          <w:tcPr>
            <w:tcW w:w="1580" w:type="dxa"/>
            <w:vAlign w:val="bottom"/>
            <w:gridSpan w:val="2"/>
          </w:tcPr>
          <w:p>
            <w:pPr>
              <w:jc w:val="right"/>
              <w:ind w:right="330"/>
              <w:spacing w:after="0" w:line="142" w:lineRule="exact"/>
              <w:rPr>
                <w:sz w:val="20"/>
                <w:szCs w:val="20"/>
                <w:color w:val="auto"/>
              </w:rPr>
            </w:pPr>
            <w:r>
              <w:rPr>
                <w:rFonts w:ascii="Arial" w:cs="Arial" w:eastAsia="Arial" w:hAnsi="Arial"/>
                <w:sz w:val="14"/>
                <w:szCs w:val="14"/>
                <w:color w:val="auto"/>
              </w:rPr>
              <w:t>2007</w:t>
            </w:r>
          </w:p>
        </w:tc>
        <w:tc>
          <w:tcPr>
            <w:tcW w:w="1600" w:type="dxa"/>
            <w:vAlign w:val="bottom"/>
            <w:gridSpan w:val="2"/>
          </w:tcPr>
          <w:p>
            <w:pPr>
              <w:jc w:val="center"/>
              <w:ind w:left="388"/>
              <w:spacing w:after="0" w:line="142" w:lineRule="exact"/>
              <w:rPr>
                <w:sz w:val="20"/>
                <w:szCs w:val="20"/>
                <w:color w:val="auto"/>
              </w:rPr>
            </w:pPr>
            <w:r>
              <w:rPr>
                <w:rFonts w:ascii="Arial" w:cs="Arial" w:eastAsia="Arial" w:hAnsi="Arial"/>
                <w:sz w:val="14"/>
                <w:szCs w:val="14"/>
                <w:color w:val="auto"/>
                <w:w w:val="96"/>
              </w:rPr>
              <w:t>2008</w:t>
            </w:r>
          </w:p>
        </w:tc>
        <w:tc>
          <w:tcPr>
            <w:tcW w:w="0" w:type="dxa"/>
            <w:vAlign w:val="bottom"/>
          </w:tcPr>
          <w:p>
            <w:pPr>
              <w:spacing w:after="0"/>
              <w:rPr>
                <w:sz w:val="1"/>
                <w:szCs w:val="1"/>
                <w:color w:val="auto"/>
              </w:rPr>
            </w:pPr>
          </w:p>
        </w:tc>
      </w:tr>
      <w:tr>
        <w:trPr>
          <w:trHeight w:val="224"/>
        </w:trPr>
        <w:tc>
          <w:tcPr>
            <w:tcW w:w="4020" w:type="dxa"/>
            <w:vAlign w:val="bottom"/>
            <w:vMerge w:val="continue"/>
          </w:tcPr>
          <w:p>
            <w:pPr>
              <w:spacing w:after="0"/>
              <w:rPr>
                <w:sz w:val="19"/>
                <w:szCs w:val="19"/>
                <w:color w:val="auto"/>
              </w:rPr>
            </w:pPr>
          </w:p>
        </w:tc>
        <w:tc>
          <w:tcPr>
            <w:tcW w:w="1140" w:type="dxa"/>
            <w:vAlign w:val="bottom"/>
            <w:tcBorders>
              <w:top w:val="single" w:sz="8" w:color="auto"/>
            </w:tcBorders>
          </w:tcPr>
          <w:p>
            <w:pPr>
              <w:jc w:val="right"/>
              <w:ind w:right="179"/>
              <w:spacing w:after="0"/>
              <w:rPr>
                <w:sz w:val="20"/>
                <w:szCs w:val="20"/>
                <w:color w:val="auto"/>
              </w:rPr>
            </w:pPr>
            <w:r>
              <w:rPr>
                <w:rFonts w:ascii="Arial" w:cs="Arial" w:eastAsia="Arial" w:hAnsi="Arial"/>
                <w:sz w:val="18"/>
                <w:szCs w:val="18"/>
                <w:color w:val="auto"/>
              </w:rPr>
              <w:t>$107,638</w:t>
            </w:r>
          </w:p>
        </w:tc>
        <w:tc>
          <w:tcPr>
            <w:tcW w:w="440" w:type="dxa"/>
            <w:vAlign w:val="bottom"/>
          </w:tcPr>
          <w:p>
            <w:pPr>
              <w:spacing w:after="0"/>
              <w:rPr>
                <w:sz w:val="19"/>
                <w:szCs w:val="19"/>
                <w:color w:val="auto"/>
              </w:rPr>
            </w:pPr>
          </w:p>
        </w:tc>
        <w:tc>
          <w:tcPr>
            <w:tcW w:w="1060" w:type="dxa"/>
            <w:vAlign w:val="bottom"/>
            <w:tcBorders>
              <w:top w:val="single" w:sz="8" w:color="auto"/>
            </w:tcBorders>
          </w:tcPr>
          <w:p>
            <w:pPr>
              <w:jc w:val="right"/>
              <w:ind w:right="199"/>
              <w:spacing w:after="0"/>
              <w:rPr>
                <w:sz w:val="20"/>
                <w:szCs w:val="20"/>
                <w:color w:val="auto"/>
              </w:rPr>
            </w:pPr>
            <w:r>
              <w:rPr>
                <w:rFonts w:ascii="Arial" w:cs="Arial" w:eastAsia="Arial" w:hAnsi="Arial"/>
                <w:sz w:val="18"/>
                <w:szCs w:val="18"/>
                <w:color w:val="auto"/>
              </w:rPr>
              <w:t>$95,378</w:t>
            </w:r>
          </w:p>
        </w:tc>
        <w:tc>
          <w:tcPr>
            <w:tcW w:w="420" w:type="dxa"/>
            <w:vAlign w:val="bottom"/>
          </w:tcPr>
          <w:p>
            <w:pPr>
              <w:spacing w:after="0"/>
              <w:rPr>
                <w:sz w:val="19"/>
                <w:szCs w:val="19"/>
                <w:color w:val="auto"/>
              </w:rPr>
            </w:pPr>
          </w:p>
        </w:tc>
        <w:tc>
          <w:tcPr>
            <w:tcW w:w="11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$103,077</w:t>
            </w:r>
          </w:p>
        </w:tc>
        <w:tc>
          <w:tcPr>
            <w:tcW w:w="440" w:type="dxa"/>
            <w:vAlign w:val="bottom"/>
          </w:tcPr>
          <w:p>
            <w:pPr>
              <w:spacing w:after="0"/>
              <w:rPr>
                <w:sz w:val="19"/>
                <w:szCs w:val="19"/>
                <w:color w:val="auto"/>
              </w:rPr>
            </w:pPr>
          </w:p>
        </w:tc>
        <w:tc>
          <w:tcPr>
            <w:tcW w:w="11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$105,577</w:t>
            </w:r>
          </w:p>
        </w:tc>
        <w:tc>
          <w:tcPr>
            <w:tcW w:w="460" w:type="dxa"/>
            <w:vAlign w:val="bottom"/>
          </w:tcPr>
          <w:p>
            <w:pPr>
              <w:spacing w:after="0"/>
              <w:rPr>
                <w:sz w:val="19"/>
                <w:szCs w:val="19"/>
                <w:color w:val="auto"/>
              </w:rPr>
            </w:pPr>
          </w:p>
        </w:tc>
        <w:tc>
          <w:tcPr>
            <w:tcW w:w="1140" w:type="dxa"/>
            <w:vAlign w:val="bottom"/>
            <w:tcBorders>
              <w:top w:val="single" w:sz="8" w:color="auto"/>
            </w:tcBorders>
          </w:tcPr>
          <w:p>
            <w:pPr>
              <w:jc w:val="right"/>
              <w:ind w:right="244"/>
              <w:spacing w:after="0"/>
              <w:rPr>
                <w:sz w:val="20"/>
                <w:szCs w:val="20"/>
                <w:color w:val="auto"/>
              </w:rPr>
            </w:pPr>
            <w:r>
              <w:rPr>
                <w:rFonts w:ascii="Arial" w:cs="Arial" w:eastAsia="Arial" w:hAnsi="Arial"/>
                <w:sz w:val="18"/>
                <w:szCs w:val="18"/>
                <w:color w:val="auto"/>
              </w:rPr>
              <w:t>$30,067</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color w:val="auto"/>
        </w:rPr>
        <w:t>Exhibit 31.1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Leonard S. Schleifer, certify that:</w:t>
      </w:r>
    </w:p>
    <w:p>
      <w:pPr>
        <w:spacing w:after="0" w:line="117"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20" w:right="80" w:hanging="437"/>
        <w:spacing w:after="0" w:line="264" w:lineRule="auto"/>
        <w:tabs>
          <w:tab w:leader="none" w:pos="11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20" w:right="400" w:hanging="437"/>
        <w:spacing w:after="0" w:line="264" w:lineRule="auto"/>
        <w:tabs>
          <w:tab w:leader="none" w:pos="11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20" w:right="560" w:hanging="437"/>
        <w:spacing w:after="0" w:line="342" w:lineRule="auto"/>
        <w:tabs>
          <w:tab w:leader="none" w:pos="112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334645</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8" w:name="page99"/>
    <w:bookmarkEnd w:id="98"/>
    <w:p>
      <w:pPr>
        <w:ind w:left="1120" w:hanging="437"/>
        <w:spacing w:after="0" w:line="264" w:lineRule="auto"/>
        <w:tabs>
          <w:tab w:leader="none" w:pos="11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60" w:right="300" w:hanging="452"/>
        <w:spacing w:after="0" w:line="308" w:lineRule="auto"/>
        <w:tabs>
          <w:tab w:leader="none" w:pos="4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right="720" w:hanging="437"/>
        <w:spacing w:after="0" w:line="342" w:lineRule="auto"/>
        <w:tabs>
          <w:tab w:leader="none" w:pos="11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20" w:right="420" w:hanging="437"/>
        <w:spacing w:after="0" w:line="277" w:lineRule="auto"/>
        <w:tabs>
          <w:tab w:leader="none" w:pos="11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August 1,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Leonard S. Schleifer</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Leonard S. Schleifer, M.D., Ph.D.</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340"/>
          </w:cols>
          <w:pgMar w:left="240" w:top="935" w:right="31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color w:val="auto"/>
        </w:rPr>
        <w:t>Exhibit 31.2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Murray A. Goldberg, certify that:</w:t>
      </w:r>
    </w:p>
    <w:p>
      <w:pPr>
        <w:spacing w:after="0" w:line="117"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20" w:right="80" w:hanging="437"/>
        <w:spacing w:after="0" w:line="264" w:lineRule="auto"/>
        <w:tabs>
          <w:tab w:leader="none" w:pos="11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20" w:right="400" w:hanging="437"/>
        <w:spacing w:after="0" w:line="264" w:lineRule="auto"/>
        <w:tabs>
          <w:tab w:leader="none" w:pos="11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20" w:right="560" w:hanging="437"/>
        <w:spacing w:after="0" w:line="342" w:lineRule="auto"/>
        <w:tabs>
          <w:tab w:leader="none" w:pos="112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334645</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0" w:name="page101"/>
    <w:bookmarkEnd w:id="100"/>
    <w:p>
      <w:pPr>
        <w:ind w:left="1120" w:hanging="437"/>
        <w:spacing w:after="0" w:line="264" w:lineRule="auto"/>
        <w:tabs>
          <w:tab w:leader="none" w:pos="11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60" w:right="300" w:hanging="452"/>
        <w:spacing w:after="0" w:line="308" w:lineRule="auto"/>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right="720" w:hanging="437"/>
        <w:spacing w:after="0" w:line="342" w:lineRule="auto"/>
        <w:tabs>
          <w:tab w:leader="none" w:pos="112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20" w:right="420" w:hanging="437"/>
        <w:spacing w:after="0" w:line="277" w:lineRule="auto"/>
        <w:tabs>
          <w:tab w:leader="none" w:pos="11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August 1,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Murray A. Goldberg</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Murray A. Goldberg</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6"/>
              </w:rPr>
              <w:t>Senior Vice President, Finance &amp; Administration, Chief</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Financial Officer, Treasurer, and Assistant Secretary</w:t>
            </w:r>
          </w:p>
        </w:tc>
      </w:tr>
    </w:tbl>
    <w:p>
      <w:pPr>
        <w:sectPr>
          <w:pgSz w:w="11900" w:h="16838" w:orient="portrait"/>
          <w:cols w:equalWidth="0" w:num="1">
            <w:col w:w="11340"/>
          </w:cols>
          <w:pgMar w:left="240" w:top="935" w:right="31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color w:val="auto"/>
        </w:rPr>
        <w:t>Exhibit 32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Quarterly Report of Regeneron Pharmaceuticals, Inc. (the “Company”) on Form 10-Q for the quarterly period ended June 30, 2008 as filed with the Securities and Exchange Commission on the date hereof (the “Report”), Leonard S. Schleifer, M.D., Ph.D., as Chief Executive Officer of the Company, and Murray A. Goldberg, as Chief Financial Officer of the Company, each hereby certifies, pursuant to 18 U.S.C. § 1350, as adopted pursuant to § 906 of the Sarbanes-Oxley Act of 2002, to the best of his knowledge, that:</w:t>
      </w:r>
    </w:p>
    <w:p>
      <w:pPr>
        <w:spacing w:after="0" w:line="79" w:lineRule="exact"/>
        <w:rPr>
          <w:sz w:val="20"/>
          <w:szCs w:val="20"/>
          <w:color w:val="auto"/>
        </w:rPr>
      </w:pPr>
    </w:p>
    <w:p>
      <w:pPr>
        <w:ind w:left="700" w:hanging="242"/>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700" w:hanging="242"/>
        <w:spacing w:after="0"/>
        <w:tabs>
          <w:tab w:leader="none" w:pos="7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Leonard S. Schleifer, M.D., Ph.D.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 2008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Murray A. Goldberg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 2008</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o"/>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1)"/>
      <w:numFmt w:val="decimal"/>
      <w:start w:val="1"/>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1)"/>
      <w:numFmt w:val="decimal"/>
      <w:start w:val="1"/>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1."/>
      <w:numFmt w:val="decimal"/>
      <w:start w:val="2"/>
    </w:lvl>
  </w:abstractNum>
  <w:abstractNum w:abstractNumId="12">
    <w:nsid w:val="7C3DBD3D"/>
    <w:multiLevelType w:val="hybridMultilevel"/>
    <w:lvl w:ilvl="0">
      <w:lvlJc w:val="left"/>
      <w:lvlText w:val="%1."/>
      <w:numFmt w:val="decimal"/>
      <w:start w:val="3"/>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1)"/>
      <w:numFmt w:val="lowerRoman"/>
      <w:start w:val="1"/>
    </w:lvl>
  </w:abstractNum>
  <w:abstractNum w:abstractNumId="15">
    <w:nsid w:val="22221A70"/>
    <w:multiLevelType w:val="hybridMultilevel"/>
    <w:lvl w:ilvl="0">
      <w:lvlJc w:val="left"/>
      <w:lvlText w:val="(%1)"/>
      <w:numFmt w:val="lowerLetter"/>
      <w:start w:val="1"/>
    </w:lvl>
  </w:abstractNum>
  <w:abstractNum w:abstractNumId="16">
    <w:nsid w:val="4516DDE9"/>
    <w:multiLevelType w:val="hybridMultilevel"/>
    <w:lvl w:ilvl="0">
      <w:lvlJc w:val="left"/>
      <w:lvlText w:val="(%1)"/>
      <w:numFmt w:val="lowerLetter"/>
      <w:start w:val="1"/>
    </w:lvl>
  </w:abstractNum>
  <w:abstractNum w:abstractNumId="17">
    <w:nsid w:val="3006C83E"/>
    <w:multiLevelType w:val="hybridMultilevel"/>
    <w:lvl w:ilvl="0">
      <w:lvlJc w:val="left"/>
      <w:lvlText w:val="(%1)"/>
      <w:numFmt w:val="lowerLetter"/>
      <w:start w:val="1"/>
    </w:lvl>
  </w:abstractNum>
  <w:abstractNum w:abstractNumId="18">
    <w:nsid w:val="614FD4A1"/>
    <w:multiLevelType w:val="hybridMultilevel"/>
    <w:lvl w:ilvl="0">
      <w:lvlJc w:val="left"/>
      <w:lvlText w:val="(%1)"/>
      <w:numFmt w:val="lowerLetter"/>
      <w:start w:val="2"/>
    </w:lvl>
    <w:lvl w:ilvl="1">
      <w:lvlJc w:val="left"/>
      <w:lvlText w:val="(%2)"/>
      <w:numFmt w:val="lowerRoman"/>
      <w:start w:val="1"/>
    </w:lvl>
  </w:abstractNum>
  <w:abstractNum w:abstractNumId="19">
    <w:nsid w:val="419AC241"/>
    <w:multiLevelType w:val="hybridMultilevel"/>
    <w:lvl w:ilvl="0">
      <w:lvlJc w:val="left"/>
      <w:lvlText w:val="(%1)"/>
      <w:numFmt w:val="lowerLetter"/>
      <w:start w:val="6"/>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1)"/>
      <w:numFmt w:val="lowerLetter"/>
      <w:start w:val="7"/>
    </w:lvl>
  </w:abstractNum>
  <w:abstractNum w:abstractNumId="22">
    <w:nsid w:val="5072367"/>
    <w:multiLevelType w:val="hybridMultilevel"/>
    <w:lvl w:ilvl="0">
      <w:lvlJc w:val="left"/>
      <w:lvlText w:val="(%1)"/>
      <w:numFmt w:val="lowerLetter"/>
      <w:start w:val="10"/>
    </w:lvl>
  </w:abstractNum>
  <w:abstractNum w:abstractNumId="23">
    <w:nsid w:val="3804823E"/>
    <w:multiLevelType w:val="hybridMultilevel"/>
    <w:lvl w:ilvl="0">
      <w:lvlJc w:val="left"/>
      <w:lvlText w:val="(%1)"/>
      <w:numFmt w:val="lowerLetter"/>
      <w:start w:val="1"/>
    </w:lvl>
  </w:abstractNum>
  <w:abstractNum w:abstractNumId="24">
    <w:nsid w:val="77465F01"/>
    <w:multiLevelType w:val="hybridMultilevel"/>
    <w:lvl w:ilvl="0">
      <w:lvlJc w:val="left"/>
      <w:lvlText w:val="(%1)"/>
      <w:numFmt w:val="lowerLetter"/>
      <w:start w:val="1"/>
    </w:lvl>
  </w:abstractNum>
  <w:abstractNum w:abstractNumId="25">
    <w:nsid w:val="7724C67E"/>
    <w:multiLevelType w:val="hybridMultilevel"/>
    <w:lvl w:ilvl="0">
      <w:lvlJc w:val="left"/>
      <w:lvlText w:val="(%1)"/>
      <w:numFmt w:val="lowerLetter"/>
      <w:start w:val="5"/>
    </w:lvl>
  </w:abstractNum>
  <w:abstractNum w:abstractNumId="26">
    <w:nsid w:val="5C482A97"/>
    <w:multiLevelType w:val="hybridMultilevel"/>
    <w:lvl w:ilvl="0">
      <w:lvlJc w:val="left"/>
      <w:lvlText w:val="(%1)"/>
      <w:numFmt w:val="lowerLetter"/>
      <w:start w:val="1"/>
    </w:lvl>
    <w:lvl w:ilvl="1">
      <w:lvlJc w:val="left"/>
      <w:lvlText w:val="(%2)"/>
      <w:numFmt w:val="decimal"/>
      <w:start w:val="60"/>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1."/>
      <w:numFmt w:val="decimal"/>
      <w:start w:val="1"/>
    </w:lvl>
  </w:abstractNum>
  <w:abstractNum w:abstractNumId="30">
    <w:nsid w:val="2D517796"/>
    <w:multiLevelType w:val="hybridMultilevel"/>
    <w:lvl w:ilvl="0">
      <w:lvlJc w:val="left"/>
      <w:lvlText w:val="%1."/>
      <w:numFmt w:val="decimal"/>
      <w:start w:val="2"/>
    </w:lvl>
  </w:abstractNum>
  <w:abstractNum w:abstractNumId="31">
    <w:nsid w:val="580BD78F"/>
    <w:multiLevelType w:val="hybridMultilevel"/>
    <w:lvl w:ilvl="0">
      <w:lvlJc w:val="left"/>
      <w:lvlText w:val="%1."/>
      <w:numFmt w:val="decimal"/>
      <w:start w:val="3"/>
    </w:lvl>
  </w:abstractNum>
  <w:abstractNum w:abstractNumId="32">
    <w:nsid w:val="153EA438"/>
    <w:multiLevelType w:val="hybridMultilevel"/>
    <w:lvl w:ilvl="0">
      <w:lvlJc w:val="left"/>
      <w:lvlText w:val="%1."/>
      <w:numFmt w:val="decimal"/>
      <w:start w:val="4"/>
    </w:lvl>
  </w:abstractNum>
  <w:abstractNum w:abstractNumId="33">
    <w:nsid w:val="3855585C"/>
    <w:multiLevelType w:val="hybridMultilevel"/>
    <w:lvl w:ilvl="0">
      <w:lvlJc w:val="left"/>
      <w:lvlText w:val="%1."/>
      <w:numFmt w:val="decimal"/>
      <w:start w:val="5"/>
    </w:lvl>
  </w:abstractNum>
  <w:abstractNum w:abstractNumId="34">
    <w:nsid w:val="70A64E2A"/>
    <w:multiLevelType w:val="hybridMultilevel"/>
    <w:lvl w:ilvl="0">
      <w:lvlJc w:val="left"/>
      <w:lvlText w:val="%1."/>
      <w:numFmt w:val="decimal"/>
      <w:start w:val="5"/>
    </w:lvl>
    <w:lvl w:ilvl="1">
      <w:lvlJc w:val="left"/>
      <w:lvlText w:val="-"/>
      <w:numFmt w:val="bullet"/>
      <w:start w:val="1"/>
    </w:lvl>
  </w:abstractNum>
  <w:abstractNum w:abstractNumId="35">
    <w:nsid w:val="6A2342EC"/>
    <w:multiLevelType w:val="hybridMultilevel"/>
    <w:lvl w:ilvl="0">
      <w:lvlJc w:val="left"/>
      <w:lvlText w:val="%1."/>
      <w:numFmt w:val="decimal"/>
      <w:start w:val="7"/>
    </w:lvl>
  </w:abstractNum>
  <w:abstractNum w:abstractNumId="36">
    <w:nsid w:val="2A487CB0"/>
    <w:multiLevelType w:val="hybridMultilevel"/>
    <w:lvl w:ilvl="0">
      <w:lvlJc w:val="left"/>
      <w:lvlText w:val="%1."/>
      <w:numFmt w:val="decimal"/>
      <w:start w:val="8"/>
    </w:lvl>
  </w:abstractNum>
  <w:abstractNum w:abstractNumId="37">
    <w:nsid w:val="1D4ED43B"/>
    <w:multiLevelType w:val="hybridMultilevel"/>
    <w:lvl w:ilvl="0">
      <w:lvlJc w:val="left"/>
      <w:lvlText w:val="%1."/>
      <w:numFmt w:val="decimal"/>
      <w:start w:val="9"/>
    </w:lvl>
  </w:abstractNum>
  <w:abstractNum w:abstractNumId="38">
    <w:nsid w:val="725A06FB"/>
    <w:multiLevelType w:val="hybridMultilevel"/>
    <w:lvl w:ilvl="0">
      <w:lvlJc w:val="left"/>
      <w:lvlText w:val="%1."/>
      <w:numFmt w:val="decimal"/>
      <w:start w:val="10"/>
    </w:lvl>
  </w:abstractNum>
  <w:abstractNum w:abstractNumId="39">
    <w:nsid w:val="2CD89A32"/>
    <w:multiLevelType w:val="hybridMultilevel"/>
    <w:lvl w:ilvl="0">
      <w:lvlJc w:val="left"/>
      <w:lvlText w:val="%1."/>
      <w:numFmt w:val="decimal"/>
      <w:start w:val="11"/>
    </w:lvl>
  </w:abstractNum>
  <w:abstractNum w:abstractNumId="40">
    <w:nsid w:val="57E4CCAF"/>
    <w:multiLevelType w:val="hybridMultilevel"/>
    <w:lvl w:ilvl="0">
      <w:lvlJc w:val="left"/>
      <w:lvlText w:val="%1."/>
      <w:numFmt w:val="decimal"/>
      <w:start w:val="12"/>
    </w:lvl>
  </w:abstractNum>
  <w:abstractNum w:abstractNumId="41">
    <w:nsid w:val="7A6D8D3C"/>
    <w:multiLevelType w:val="hybridMultilevel"/>
    <w:lvl w:ilvl="0">
      <w:lvlJc w:val="left"/>
      <w:lvlText w:val="(%1)"/>
      <w:numFmt w:val="upperLetter"/>
      <w:start w:val="1"/>
    </w:lvl>
  </w:abstractNum>
  <w:abstractNum w:abstractNumId="42">
    <w:nsid w:val="4B588F54"/>
    <w:multiLevelType w:val="hybridMultilevel"/>
    <w:lvl w:ilvl="0">
      <w:lvlJc w:val="left"/>
      <w:lvlText w:val="%1."/>
      <w:numFmt w:val="decimal"/>
      <w:start w:val="1"/>
    </w:lvl>
    <w:lvl w:ilvl="1">
      <w:lvlJc w:val="left"/>
      <w:lvlText w:val="%2)"/>
      <w:numFmt w:val="lowerLetter"/>
      <w:start w:val="1"/>
    </w:lvl>
  </w:abstractNum>
  <w:abstractNum w:abstractNumId="43">
    <w:nsid w:val="542289EC"/>
    <w:multiLevelType w:val="hybridMultilevel"/>
    <w:lvl w:ilvl="0">
      <w:lvlJc w:val="left"/>
      <w:lvlText w:val="%1"/>
      <w:numFmt w:val="decimal"/>
      <w:start w:val="1"/>
    </w:lvl>
    <w:lvl w:ilvl="1">
      <w:lvlJc w:val="left"/>
      <w:lvlText w:val="%2)"/>
      <w:numFmt w:val="lowerLetter"/>
      <w:start w:val="4"/>
    </w:lvl>
  </w:abstractNum>
  <w:abstractNum w:abstractNumId="44">
    <w:nsid w:val="6DE91B18"/>
    <w:multiLevelType w:val="hybridMultilevel"/>
    <w:lvl w:ilvl="0">
      <w:lvlJc w:val="left"/>
      <w:lvlText w:val="%1."/>
      <w:numFmt w:val="decimal"/>
      <w:start w:val="5"/>
    </w:lvl>
    <w:lvl w:ilvl="1">
      <w:lvlJc w:val="left"/>
      <w:lvlText w:val="%2)"/>
      <w:numFmt w:val="lowerLetter"/>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4"/>
    </w:lvl>
  </w:abstractNum>
  <w:abstractNum w:abstractNumId="47">
    <w:nsid w:val="32FFF902"/>
    <w:multiLevelType w:val="hybridMultilevel"/>
    <w:lvl w:ilvl="0">
      <w:lvlJc w:val="left"/>
      <w:lvlText w:val="%1."/>
      <w:numFmt w:val="decimal"/>
      <w:start w:val="5"/>
    </w:lvl>
    <w:lvl w:ilvl="1">
      <w:lvlJc w:val="left"/>
      <w:lvlText w:val="%2)"/>
      <w:numFmt w:val="lowerLetter"/>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2019-12-20T03:10:52Z</dcterms:created>
  <dcterms:modified xsi:type="dcterms:W3CDTF">2019-12-20T03:10:52Z</dcterms:modified>
</cp:coreProperties>
</file>