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McCourt Marion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02/12/2018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REGENERON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777 OLD SAW MILL RIVER ROAD</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TARRYTOWN NY</w:t>
            </w:r>
          </w:p>
        </w:tc>
        <w:tc>
          <w:tcPr>
            <w:tcW w:w="1380" w:type="dxa"/>
            <w:vAlign w:val="bottom"/>
          </w:tcPr>
          <w:p>
            <w:pPr>
              <w:ind w:left="360"/>
              <w:spacing w:after="0"/>
              <w:rPr>
                <w:sz w:val="20"/>
                <w:szCs w:val="20"/>
                <w:color w:val="auto"/>
              </w:rPr>
            </w:pPr>
            <w:r>
              <w:rPr>
                <w:rFonts w:ascii="Arial" w:cs="Arial" w:eastAsia="Arial" w:hAnsi="Arial"/>
                <w:sz w:val="18"/>
                <w:szCs w:val="18"/>
                <w:color w:val="0000FF"/>
              </w:rPr>
              <w:t>10591</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6"/>
        <w:spacing w:after="0"/>
        <w:rPr>
          <w:sz w:val="20"/>
          <w:szCs w:val="20"/>
          <w:color w:val="auto"/>
        </w:rPr>
      </w:pPr>
      <w:r>
        <w:rPr>
          <w:rFonts w:ascii="Arial" w:cs="Arial" w:eastAsia="Arial" w:hAnsi="Arial"/>
          <w:sz w:val="18"/>
          <w:szCs w:val="18"/>
          <w:color w:val="0000FF"/>
        </w:rPr>
        <w:t>SVP Commercial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0000FF"/>
                <w:w w:val="92"/>
              </w:rPr>
              <w:t>/s/ Marion McCourt</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02/12/2018</w:t>
            </w:r>
          </w:p>
        </w:tc>
      </w:tr>
      <w:tr>
        <w:trPr>
          <w:trHeight w:val="20"/>
        </w:trPr>
        <w:tc>
          <w:tcPr>
            <w:tcW w:w="68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Leonard S. Schleifer, Robert E. Landry, Joseph J. LaRosa, Richard Gluckselig, and Beverly Dubs, signing singly, the undersigned’s true and lawful attorney-in-fact to:</w:t>
      </w:r>
    </w:p>
    <w:p>
      <w:pPr>
        <w:spacing w:after="0" w:line="170" w:lineRule="exact"/>
        <w:rPr>
          <w:sz w:val="20"/>
          <w:szCs w:val="20"/>
          <w:color w:val="auto"/>
        </w:rPr>
      </w:pPr>
    </w:p>
    <w:p>
      <w:pPr>
        <w:ind w:left="1300" w:right="100" w:hanging="644"/>
        <w:spacing w:after="0" w:line="291" w:lineRule="auto"/>
        <w:tabs>
          <w:tab w:leader="none" w:pos="1307" w:val="left"/>
        </w:tabs>
        <w:numPr>
          <w:ilvl w:val="0"/>
          <w:numId w:val="5"/>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 director or officer of Regeneron Pharmaceuticals, Inc. (the “Company”), Forms 3, 4, and 5 in accordance with Section 16(a) of the Securities Exchange Act of 1934, as amended, and the</w:t>
      </w:r>
    </w:p>
    <w:p>
      <w:pPr>
        <w:ind w:left="1300"/>
        <w:spacing w:after="0"/>
        <w:rPr>
          <w:rFonts w:ascii="Arial" w:cs="Arial" w:eastAsia="Arial" w:hAnsi="Arial"/>
          <w:sz w:val="16"/>
          <w:szCs w:val="16"/>
          <w:color w:val="auto"/>
        </w:rPr>
      </w:pPr>
      <w:r>
        <w:rPr>
          <w:rFonts w:ascii="Arial" w:cs="Arial" w:eastAsia="Arial" w:hAnsi="Arial"/>
          <w:sz w:val="18"/>
          <w:szCs w:val="18"/>
          <w:color w:val="auto"/>
        </w:rPr>
        <w:t>rules thereunder;</w:t>
      </w:r>
    </w:p>
    <w:p>
      <w:pPr>
        <w:spacing w:after="0" w:line="210" w:lineRule="exact"/>
        <w:rPr>
          <w:rFonts w:ascii="Arial" w:cs="Arial" w:eastAsia="Arial" w:hAnsi="Arial"/>
          <w:sz w:val="16"/>
          <w:szCs w:val="16"/>
          <w:color w:val="auto"/>
        </w:rPr>
      </w:pPr>
    </w:p>
    <w:p>
      <w:pPr>
        <w:ind w:left="1300" w:right="20" w:hanging="644"/>
        <w:spacing w:after="0" w:line="264" w:lineRule="auto"/>
        <w:tabs>
          <w:tab w:leader="none" w:pos="1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ind w:left="1300" w:right="120" w:hanging="644"/>
        <w:spacing w:after="0" w:line="259" w:lineRule="auto"/>
        <w:tabs>
          <w:tab w:leader="none" w:pos="1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12th day of February, 2018.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Marion McCourt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Marion McCourt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63758" TargetMode="External"/><Relationship Id="rId12"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2019-12-23T20:22:03Z</dcterms:created>
  <dcterms:modified xsi:type="dcterms:W3CDTF">2019-12-23T20:22:03Z</dcterms:modified>
</cp:coreProperties>
</file>