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TO</w:t>
      </w:r>
    </w:p>
    <w:p>
      <w:pPr>
        <w:ind w:left="1160"/>
        <w:spacing w:after="0" w:line="238" w:lineRule="auto"/>
        <w:rPr>
          <w:sz w:val="20"/>
          <w:szCs w:val="20"/>
          <w:color w:val="auto"/>
        </w:rPr>
      </w:pPr>
      <w:r>
        <w:rPr>
          <w:rFonts w:ascii="Courier New" w:cs="Courier New" w:eastAsia="Courier New" w:hAnsi="Courier New"/>
          <w:sz w:val="18"/>
          <w:szCs w:val="18"/>
          <w:color w:val="auto"/>
        </w:rPr>
        <w:t>TENDER OFFER STATEMENT UNDER SECTION 14(d)(1) OR 13(e)(1)</w:t>
      </w: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ind w:left="3380"/>
        <w:spacing w:after="0" w:line="237"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320"/>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(Name of Filing Person (Offeror))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Options under the 1990 Long-Term Incentive Plan</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and 2000 Long-Term Incentive Plan</w:t>
      </w:r>
    </w:p>
    <w:p>
      <w:pPr>
        <w:spacing w:after="0" w:line="5" w:lineRule="exact"/>
        <w:rPr>
          <w:sz w:val="24"/>
          <w:szCs w:val="24"/>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to Purchase Common Stock, Par Value $.001 Per Share, Having an Exercise Price Per Share of $18.00 or More (Title of Class of Securities)</w:t>
      </w: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00075886F1</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jc w:val="center"/>
        <w:ind w:right="1879"/>
        <w:spacing w:after="0"/>
        <w:rPr>
          <w:sz w:val="20"/>
          <w:szCs w:val="20"/>
          <w:color w:val="auto"/>
        </w:rPr>
      </w:pPr>
      <w:r>
        <w:rPr>
          <w:rFonts w:ascii="Courier New" w:cs="Courier New" w:eastAsia="Courier New" w:hAnsi="Courier New"/>
          <w:sz w:val="18"/>
          <w:szCs w:val="18"/>
          <w:color w:val="auto"/>
        </w:rPr>
        <w:t>(Underlying Common Stock)</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Stuart Kolinski,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2860"/>
        <w:spacing w:after="0" w:line="238" w:lineRule="auto"/>
        <w:rPr>
          <w:sz w:val="20"/>
          <w:szCs w:val="20"/>
          <w:color w:val="auto"/>
        </w:rPr>
      </w:pPr>
      <w:r>
        <w:rPr>
          <w:rFonts w:ascii="Courier New" w:cs="Courier New" w:eastAsia="Courier New" w:hAnsi="Courier New"/>
          <w:sz w:val="18"/>
          <w:szCs w:val="18"/>
          <w:color w:val="auto"/>
        </w:rPr>
        <w:t>Tarrytown, New York 10591</w:t>
      </w:r>
    </w:p>
    <w:p>
      <w:pPr>
        <w:ind w:left="3380"/>
        <w:spacing w:after="0"/>
        <w:rPr>
          <w:sz w:val="20"/>
          <w:szCs w:val="20"/>
          <w:color w:val="auto"/>
        </w:rPr>
      </w:pPr>
      <w:r>
        <w:rPr>
          <w:rFonts w:ascii="Courier New" w:cs="Courier New" w:eastAsia="Courier New" w:hAnsi="Courier New"/>
          <w:sz w:val="18"/>
          <w:szCs w:val="18"/>
          <w:color w:val="auto"/>
        </w:rPr>
        <w:t>(914) 347-7000</w:t>
      </w:r>
    </w:p>
    <w:p>
      <w:pPr>
        <w:spacing w:after="0" w:line="4" w:lineRule="exact"/>
        <w:rPr>
          <w:sz w:val="24"/>
          <w:szCs w:val="24"/>
          <w:color w:val="auto"/>
        </w:rPr>
      </w:pPr>
    </w:p>
    <w:p>
      <w:pPr>
        <w:ind w:left="860" w:right="2839" w:firstLine="211"/>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Filing Person)</w:t>
      </w:r>
    </w:p>
    <w:p>
      <w:pPr>
        <w:spacing w:after="0" w:line="16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Kent A. Coit, Esq.</w:t>
      </w:r>
    </w:p>
    <w:p>
      <w:pPr>
        <w:ind w:left="2000"/>
        <w:spacing w:after="0" w:line="238" w:lineRule="auto"/>
        <w:rPr>
          <w:sz w:val="20"/>
          <w:szCs w:val="20"/>
          <w:color w:val="auto"/>
        </w:rPr>
      </w:pPr>
      <w:r>
        <w:rPr>
          <w:rFonts w:ascii="Courier New" w:cs="Courier New" w:eastAsia="Courier New" w:hAnsi="Courier New"/>
          <w:sz w:val="18"/>
          <w:szCs w:val="18"/>
          <w:color w:val="auto"/>
        </w:rPr>
        <w:t>Skadden, Arps, Slate, Meagher &amp; Flom LLP</w:t>
      </w:r>
    </w:p>
    <w:p>
      <w:pPr>
        <w:ind w:left="3280"/>
        <w:spacing w:after="0"/>
        <w:rPr>
          <w:sz w:val="20"/>
          <w:szCs w:val="20"/>
          <w:color w:val="auto"/>
        </w:rPr>
      </w:pPr>
      <w:r>
        <w:rPr>
          <w:rFonts w:ascii="Courier New" w:cs="Courier New" w:eastAsia="Courier New" w:hAnsi="Courier New"/>
          <w:sz w:val="18"/>
          <w:szCs w:val="18"/>
          <w:color w:val="auto"/>
        </w:rPr>
        <w:t>One Beacon Street</w:t>
      </w:r>
    </w:p>
    <w:p>
      <w:pPr>
        <w:ind w:left="3280"/>
        <w:spacing w:after="0" w:line="237" w:lineRule="auto"/>
        <w:rPr>
          <w:sz w:val="20"/>
          <w:szCs w:val="20"/>
          <w:color w:val="auto"/>
        </w:rPr>
      </w:pPr>
      <w:r>
        <w:rPr>
          <w:rFonts w:ascii="Courier New" w:cs="Courier New" w:eastAsia="Courier New" w:hAnsi="Courier New"/>
          <w:sz w:val="18"/>
          <w:szCs w:val="18"/>
          <w:color w:val="auto"/>
        </w:rPr>
        <w:t>Boston, MA 02108</w:t>
      </w:r>
    </w:p>
    <w:p>
      <w:pPr>
        <w:ind w:left="2860"/>
        <w:spacing w:after="0" w:line="238" w:lineRule="auto"/>
        <w:rPr>
          <w:sz w:val="20"/>
          <w:szCs w:val="20"/>
          <w:color w:val="auto"/>
        </w:rPr>
      </w:pPr>
      <w:r>
        <w:rPr>
          <w:rFonts w:ascii="Courier New" w:cs="Courier New" w:eastAsia="Courier New" w:hAnsi="Courier New"/>
          <w:sz w:val="18"/>
          <w:szCs w:val="18"/>
          <w:color w:val="auto"/>
        </w:rPr>
        <w:t>Telephone: (617) 573-4800</w:t>
      </w:r>
    </w:p>
    <w:p>
      <w:pPr>
        <w:ind w:left="2860"/>
        <w:spacing w:after="0"/>
        <w:rPr>
          <w:sz w:val="20"/>
          <w:szCs w:val="20"/>
          <w:color w:val="auto"/>
        </w:rPr>
      </w:pPr>
      <w:r>
        <w:rPr>
          <w:rFonts w:ascii="Courier New" w:cs="Courier New" w:eastAsia="Courier New" w:hAnsi="Courier New"/>
          <w:sz w:val="18"/>
          <w:szCs w:val="18"/>
          <w:color w:val="auto"/>
        </w:rPr>
        <w:t>Facsimile: (617) 573-4822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0"/>
        <w:spacing w:after="0"/>
        <w:tabs>
          <w:tab w:leader="none" w:pos="504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640"/>
        <w:spacing w:after="0"/>
        <w:tabs>
          <w:tab w:leader="none" w:pos="5580" w:val="left"/>
        </w:tabs>
        <w:rPr>
          <w:sz w:val="20"/>
          <w:szCs w:val="20"/>
          <w:color w:val="auto"/>
        </w:rPr>
      </w:pPr>
      <w:r>
        <w:rPr>
          <w:rFonts w:ascii="Courier New" w:cs="Courier New" w:eastAsia="Courier New" w:hAnsi="Courier New"/>
          <w:sz w:val="18"/>
          <w:szCs w:val="18"/>
          <w:color w:val="auto"/>
        </w:rPr>
        <w:t>$13,162,587.66</w:t>
      </w:r>
      <w:r>
        <w:rPr>
          <w:sz w:val="20"/>
          <w:szCs w:val="20"/>
          <w:color w:val="auto"/>
        </w:rPr>
        <w:tab/>
      </w:r>
      <w:r>
        <w:rPr>
          <w:rFonts w:ascii="Courier New" w:cs="Courier New" w:eastAsia="Courier New" w:hAnsi="Courier New"/>
          <w:sz w:val="16"/>
          <w:szCs w:val="16"/>
          <w:color w:val="auto"/>
        </w:rPr>
        <w:t>$1,667.70***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960" w:right="2099" w:hanging="952"/>
        <w:spacing w:after="0" w:line="272" w:lineRule="auto"/>
        <w:tabs>
          <w:tab w:leader="none" w:pos="9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purposes of determining the filing fee. This amount assumes that options to purchase 4,847,581 shares of common stock of Regeneron Pharmaceuticals, Inc. having an approximate aggregate value of $13,162,587.66 will be exchanged pursuant to this Offer. The aggregate value of such options was calculated based on the Black-Scholes option pricing model, as of November 3, 2004.</w:t>
      </w:r>
    </w:p>
    <w:p>
      <w:pPr>
        <w:spacing w:after="0" w:line="186" w:lineRule="exact"/>
        <w:rPr>
          <w:sz w:val="24"/>
          <w:szCs w:val="24"/>
          <w:color w:val="auto"/>
        </w:rPr>
      </w:pPr>
    </w:p>
    <w:p>
      <w:pPr>
        <w:ind w:left="960" w:right="1999" w:hanging="952"/>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the filing fee, calculated in accordance with Rule 0-11 of the Securities Exchange Act of 1934, as amended, equals $126.70 for each $1,000,000 of the aggregate value of this transaction.</w:t>
      </w:r>
    </w:p>
    <w:p>
      <w:pPr>
        <w:spacing w:after="0" w:line="172"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7" w:lineRule="exact"/>
        <w:rPr>
          <w:sz w:val="24"/>
          <w:szCs w:val="24"/>
          <w:color w:val="auto"/>
        </w:rPr>
      </w:pPr>
    </w:p>
    <w:p>
      <w:pPr>
        <w:ind w:left="960" w:right="20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Check the box if any part of the fee is offset as provided by Rule 0-11(a)(2) and identify the filing with which the offsetting fee was previously paid. Identify the previous filing by registration</w:t>
      </w:r>
    </w:p>
    <w:p>
      <w:pPr>
        <w:sectPr>
          <w:pgSz w:w="11900" w:h="16838" w:orient="portrait"/>
          <w:cols w:equalWidth="0" w:num="1">
            <w:col w:w="10219"/>
          </w:cols>
          <w:pgMar w:left="240" w:top="649"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6"/>
          <w:szCs w:val="16"/>
          <w:color w:val="auto"/>
        </w:rPr>
        <w:t>statement number, or the Form or Schedule and the date of its filing.</w:t>
      </w:r>
    </w:p>
    <w:p>
      <w:pPr>
        <w:sectPr>
          <w:pgSz w:w="11900" w:h="16838" w:orient="portrait"/>
          <w:cols w:equalWidth="0" w:num="1">
            <w:col w:w="10219"/>
          </w:cols>
          <w:pgMar w:left="240" w:top="142"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Previously 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Filed: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16" w:lineRule="exact"/>
        <w:rPr>
          <w:sz w:val="20"/>
          <w:szCs w:val="20"/>
          <w:color w:val="auto"/>
        </w:rPr>
      </w:pPr>
    </w:p>
    <w:p>
      <w:pPr>
        <w:sectPr>
          <w:pgSz w:w="11900" w:h="16838" w:orient="portrait"/>
          <w:cols w:equalWidth="0" w:num="4">
            <w:col w:w="2640" w:space="220"/>
            <w:col w:w="1580" w:space="620"/>
            <w:col w:w="1380" w:space="200"/>
            <w:col w:w="3579"/>
          </w:cols>
          <w:pgMar w:left="240" w:top="142" w:right="1440" w:bottom="1440" w:gutter="0" w:footer="0" w:header="0"/>
          <w:type w:val="continuous"/>
        </w:sectPr>
      </w:pPr>
    </w:p>
    <w:p>
      <w:pPr>
        <w:spacing w:after="0" w:line="7" w:lineRule="exact"/>
        <w:rPr>
          <w:sz w:val="20"/>
          <w:szCs w:val="20"/>
          <w:color w:val="auto"/>
        </w:rPr>
      </w:pPr>
    </w:p>
    <w:p>
      <w:pPr>
        <w:ind w:left="960" w:right="273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the box if the filing relates solely to preliminary communications made before the commencement of a tender offer.</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third-party tender offer subject to Rule 14d-1.</w:t>
      </w:r>
    </w:p>
    <w:p>
      <w:pPr>
        <w:ind w:left="9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issuer tender offer subject to Rule 13e-4.</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going-private transaction subject to Rule 13e-3.</w:t>
      </w: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amendment to Schedule 13D under Rule 13d-2.</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|_|</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4 amends and supplements the Tender Offer Statement on Schedule TO initially filed by Regeneron Pharmaceuticals, Inc. (the "Company") with the Securities and Exchange Commission (the "SEC") on December 3, 2004, as amended by Amendment No. 1 filed by the Company with the SEC on December 6, 2004, Amendment No. 2 filed with the SEC on December 17, 2004 and Amendment No. 3 filed with the SEC on January 3, 2005 (as so previously amended, the "Schedule TO"), in connection with the Company's offer (the "Offer"), upon the terms and subject to the conditions set forth in the Offer to Exchange and the related Election Form (as such terms are defined in the Schedule TO), to exchange eligible options for replacement options to be granted under the Company's 2000 Long-Term Incentive Plan.</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Wednesday, January 5, 2005 the Company's Vice President, Human Resources sent an e-mail communication to all eligible employees. Item 12 of the Schedule TO is hereby amended to include the January 5th e-mail communication to eligible employees as Exhibit (a)(1)(xiii).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Offer to Exchange dated December 3, 2004.*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Election Form.*</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Notice 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(a)(1)(iv)</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Acceptance Letter.*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communication to Regeneron Pharmaceuticals, Inc.</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optionholders confirming receipt of Election Form or Notice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Quarterly Report on Form</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10-Q for its fiscal quarter ended September 30, 2004, filed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with the Securities and Exchange Commission on November 8,</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Pharmaceuticals, Inc. Annual Report on Form 10-K/A</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for the fiscal year ending December 31, 2003 filed with the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Securities and Exchange Commission on March 19, 2004 and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to Regeneron Pharmaceuticals, Inc.</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employees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November 17, 2004 filed as Exhibit 99.2 to</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Company's Schedule TO-C filed with the Securities and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Exchange Commission on November 17, 2004 and incorporated</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(a)(1)(ix)</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Employee Presentation Materials.*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Monday, December</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 2004.*</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Friday, December</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all eligible employees sent on Monday, January</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 2005.*</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all eligible employees sent on Wednesday,</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January 5, 2005.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(d)(1)</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1990 Long-Term Incentive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Plan, as amended, filed as Exhibit 10.12 to Amendment No. 4</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S-1, filed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with the Securities and Exchange Commission on April 2, 1991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(Registration Statement No. 033-39043) and incorporated</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(d)(2)</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2000 Long-Term Incentive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Plan, filed as Exhibit 10.6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2001,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22,</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 and incorporated herein by reference.</w:t>
            </w:r>
          </w:p>
        </w:tc>
      </w:tr>
    </w:tbl>
    <w:p>
      <w:pPr>
        <w:sectPr>
          <w:pgSz w:w="11900" w:h="16838" w:orient="portrait"/>
          <w:cols w:equalWidth="0" w:num="1">
            <w:col w:w="10219"/>
          </w:cols>
          <w:pgMar w:left="240" w:top="723"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(d)(3)</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1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2002,</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10.6.1 to the Form 10-K for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(d)(4)</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2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Incentive Plan, effective as of December 20, 2002,</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10.6.2 to the Form 10-K for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(d)(5)</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3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2004,</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10.6.3 to the Form 10-Q for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for the quarterly period ended June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30, 2004,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August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 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(d)(6)</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9"/>
              </w:rPr>
              <w:t>No. 4 to the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included as Annex A to the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 proxy statement on Schedule 14A filed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with the Securities and Exchange Commission on November 29,</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(d)(7)</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employees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other than vice presidents.*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(d)(8)</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vice presidents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(d)(9)</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Replacement Options for senior vice presidents and executive</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vice presidents of Regeneron 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(d)(10)</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relating to Securities to be offered to employees pursuant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to employee benefit plans on Form S-8 and Form S-8 POS,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filed with the Securities and Exchange Commission on August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19, 1997 (File No. 333-33891), June 15, 1999 (File No.</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333-80663), May 17, 2001 (File No. 333-61132), July 30, 2002</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No.</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333-80663, July 30, 2002 (File No. 333-97375) and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 2004 (File No. 333-119257)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(d)(11)</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Form 8-A 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February 20, 1991 as amended by the Registration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Statement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8-A/A, filed with the Securities and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Exchange Commission on March 27, 1991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(d)(12)</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Rights Agreement, dated as of September 20, 1996, between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Pharmaceuticals, Inc. and Chase Mellon Shareholder</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Services LLC, as Rights Agent, including the form of Rights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Certificate as Exhibit B thereto, filed as Exhibit 1 to</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ind w:left="960" w:hanging="952"/>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due inquiry and to the best of my knowledge and belief,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certify that the information set forth in this Amendment No. 4 is true, complete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correct.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Stuart Kolinski</w:t>
      </w:r>
    </w:p>
    <w:p>
      <w:pPr>
        <w:ind w:left="3800"/>
        <w:spacing w:after="0" w:line="238" w:lineRule="auto"/>
        <w:tabs>
          <w:tab w:leader="none" w:pos="4720" w:val="left"/>
        </w:tabs>
        <w:rPr>
          <w:sz w:val="20"/>
          <w:szCs w:val="20"/>
          <w:color w:val="auto"/>
        </w:rPr>
      </w:pPr>
      <w:r>
        <w:rPr>
          <w:rFonts w:ascii="Courier New" w:cs="Courier New" w:eastAsia="Courier New" w:hAnsi="Courier New"/>
          <w:sz w:val="18"/>
          <w:szCs w:val="18"/>
          <w:color w:val="auto"/>
        </w:rPr>
        <w:t>Title:</w:t>
        <w:tab/>
        <w:t>Vice President and General Counsel</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5, 2005</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320" w:type="dxa"/>
            <w:vAlign w:val="bottom"/>
          </w:tcPr>
          <w:p>
            <w:pPr>
              <w:ind w:left="380"/>
              <w:spacing w:after="0"/>
              <w:rPr>
                <w:sz w:val="20"/>
                <w:szCs w:val="20"/>
                <w:color w:val="auto"/>
              </w:rPr>
            </w:pPr>
            <w:r>
              <w:rPr>
                <w:rFonts w:ascii="Courier New" w:cs="Courier New" w:eastAsia="Courier New" w:hAnsi="Courier New"/>
                <w:sz w:val="18"/>
                <w:szCs w:val="18"/>
                <w:color w:val="auto"/>
              </w:rPr>
              <w:t>INDEX TO EXHIBITS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32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DESCRIPTION OF EXHIBIT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Offer to Exchange dated December 3, 2004.*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Election Form.*</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Notice 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(a)(1)(iv)</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Acceptance Letter.*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of communication to Regeneron Pharmaceuticals, Inc.</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optionholders confirming receipt of Election Form or Notice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 Withdrawal.*</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Quarterly Report on Form</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10-Q for its fiscal quarter ended September 30, 2004, filed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with the Securities and Exchange Commission on November 8,</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Pharmaceuticals, Inc. Annual Report on Form 10-K/A</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for the fiscal year ending December 31, 2003 filed with the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Securities and Exchange Commission on March 19, 2004 and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(a)(1)(viii)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to Regeneron Pharmaceuticals, Inc.</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employees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November 17, 2004 filed as Exhibit 99.2 to</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Company's Schedule TO-C filed with the Securities and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Exchange Commission on November 17, 2004 and incorporated</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(a)(1)(ix)</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Employee Presentation Materials.*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Monday, December</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 2004.*</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all eligible employees sent on Friday, December</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to all eligible employees sent on Monday, January</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 2005.*</w:t>
            </w:r>
          </w:p>
        </w:tc>
        <w:tc>
          <w:tcPr>
            <w:tcW w:w="53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(a)(1)(xiii)</w:t>
            </w:r>
          </w:p>
        </w:tc>
        <w:tc>
          <w:tcPr>
            <w:tcW w:w="6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E-mail communication from the Vice President, Human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Resources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all eligible employees sent on Wednesday,</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January 5, 2005.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(d)(1)</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1990 Long-Term Incentive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Plan, as amended, filed as Exhibit 10.12 to Amendment No. 4</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S-1, filed</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with the Securities and Exchange Commission on April 2, 1991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(Registration Statement No. 033-39043) and incorporated</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(d)(2)</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2000 Long-Term Incentive</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Plan, filed as Exhibit 10.6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2001,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22,</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(d)(3)</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1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2002,</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filed as Exhibit 10.6.1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(d)(4)</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2 to Regeneron Pharmaceuticals, Inc. 2000</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Incentive Plan, effective as of December 20, 2002,</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filed as Exhibit 10.6.2 to the Form 10-K for Regeneron</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Pharmaceuticals, Inc. for the fiscal year ended December 31,</w:t>
            </w:r>
          </w:p>
        </w:tc>
      </w:tr>
      <w:tr>
        <w:trPr>
          <w:trHeight w:val="203"/>
        </w:trPr>
        <w:tc>
          <w:tcPr>
            <w:tcW w:w="1580" w:type="dxa"/>
            <w:vAlign w:val="bottom"/>
          </w:tcPr>
          <w:p>
            <w:pPr>
              <w:spacing w:after="0"/>
              <w:rPr>
                <w:sz w:val="17"/>
                <w:szCs w:val="17"/>
                <w:color w:val="auto"/>
              </w:rPr>
            </w:pPr>
          </w:p>
        </w:tc>
        <w:tc>
          <w:tcPr>
            <w:tcW w:w="6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2002, filed with the Securities and Exchange Commission on</w:t>
            </w:r>
          </w:p>
        </w:tc>
      </w:tr>
      <w:tr>
        <w:trPr>
          <w:trHeight w:val="203"/>
        </w:trPr>
        <w:tc>
          <w:tcPr>
            <w:tcW w:w="158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31,</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and incorporated herein by reference.</w:t>
            </w:r>
          </w:p>
        </w:tc>
      </w:tr>
    </w:tbl>
    <w:p>
      <w:pPr>
        <w:sectPr>
          <w:pgSz w:w="11900" w:h="16838" w:orient="portrait"/>
          <w:cols w:equalWidth="0" w:num="1">
            <w:col w:w="10219"/>
          </w:cols>
          <w:pgMar w:left="240" w:top="717"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(d)(5)</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No. 3 to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effective as of June 14, 2004,</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filed as Exhibit 10.6.3 to the Form 10-Q for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for the quarterly period ended June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30, 2004,</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on August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 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(d)(6)</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Amendment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9"/>
              </w:rPr>
              <w:t>No. 4 to the Regeneron Pharmaceuticals, Inc. 2000</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Long-Term</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Incentive Plan, included as Annex A to the</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Company's</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definitive proxy statement on Schedule 14A filed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with the Securities and Exchange Commission on November 29,</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2004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(d)(7)</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employees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 other than vice presidents.*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(d)(8)</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Replacement Options for vice presidents of Regeneron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(d)(9)</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8"/>
              </w:rPr>
              <w:t>Form of Replacement Option Agreement and Notice of Grant of</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Replacement Options for senior vice presidents and executive</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vice presidents of Regeneron Pharmaceuticals, Inc.*</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(d)(10)</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relating to Securities to be offered to employees pursuant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to employee benefit plans on Form S-8 and Form S-8 POS,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filed with the Securities and Exchange Commission on August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19, 1997 (File No. 333-33891), June 15, 1999 (File No.</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333-80663), May 17, 2001 (File No. 333-61132), July 30, 2002</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No.</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333-80663, July 30, 2002 (File No. 333-97375) and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September</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24, 2004 (File No. 333-119257)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(d)(11)</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Form 8-A 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February 20, 1991 as amended by the Registration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Statement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8-A/A, filed with the Securities and</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Exchange Commission on March 27, 1991 and incorporated</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herein by</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(d)(12)</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(d)(13)</w:t>
            </w:r>
          </w:p>
        </w:tc>
        <w:tc>
          <w:tcPr>
            <w:tcW w:w="6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Rights Agreement, dated as of September 20, 1996, between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Pharmaceuticals, Inc. and Chase Mellon Shareholder</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Services LLC, as Rights Agent, including the form of Rights</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Certificate as Exhibit B thereto, filed as Exhibit 1 to</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Regeneron</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Pharmaceuticals, Inc. Registration Statement on</w:t>
            </w:r>
          </w:p>
        </w:tc>
      </w:tr>
      <w:tr>
        <w:trPr>
          <w:trHeight w:val="203"/>
        </w:trPr>
        <w:tc>
          <w:tcPr>
            <w:tcW w:w="132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Form 8-A,</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filed with the Securities and Exchange Commission</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on October 15, 1996 and incorporated herein by reference.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ind w:left="960" w:hanging="952"/>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ectPr>
          <w:pgSz w:w="11900" w:h="16838" w:orient="portrait"/>
          <w:cols w:equalWidth="0" w:num="1">
            <w:col w:w="10219"/>
          </w:cols>
          <w:pgMar w:left="240" w:top="136"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99(a)(1)(xiii)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Email from Vice President, Human Resources to All Employees</w:t>
      </w:r>
    </w:p>
    <w:p>
      <w:pPr>
        <w:jc w:val="center"/>
        <w:ind w:right="2099"/>
        <w:spacing w:after="0" w:line="238" w:lineRule="auto"/>
        <w:rPr>
          <w:sz w:val="20"/>
          <w:szCs w:val="20"/>
          <w:color w:val="auto"/>
        </w:rPr>
      </w:pPr>
      <w:r>
        <w:rPr>
          <w:rFonts w:ascii="Courier New" w:cs="Courier New" w:eastAsia="Courier New" w:hAnsi="Courier New"/>
          <w:sz w:val="18"/>
          <w:szCs w:val="18"/>
          <w:color w:val="auto"/>
        </w:rPr>
        <w:t>Eligible to Participate in the Option Exchange Program,</w:t>
      </w:r>
    </w:p>
    <w:p>
      <w:pPr>
        <w:ind w:left="2440"/>
        <w:spacing w:after="0"/>
        <w:rPr>
          <w:sz w:val="20"/>
          <w:szCs w:val="20"/>
          <w:color w:val="auto"/>
        </w:rPr>
      </w:pPr>
      <w:r>
        <w:rPr>
          <w:rFonts w:ascii="Courier New" w:cs="Courier New" w:eastAsia="Courier New" w:hAnsi="Courier New"/>
          <w:sz w:val="18"/>
          <w:szCs w:val="18"/>
          <w:color w:val="auto"/>
        </w:rPr>
        <w:t>sent on Wednesday, January 5, 2005</w:t>
      </w:r>
    </w:p>
    <w:p>
      <w:pPr>
        <w:spacing w:after="0" w:line="200" w:lineRule="exact"/>
        <w:rPr>
          <w:sz w:val="20"/>
          <w:szCs w:val="20"/>
          <w:color w:val="auto"/>
        </w:rPr>
      </w:pPr>
    </w:p>
    <w:p>
      <w:pPr>
        <w:spacing w:after="0" w:line="209"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Please remember that the Options Exchange Program expires at 6:00 P.M. tonight. All election forms or notices of withdrawal must be to Pam Curtis in Tarrytown Human Resources or Lynne Fuierer in Rensselaer Human Resources. UNDER NO CIRCUMSTANCES WILL WE BE ABLE TO ACCEPT FORMS AFTER 6:00 P.M.</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order to ensure a timely delivery of your election form or notice of withdrawal, please hand deliver your form to Pam Curtis in Tarrytown Human Resources or Lynne Fuierer in Rensselaer Human Resources. Please remember that under the provisions of the program delivery by email or other electronic means will not be accepted.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We have sent to eligible employees written materials, including an Offer to Exchange, describing in detail the terms, conditions and timing of, and procedures for participating in, the Option Exchange Program, and have filed those materials with the Securities and Exchange Commission (which can be accessed through its website at www.sec.gov). The Offer to Exchange is subject to various conditions. Eligible employees should read those materials carefully before deciding whether to tender their eligible options in the Offer to Exchange, because they contain important information about the Offer to Exchange. You should only rely on the information in the Offer to Exchange. Neither the Company nor our board of directors makes any recommendation as to whether you should tender some or all of your eligible options for exchange, nor have we authorized any person to make any representations or any such recommendation. You must make your own decision whether or not to tender your eligible options.</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You may direct questions about the Offer to Exchange to our Human Resources Department, Option Exchange, by phone at (914) 345-STOK or to our internal e-mail address: OptionsExchange@regeneron.com.</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2019-12-20T06:46:36Z</dcterms:created>
  <dcterms:modified xsi:type="dcterms:W3CDTF">2019-12-20T06:46:36Z</dcterms:modified>
</cp:coreProperties>
</file>