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Prospectus Supplement</w:t>
        </w:r>
      </w:hyperlink>
    </w:p>
    <w:p>
      <w:pPr>
        <w:spacing w:after="0"/>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56" w:lineRule="exact"/>
        <w:rPr>
          <w:sz w:val="24"/>
          <w:szCs w:val="24"/>
          <w:color w:val="auto"/>
        </w:rPr>
      </w:pPr>
    </w:p>
    <w:tbl>
      <w:tblPr>
        <w:tblLayout w:type="fixed"/>
        <w:tblInd w:w="14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22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5"/>
              </w:rPr>
              <w:t>Proposed Maximum</w:t>
            </w:r>
          </w:p>
        </w:tc>
        <w:tc>
          <w:tcPr>
            <w:tcW w:w="160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5"/>
              </w:rPr>
              <w:t>Proposed Maximum</w:t>
            </w:r>
          </w:p>
        </w:tc>
        <w:tc>
          <w:tcPr>
            <w:tcW w:w="14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220" w:type="dxa"/>
            <w:vAlign w:val="bottom"/>
          </w:tcPr>
          <w:p>
            <w:pPr>
              <w:jc w:val="center"/>
              <w:ind w:right="2"/>
              <w:spacing w:after="0"/>
              <w:rPr>
                <w:sz w:val="20"/>
                <w:szCs w:val="20"/>
                <w:color w:val="auto"/>
              </w:rPr>
            </w:pPr>
            <w:r>
              <w:rPr>
                <w:rFonts w:ascii="Arial" w:cs="Arial" w:eastAsia="Arial" w:hAnsi="Arial"/>
                <w:sz w:val="13"/>
                <w:szCs w:val="13"/>
                <w:b w:val="1"/>
                <w:bCs w:val="1"/>
                <w:color w:val="auto"/>
                <w:w w:val="92"/>
              </w:rPr>
              <w:t>Title of Each Class of Securities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Amount To Be</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Offering Price Per</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Aggregate Offering</w:t>
            </w:r>
          </w:p>
        </w:tc>
        <w:tc>
          <w:tcPr>
            <w:tcW w:w="1460" w:type="dxa"/>
            <w:vAlign w:val="bottom"/>
          </w:tcPr>
          <w:p>
            <w:pPr>
              <w:jc w:val="center"/>
              <w:ind w:left="2"/>
              <w:spacing w:after="0"/>
              <w:rPr>
                <w:sz w:val="20"/>
                <w:szCs w:val="20"/>
                <w:color w:val="auto"/>
              </w:rPr>
            </w:pPr>
            <w:r>
              <w:rPr>
                <w:rFonts w:ascii="Arial" w:cs="Arial" w:eastAsia="Arial" w:hAnsi="Arial"/>
                <w:sz w:val="13"/>
                <w:szCs w:val="13"/>
                <w:b w:val="1"/>
                <w:bCs w:val="1"/>
                <w:color w:val="auto"/>
                <w:w w:val="95"/>
              </w:rPr>
              <w:t>Amount of</w:t>
            </w:r>
          </w:p>
        </w:tc>
      </w:tr>
      <w:tr>
        <w:trPr>
          <w:trHeight w:val="182"/>
        </w:trPr>
        <w:tc>
          <w:tcPr>
            <w:tcW w:w="20" w:type="dxa"/>
            <w:vAlign w:val="bottom"/>
          </w:tcPr>
          <w:p>
            <w:pPr>
              <w:spacing w:after="0"/>
              <w:rPr>
                <w:sz w:val="15"/>
                <w:szCs w:val="15"/>
                <w:color w:val="auto"/>
              </w:rPr>
            </w:pPr>
          </w:p>
        </w:tc>
        <w:tc>
          <w:tcPr>
            <w:tcW w:w="222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1"/>
              </w:rPr>
              <w:t>To Be Registered</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Registered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Unit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Price</w:t>
            </w:r>
          </w:p>
        </w:tc>
        <w:tc>
          <w:tcPr>
            <w:tcW w:w="1460" w:type="dxa"/>
            <w:vAlign w:val="bottom"/>
            <w:tcBorders>
              <w:bottom w:val="single" w:sz="8" w:color="auto"/>
            </w:tcBorders>
          </w:tcPr>
          <w:p>
            <w:pPr>
              <w:jc w:val="center"/>
              <w:ind w:left="2"/>
              <w:spacing w:after="0"/>
              <w:rPr>
                <w:sz w:val="20"/>
                <w:szCs w:val="20"/>
                <w:color w:val="auto"/>
              </w:rPr>
            </w:pPr>
            <w:r>
              <w:rPr>
                <w:rFonts w:ascii="Arial" w:cs="Arial" w:eastAsia="Arial" w:hAnsi="Arial"/>
                <w:sz w:val="13"/>
                <w:szCs w:val="13"/>
                <w:b w:val="1"/>
                <w:bCs w:val="1"/>
                <w:color w:val="auto"/>
                <w:w w:val="93"/>
              </w:rPr>
              <w:t>Registration Fee(1)</w:t>
            </w:r>
          </w:p>
        </w:tc>
      </w:tr>
      <w:tr>
        <w:trPr>
          <w:trHeight w:val="208"/>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1.750% Senior Notes due</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2"/>
        </w:trPr>
        <w:tc>
          <w:tcPr>
            <w:tcW w:w="2240" w:type="dxa"/>
            <w:vAlign w:val="bottom"/>
            <w:gridSpan w:val="2"/>
          </w:tcPr>
          <w:p>
            <w:pPr>
              <w:ind w:left="80"/>
              <w:spacing w:after="0"/>
              <w:rPr>
                <w:sz w:val="20"/>
                <w:szCs w:val="20"/>
                <w:color w:val="auto"/>
              </w:rPr>
            </w:pPr>
            <w:r>
              <w:rPr>
                <w:rFonts w:ascii="Arial" w:cs="Arial" w:eastAsia="Arial" w:hAnsi="Arial"/>
                <w:sz w:val="18"/>
                <w:szCs w:val="18"/>
                <w:color w:val="auto"/>
              </w:rPr>
              <w:t>2030</w:t>
            </w:r>
          </w:p>
        </w:tc>
        <w:tc>
          <w:tcPr>
            <w:tcW w:w="1560" w:type="dxa"/>
            <w:vAlign w:val="bottom"/>
          </w:tcPr>
          <w:p>
            <w:pPr>
              <w:jc w:val="right"/>
              <w:ind w:right="122"/>
              <w:spacing w:after="0"/>
              <w:rPr>
                <w:sz w:val="20"/>
                <w:szCs w:val="20"/>
                <w:color w:val="auto"/>
              </w:rPr>
            </w:pPr>
            <w:r>
              <w:rPr>
                <w:rFonts w:ascii="Arial" w:cs="Arial" w:eastAsia="Arial" w:hAnsi="Arial"/>
                <w:sz w:val="18"/>
                <w:szCs w:val="18"/>
                <w:color w:val="auto"/>
              </w:rPr>
              <w:t>$1,250,000,000</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99.898%</w:t>
            </w:r>
          </w:p>
        </w:tc>
        <w:tc>
          <w:tcPr>
            <w:tcW w:w="1600" w:type="dxa"/>
            <w:vAlign w:val="bottom"/>
          </w:tcPr>
          <w:p>
            <w:pPr>
              <w:jc w:val="right"/>
              <w:ind w:right="184"/>
              <w:spacing w:after="0"/>
              <w:rPr>
                <w:sz w:val="20"/>
                <w:szCs w:val="20"/>
                <w:color w:val="auto"/>
              </w:rPr>
            </w:pPr>
            <w:r>
              <w:rPr>
                <w:rFonts w:ascii="Arial" w:cs="Arial" w:eastAsia="Arial" w:hAnsi="Arial"/>
                <w:sz w:val="18"/>
                <w:szCs w:val="18"/>
                <w:color w:val="auto"/>
              </w:rPr>
              <w:t>$1,248,725,000</w:t>
            </w:r>
          </w:p>
        </w:tc>
        <w:tc>
          <w:tcPr>
            <w:tcW w:w="1460" w:type="dxa"/>
            <w:vAlign w:val="bottom"/>
          </w:tcPr>
          <w:p>
            <w:pPr>
              <w:jc w:val="right"/>
              <w:ind w:right="182"/>
              <w:spacing w:after="0"/>
              <w:rPr>
                <w:sz w:val="20"/>
                <w:szCs w:val="20"/>
                <w:color w:val="auto"/>
              </w:rPr>
            </w:pPr>
            <w:r>
              <w:rPr>
                <w:rFonts w:ascii="Arial" w:cs="Arial" w:eastAsia="Arial" w:hAnsi="Arial"/>
                <w:sz w:val="18"/>
                <w:szCs w:val="18"/>
                <w:color w:val="auto"/>
              </w:rPr>
              <w:t>$162,084.51</w:t>
            </w:r>
          </w:p>
        </w:tc>
      </w:tr>
      <w:tr>
        <w:trPr>
          <w:trHeight w:val="29"/>
        </w:trPr>
        <w:tc>
          <w:tcPr>
            <w:tcW w:w="224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2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2.800% Senior Notes due</w:t>
            </w:r>
          </w:p>
        </w:tc>
        <w:tc>
          <w:tcPr>
            <w:tcW w:w="15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22"/>
        </w:trPr>
        <w:tc>
          <w:tcPr>
            <w:tcW w:w="2240" w:type="dxa"/>
            <w:vAlign w:val="bottom"/>
            <w:gridSpan w:val="2"/>
          </w:tcPr>
          <w:p>
            <w:pPr>
              <w:ind w:left="80"/>
              <w:spacing w:after="0"/>
              <w:rPr>
                <w:sz w:val="20"/>
                <w:szCs w:val="20"/>
                <w:color w:val="auto"/>
              </w:rPr>
            </w:pPr>
            <w:r>
              <w:rPr>
                <w:rFonts w:ascii="Arial" w:cs="Arial" w:eastAsia="Arial" w:hAnsi="Arial"/>
                <w:sz w:val="18"/>
                <w:szCs w:val="18"/>
                <w:color w:val="auto"/>
              </w:rPr>
              <w:t>2050</w:t>
            </w:r>
          </w:p>
        </w:tc>
        <w:tc>
          <w:tcPr>
            <w:tcW w:w="1560" w:type="dxa"/>
            <w:vAlign w:val="bottom"/>
          </w:tcPr>
          <w:p>
            <w:pPr>
              <w:jc w:val="right"/>
              <w:ind w:right="202"/>
              <w:spacing w:after="0"/>
              <w:rPr>
                <w:sz w:val="20"/>
                <w:szCs w:val="20"/>
                <w:color w:val="auto"/>
              </w:rPr>
            </w:pPr>
            <w:r>
              <w:rPr>
                <w:rFonts w:ascii="Arial" w:cs="Arial" w:eastAsia="Arial" w:hAnsi="Arial"/>
                <w:sz w:val="18"/>
                <w:szCs w:val="18"/>
                <w:color w:val="auto"/>
              </w:rPr>
              <w:t>$750,000,000</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99.715%</w:t>
            </w:r>
          </w:p>
        </w:tc>
        <w:tc>
          <w:tcPr>
            <w:tcW w:w="1600" w:type="dxa"/>
            <w:vAlign w:val="bottom"/>
          </w:tcPr>
          <w:p>
            <w:pPr>
              <w:jc w:val="right"/>
              <w:ind w:right="244"/>
              <w:spacing w:after="0"/>
              <w:rPr>
                <w:sz w:val="20"/>
                <w:szCs w:val="20"/>
                <w:color w:val="auto"/>
              </w:rPr>
            </w:pPr>
            <w:r>
              <w:rPr>
                <w:rFonts w:ascii="Arial" w:cs="Arial" w:eastAsia="Arial" w:hAnsi="Arial"/>
                <w:sz w:val="18"/>
                <w:szCs w:val="18"/>
                <w:color w:val="auto"/>
              </w:rPr>
              <w:t>$747,862,500</w:t>
            </w:r>
          </w:p>
        </w:tc>
        <w:tc>
          <w:tcPr>
            <w:tcW w:w="1460" w:type="dxa"/>
            <w:vAlign w:val="bottom"/>
          </w:tcPr>
          <w:p>
            <w:pPr>
              <w:jc w:val="right"/>
              <w:ind w:right="222"/>
              <w:spacing w:after="0"/>
              <w:rPr>
                <w:sz w:val="20"/>
                <w:szCs w:val="20"/>
                <w:color w:val="auto"/>
              </w:rPr>
            </w:pPr>
            <w:r>
              <w:rPr>
                <w:rFonts w:ascii="Arial" w:cs="Arial" w:eastAsia="Arial" w:hAnsi="Arial"/>
                <w:sz w:val="18"/>
                <w:szCs w:val="18"/>
                <w:color w:val="auto"/>
              </w:rPr>
              <w:t>$97,072.56</w:t>
            </w:r>
          </w:p>
        </w:tc>
      </w:tr>
      <w:tr>
        <w:trPr>
          <w:trHeight w:val="29"/>
        </w:trPr>
        <w:tc>
          <w:tcPr>
            <w:tcW w:w="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in accordance with Rule 457(r) of the Securities Act of 1933, as amended. The total registration fee due for this offering is $259,157.07.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685" w:right="6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333-228352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144145</wp:posOffset>
            </wp:positionV>
            <wp:extent cx="340296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29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$1,250,000,000 1.750% Senior Notes due 2030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 2.800%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firstLine="392"/>
        <w:spacing w:after="0" w:line="268" w:lineRule="auto"/>
        <w:rPr>
          <w:sz w:val="20"/>
          <w:szCs w:val="20"/>
          <w:color w:val="auto"/>
        </w:rPr>
      </w:pPr>
      <w:r>
        <w:rPr>
          <w:rFonts w:ascii="Arial" w:cs="Arial" w:eastAsia="Arial" w:hAnsi="Arial"/>
          <w:sz w:val="18"/>
          <w:szCs w:val="18"/>
          <w:color w:val="auto"/>
        </w:rPr>
        <w:t>We are offering $1,250,000,000 aggregate principal amount of 1.750% Senior Notes due 2030 (the "2030 notes") and $750,000,000 aggregate principal amount of 2.800% Senior Notes due 2050 (the "2050 notes" and, together with the 2030 notes, the "notes").</w:t>
      </w:r>
    </w:p>
    <w:p>
      <w:pPr>
        <w:spacing w:after="0" w:line="186" w:lineRule="exact"/>
        <w:rPr>
          <w:sz w:val="20"/>
          <w:szCs w:val="20"/>
          <w:color w:val="auto"/>
        </w:rPr>
      </w:pPr>
    </w:p>
    <w:p>
      <w:pPr>
        <w:ind w:right="220" w:firstLine="392"/>
        <w:spacing w:after="0" w:line="268" w:lineRule="auto"/>
        <w:rPr>
          <w:sz w:val="20"/>
          <w:szCs w:val="20"/>
          <w:color w:val="auto"/>
        </w:rPr>
      </w:pPr>
      <w:r>
        <w:rPr>
          <w:rFonts w:ascii="Arial" w:cs="Arial" w:eastAsia="Arial" w:hAnsi="Arial"/>
          <w:sz w:val="18"/>
          <w:szCs w:val="18"/>
          <w:color w:val="auto"/>
        </w:rPr>
        <w:t>We will pay interest on the notes semi-annually in arrears on March 15 and September 15 of each year, beginning March 15, 2021. The 2030 notes will mature on September 15, 2030 and the 2050 notes will mature on September 15, 2050.</w:t>
      </w:r>
    </w:p>
    <w:p>
      <w:pPr>
        <w:spacing w:after="0" w:line="186" w:lineRule="exact"/>
        <w:rPr>
          <w:sz w:val="20"/>
          <w:szCs w:val="20"/>
          <w:color w:val="auto"/>
        </w:rPr>
      </w:pPr>
    </w:p>
    <w:p>
      <w:pPr>
        <w:ind w:right="20" w:firstLine="392"/>
        <w:spacing w:after="0" w:line="306" w:lineRule="auto"/>
        <w:rPr>
          <w:sz w:val="20"/>
          <w:szCs w:val="20"/>
          <w:color w:val="auto"/>
        </w:rPr>
      </w:pPr>
      <w:r>
        <w:rPr>
          <w:rFonts w:ascii="Arial" w:cs="Arial" w:eastAsia="Arial" w:hAnsi="Arial"/>
          <w:sz w:val="16"/>
          <w:szCs w:val="16"/>
          <w:color w:val="auto"/>
        </w:rPr>
        <w:t>The notes will be senior unsecured obligations and will rank equal in right of payment with our other existing and future senior unsecured obligations that are not, by their terms, expressly subordinated in right of payment to the notes, and senior in right of payment to any of our future subordinated indebtedness. The notes will be issued only in registered form in denominations of $2,000 and integral multiples of $1,000 in excess thereof.</w:t>
      </w:r>
    </w:p>
    <w:p>
      <w:pPr>
        <w:spacing w:after="0" w:line="160" w:lineRule="exact"/>
        <w:rPr>
          <w:sz w:val="20"/>
          <w:szCs w:val="20"/>
          <w:color w:val="auto"/>
        </w:rPr>
      </w:pPr>
    </w:p>
    <w:p>
      <w:pPr>
        <w:ind w:right="180" w:firstLine="392"/>
        <w:spacing w:after="0" w:line="256" w:lineRule="auto"/>
        <w:rPr>
          <w:sz w:val="20"/>
          <w:szCs w:val="20"/>
          <w:color w:val="auto"/>
        </w:rPr>
      </w:pPr>
      <w:r>
        <w:rPr>
          <w:rFonts w:ascii="Arial" w:cs="Arial" w:eastAsia="Arial" w:hAnsi="Arial"/>
          <w:sz w:val="18"/>
          <w:szCs w:val="18"/>
          <w:color w:val="auto"/>
        </w:rPr>
        <w:t>We may redeem the notes of either series in whole or in part at any time at the applicable redemption price set forth under "Description of Notes— Optional Redemption." Upon the occurrence of a Change of Control Triggering Event (as defined under the caption "Description of Notes" in this prospectus supplement), we may be required to offer to purchase the notes from the holders as described in this prospectus supplement under the caption "Description of Notes—Change of Control."</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do not intend to apply for listing of the notes on any securities exchange. Currently, there are no public markets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147955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firstLine="395"/>
        <w:spacing w:after="0" w:line="237" w:lineRule="auto"/>
        <w:rPr>
          <w:sz w:val="20"/>
          <w:szCs w:val="20"/>
          <w:color w:val="auto"/>
        </w:rPr>
      </w:pPr>
      <w:r>
        <w:rPr>
          <w:rFonts w:ascii="Arial" w:cs="Arial" w:eastAsia="Arial" w:hAnsi="Arial"/>
          <w:sz w:val="22"/>
          <w:szCs w:val="22"/>
          <w:b w:val="1"/>
          <w:bCs w:val="1"/>
          <w:color w:val="auto"/>
        </w:rPr>
        <w:t>Investing in the notes involves risks, including those described in the "Risk Factors" section beginning on page S-6 of this prospectus supplement and the sections entitled "Risk Factors" beginning on page 27 of our Annual Report on Form 10-K for the year ended December 31, 2019, and beginning on page 49 of our Quarterly Report on Form 10-Q for the quarterly period ended June 30, 2020, each of which is incorporated by reference into this prospectus supplement and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132715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Proceeds to Regeneron,</w:t>
            </w:r>
          </w:p>
        </w:tc>
      </w:tr>
      <w:tr>
        <w:trPr>
          <w:trHeight w:val="161"/>
        </w:trPr>
        <w:tc>
          <w:tcPr>
            <w:tcW w:w="1120" w:type="dxa"/>
            <w:vAlign w:val="bottom"/>
          </w:tcPr>
          <w:p>
            <w:pPr>
              <w:spacing w:after="0"/>
              <w:rPr>
                <w:sz w:val="14"/>
                <w:szCs w:val="14"/>
                <w:color w:val="auto"/>
              </w:rPr>
            </w:pPr>
          </w:p>
        </w:tc>
        <w:tc>
          <w:tcPr>
            <w:tcW w:w="266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rPr>
              <w:t>Public offering price(1)</w:t>
            </w:r>
          </w:p>
        </w:tc>
        <w:tc>
          <w:tcPr>
            <w:tcW w:w="160" w:type="dxa"/>
            <w:vAlign w:val="bottom"/>
          </w:tcPr>
          <w:p>
            <w:pPr>
              <w:spacing w:after="0"/>
              <w:rPr>
                <w:sz w:val="14"/>
                <w:szCs w:val="14"/>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Underwriting discounts</w:t>
            </w:r>
          </w:p>
        </w:tc>
        <w:tc>
          <w:tcPr>
            <w:tcW w:w="160" w:type="dxa"/>
            <w:vAlign w:val="bottom"/>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before expenses(1)</w:t>
            </w:r>
          </w:p>
        </w:tc>
      </w:tr>
      <w:tr>
        <w:trPr>
          <w:trHeight w:val="142"/>
        </w:trPr>
        <w:tc>
          <w:tcPr>
            <w:tcW w:w="1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2"/>
              </w:rPr>
              <w:t>Per note</w:t>
            </w:r>
          </w:p>
        </w:tc>
        <w:tc>
          <w:tcPr>
            <w:tcW w:w="160" w:type="dxa"/>
            <w:vAlign w:val="bottom"/>
          </w:tcPr>
          <w:p>
            <w:pPr>
              <w:spacing w:after="0"/>
              <w:rPr>
                <w:sz w:val="12"/>
                <w:szCs w:val="12"/>
                <w:color w:val="auto"/>
              </w:rPr>
            </w:pPr>
          </w:p>
        </w:tc>
        <w:tc>
          <w:tcPr>
            <w:tcW w:w="140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2"/>
              </w:rPr>
              <w:t>Per note</w:t>
            </w:r>
          </w:p>
        </w:tc>
        <w:tc>
          <w:tcPr>
            <w:tcW w:w="160" w:type="dxa"/>
            <w:vAlign w:val="bottom"/>
          </w:tcPr>
          <w:p>
            <w:pPr>
              <w:spacing w:after="0"/>
              <w:rPr>
                <w:sz w:val="12"/>
                <w:szCs w:val="12"/>
                <w:color w:val="auto"/>
              </w:rPr>
            </w:pPr>
          </w:p>
        </w:tc>
        <w:tc>
          <w:tcPr>
            <w:tcW w:w="108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2"/>
              </w:rPr>
              <w:t>Per note</w:t>
            </w:r>
          </w:p>
        </w:tc>
        <w:tc>
          <w:tcPr>
            <w:tcW w:w="160" w:type="dxa"/>
            <w:vAlign w:val="bottom"/>
          </w:tcPr>
          <w:p>
            <w:pPr>
              <w:spacing w:after="0"/>
              <w:rPr>
                <w:sz w:val="12"/>
                <w:szCs w:val="12"/>
                <w:color w:val="auto"/>
              </w:rPr>
            </w:pPr>
          </w:p>
        </w:tc>
        <w:tc>
          <w:tcPr>
            <w:tcW w:w="140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3"/>
                <w:szCs w:val="13"/>
                <w:b w:val="1"/>
                <w:bCs w:val="1"/>
                <w:color w:val="auto"/>
              </w:rPr>
              <w:t>Total</w:t>
            </w:r>
          </w:p>
        </w:tc>
      </w:tr>
      <w:tr>
        <w:trPr>
          <w:trHeight w:val="20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 notes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99.898%</w:t>
            </w:r>
          </w:p>
        </w:tc>
        <w:tc>
          <w:tcPr>
            <w:tcW w:w="15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$1,248,725,000</w:t>
            </w:r>
          </w:p>
        </w:tc>
        <w:tc>
          <w:tcPr>
            <w:tcW w:w="12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0.650%</w:t>
            </w:r>
          </w:p>
        </w:tc>
        <w:tc>
          <w:tcPr>
            <w:tcW w:w="12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$8,125,000</w:t>
            </w:r>
          </w:p>
        </w:tc>
        <w:tc>
          <w:tcPr>
            <w:tcW w:w="1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99.248%</w:t>
            </w:r>
          </w:p>
        </w:tc>
        <w:tc>
          <w:tcPr>
            <w:tcW w:w="1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$1,240,600,000</w:t>
            </w:r>
          </w:p>
        </w:tc>
      </w:tr>
      <w:tr>
        <w:trPr>
          <w:trHeight w:val="216"/>
        </w:trPr>
        <w:tc>
          <w:tcPr>
            <w:tcW w:w="1120" w:type="dxa"/>
            <w:vAlign w:val="bottom"/>
          </w:tcPr>
          <w:p>
            <w:pPr>
              <w:ind w:left="20"/>
              <w:spacing w:after="0"/>
              <w:rPr>
                <w:sz w:val="20"/>
                <w:szCs w:val="20"/>
                <w:color w:val="auto"/>
              </w:rPr>
            </w:pPr>
            <w:r>
              <w:rPr>
                <w:rFonts w:ascii="Arial" w:cs="Arial" w:eastAsia="Arial" w:hAnsi="Arial"/>
                <w:sz w:val="18"/>
                <w:szCs w:val="18"/>
                <w:color w:val="auto"/>
              </w:rPr>
              <w:t>2050 notes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99.715%</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$747,862,500</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0.875%</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$6,562,500</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98.840%</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$741,300,000</w:t>
            </w:r>
          </w:p>
        </w:tc>
      </w:tr>
      <w:tr>
        <w:trPr>
          <w:trHeight w:val="20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$1,996,587,500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$14,687,500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$1,981,900,000</w:t>
            </w:r>
          </w:p>
        </w:tc>
      </w:tr>
      <w:tr>
        <w:trPr>
          <w:trHeight w:val="20"/>
        </w:trPr>
        <w:tc>
          <w:tcPr>
            <w:tcW w:w="1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August 12, 2020 to the date of delivery, if settlement occurs after that date.</w:t>
      </w:r>
    </w:p>
    <w:p>
      <w:pPr>
        <w:spacing w:after="0" w:line="219" w:lineRule="exact"/>
        <w:rPr>
          <w:sz w:val="20"/>
          <w:szCs w:val="20"/>
          <w:color w:val="auto"/>
        </w:rPr>
      </w:pPr>
    </w:p>
    <w:p>
      <w:pPr>
        <w:jc w:val="both"/>
        <w:ind w:right="80" w:firstLine="395"/>
        <w:spacing w:after="0" w:line="262"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92" w:lineRule="exact"/>
        <w:rPr>
          <w:sz w:val="20"/>
          <w:szCs w:val="20"/>
          <w:color w:val="auto"/>
        </w:rPr>
      </w:pPr>
    </w:p>
    <w:p>
      <w:pPr>
        <w:ind w:right="640" w:firstLine="392"/>
        <w:spacing w:after="0" w:line="331" w:lineRule="auto"/>
        <w:rPr>
          <w:sz w:val="20"/>
          <w:szCs w:val="20"/>
          <w:color w:val="auto"/>
        </w:rPr>
      </w:pPr>
      <w:r>
        <w:rPr>
          <w:rFonts w:ascii="Arial" w:cs="Arial" w:eastAsia="Arial" w:hAnsi="Arial"/>
          <w:sz w:val="16"/>
          <w:szCs w:val="16"/>
          <w:color w:val="auto"/>
        </w:rPr>
        <w:t>The underwriters expect to deliver the notes in book-entry form only through the facilities of The Depository Trust Company and its participants, including Clearstream Banking S.A. and Euroclear Bank S.A./N.V., against payment in New York, New York on or about August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94615</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240"/>
          </w:cols>
          <w:pgMar w:left="320" w:top="131" w:right="339" w:bottom="0" w:gutter="0" w:footer="0" w:header="0"/>
        </w:sectPr>
      </w:pPr>
    </w:p>
    <w:p>
      <w:pPr>
        <w:spacing w:after="0" w:line="192" w:lineRule="exact"/>
        <w:rPr>
          <w:sz w:val="20"/>
          <w:szCs w:val="20"/>
          <w:color w:val="auto"/>
        </w:rPr>
      </w:pPr>
    </w:p>
    <w:p>
      <w:pPr>
        <w:ind w:left="1140"/>
        <w:spacing w:after="0"/>
        <w:rPr>
          <w:sz w:val="20"/>
          <w:szCs w:val="20"/>
          <w:color w:val="auto"/>
        </w:rPr>
      </w:pPr>
      <w:r>
        <w:rPr>
          <w:rFonts w:ascii="Arial" w:cs="Arial" w:eastAsia="Arial" w:hAnsi="Arial"/>
          <w:sz w:val="30"/>
          <w:szCs w:val="30"/>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J.P. Morgan</w:t>
      </w:r>
    </w:p>
    <w:p>
      <w:pPr>
        <w:spacing w:after="0" w:line="211" w:lineRule="exact"/>
        <w:rPr>
          <w:sz w:val="20"/>
          <w:szCs w:val="20"/>
          <w:color w:val="auto"/>
        </w:rPr>
      </w:pPr>
    </w:p>
    <w:p>
      <w:pPr>
        <w:sectPr>
          <w:pgSz w:w="11900" w:h="16838" w:orient="portrait"/>
          <w:cols w:equalWidth="0" w:num="3">
            <w:col w:w="5040" w:space="720"/>
            <w:col w:w="2140" w:space="620"/>
            <w:col w:w="2720"/>
          </w:cols>
          <w:pgMar w:left="320" w:top="131" w:right="339" w:bottom="0" w:gutter="0" w:footer="0" w:header="0"/>
          <w:type w:val="continuous"/>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Bookrunners</w:t>
      </w:r>
    </w:p>
    <w:p>
      <w:pPr>
        <w:sectPr>
          <w:pgSz w:w="11900" w:h="16838" w:orient="portrait"/>
          <w:cols w:equalWidth="0" w:num="1">
            <w:col w:w="11240"/>
          </w:cols>
          <w:pgMar w:left="320" w:top="131" w:right="339" w:bottom="0" w:gutter="0" w:footer="0" w:header="0"/>
          <w:type w:val="continuous"/>
        </w:sectPr>
      </w:pPr>
    </w:p>
    <w:p>
      <w:pPr>
        <w:spacing w:after="0" w:line="240" w:lineRule="exact"/>
        <w:rPr>
          <w:sz w:val="20"/>
          <w:szCs w:val="20"/>
          <w:color w:val="auto"/>
        </w:rPr>
      </w:pPr>
    </w:p>
    <w:p>
      <w:pPr>
        <w:ind w:left="1200"/>
        <w:spacing w:after="0"/>
        <w:rPr>
          <w:sz w:val="20"/>
          <w:szCs w:val="20"/>
          <w:color w:val="auto"/>
        </w:rPr>
      </w:pPr>
      <w:r>
        <w:rPr>
          <w:rFonts w:ascii="Arial" w:cs="Arial" w:eastAsia="Arial" w:hAnsi="Arial"/>
          <w:sz w:val="19"/>
          <w:szCs w:val="19"/>
          <w:b w:val="1"/>
          <w:bCs w:val="1"/>
          <w:color w:val="auto"/>
        </w:rPr>
        <w:t>US Bancorp</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Barclays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Fifth Third Securities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MUFG</w:t>
      </w:r>
    </w:p>
    <w:p>
      <w:pPr>
        <w:spacing w:after="0" w:line="27" w:lineRule="exact"/>
        <w:rPr>
          <w:sz w:val="20"/>
          <w:szCs w:val="20"/>
          <w:color w:val="auto"/>
        </w:rPr>
      </w:pPr>
    </w:p>
    <w:p>
      <w:pPr>
        <w:sectPr>
          <w:pgSz w:w="11900" w:h="16838" w:orient="portrait"/>
          <w:cols w:equalWidth="0" w:num="5">
            <w:col w:w="2320" w:space="620"/>
            <w:col w:w="1080" w:space="720"/>
            <w:col w:w="880" w:space="640"/>
            <w:col w:w="2020" w:space="720"/>
            <w:col w:w="2240"/>
          </w:cols>
          <w:pgMar w:left="320" w:top="131" w:right="339" w:bottom="0" w:gutter="0" w:footer="0" w:header="0"/>
          <w:type w:val="continuous"/>
        </w:sectPr>
      </w:pPr>
    </w:p>
    <w:p>
      <w:pPr>
        <w:ind w:left="2600"/>
        <w:spacing w:after="0"/>
        <w:rPr>
          <w:sz w:val="20"/>
          <w:szCs w:val="20"/>
          <w:color w:val="auto"/>
        </w:rPr>
      </w:pPr>
      <w:r>
        <w:rPr>
          <w:rFonts w:ascii="Arial" w:cs="Arial" w:eastAsia="Arial" w:hAnsi="Arial"/>
          <w:sz w:val="19"/>
          <w:szCs w:val="19"/>
          <w:i w:val="1"/>
          <w:iCs w:val="1"/>
          <w:color w:val="auto"/>
        </w:rPr>
        <w:t>(Notes due 2030</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i w:val="1"/>
          <w:iCs w:val="1"/>
          <w:color w:val="auto"/>
        </w:rPr>
        <w:t>(Notes due 2030)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i w:val="1"/>
          <w:iCs w:val="1"/>
          <w:color w:val="auto"/>
        </w:rPr>
        <w:t>(Notes due 2050)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i w:val="1"/>
          <w:iCs w:val="1"/>
          <w:color w:val="auto"/>
        </w:rPr>
        <w:t>(Notes due 2050)</w:t>
      </w:r>
    </w:p>
    <w:p>
      <w:pPr>
        <w:sectPr>
          <w:pgSz w:w="11900" w:h="16838" w:orient="portrait"/>
          <w:cols w:equalWidth="0" w:num="4">
            <w:col w:w="4080" w:space="360"/>
            <w:col w:w="1480" w:space="580"/>
            <w:col w:w="1500" w:space="580"/>
            <w:col w:w="2660"/>
          </w:cols>
          <w:pgMar w:left="320" w:top="131" w:right="339" w:bottom="0"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8"/>
          <w:szCs w:val="18"/>
          <w:i w:val="1"/>
          <w:iCs w:val="1"/>
          <w:color w:val="auto"/>
        </w:rPr>
        <w:t>Senior Co-Managers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87"/>
              </w:rPr>
              <w:t>Barclays</w:t>
            </w:r>
          </w:p>
        </w:tc>
        <w:tc>
          <w:tcPr>
            <w:tcW w:w="2180" w:type="dxa"/>
            <w:vAlign w:val="bottom"/>
            <w:gridSpan w:val="2"/>
          </w:tcPr>
          <w:p>
            <w:pPr>
              <w:jc w:val="center"/>
              <w:ind w:left="499"/>
              <w:spacing w:after="0"/>
              <w:rPr>
                <w:sz w:val="20"/>
                <w:szCs w:val="20"/>
                <w:color w:val="auto"/>
              </w:rPr>
            </w:pPr>
            <w:r>
              <w:rPr>
                <w:rFonts w:ascii="Arial" w:cs="Arial" w:eastAsia="Arial" w:hAnsi="Arial"/>
                <w:sz w:val="22"/>
                <w:szCs w:val="22"/>
                <w:b w:val="1"/>
                <w:bCs w:val="1"/>
                <w:color w:val="auto"/>
                <w:w w:val="92"/>
              </w:rPr>
              <w:t>Citigroup</w:t>
            </w:r>
          </w:p>
        </w:tc>
        <w:tc>
          <w:tcPr>
            <w:tcW w:w="2920" w:type="dxa"/>
            <w:vAlign w:val="bottom"/>
            <w:gridSpan w:val="2"/>
          </w:tcPr>
          <w:p>
            <w:pPr>
              <w:jc w:val="center"/>
              <w:ind w:left="422"/>
              <w:spacing w:after="0"/>
              <w:rPr>
                <w:sz w:val="20"/>
                <w:szCs w:val="20"/>
                <w:color w:val="auto"/>
              </w:rPr>
            </w:pPr>
            <w:r>
              <w:rPr>
                <w:rFonts w:ascii="Arial" w:cs="Arial" w:eastAsia="Arial" w:hAnsi="Arial"/>
                <w:sz w:val="22"/>
                <w:szCs w:val="22"/>
                <w:b w:val="1"/>
                <w:bCs w:val="1"/>
                <w:color w:val="auto"/>
                <w:w w:val="90"/>
              </w:rPr>
              <w:t>Fifth Third Securities</w:t>
            </w:r>
          </w:p>
        </w:tc>
        <w:tc>
          <w:tcPr>
            <w:tcW w:w="2220" w:type="dxa"/>
            <w:vAlign w:val="bottom"/>
          </w:tcPr>
          <w:p>
            <w:pPr>
              <w:jc w:val="center"/>
              <w:ind w:left="339"/>
              <w:spacing w:after="0"/>
              <w:rPr>
                <w:sz w:val="20"/>
                <w:szCs w:val="20"/>
                <w:color w:val="auto"/>
              </w:rPr>
            </w:pPr>
            <w:r>
              <w:rPr>
                <w:rFonts w:ascii="Arial" w:cs="Arial" w:eastAsia="Arial" w:hAnsi="Arial"/>
                <w:sz w:val="22"/>
                <w:szCs w:val="22"/>
                <w:b w:val="1"/>
                <w:bCs w:val="1"/>
                <w:color w:val="auto"/>
              </w:rPr>
              <w:t>MUFG</w:t>
            </w:r>
          </w:p>
        </w:tc>
      </w:tr>
      <w:tr>
        <w:trPr>
          <w:trHeight w:val="274"/>
        </w:trPr>
        <w:tc>
          <w:tcPr>
            <w:tcW w:w="1760" w:type="dxa"/>
            <w:vAlign w:val="bottom"/>
          </w:tcPr>
          <w:p>
            <w:pPr>
              <w:jc w:val="center"/>
              <w:spacing w:after="0"/>
              <w:rPr>
                <w:sz w:val="20"/>
                <w:szCs w:val="20"/>
                <w:color w:val="auto"/>
              </w:rPr>
            </w:pPr>
            <w:r>
              <w:rPr>
                <w:rFonts w:ascii="Arial" w:cs="Arial" w:eastAsia="Arial" w:hAnsi="Arial"/>
                <w:sz w:val="22"/>
                <w:szCs w:val="22"/>
                <w:i w:val="1"/>
                <w:iCs w:val="1"/>
                <w:color w:val="auto"/>
                <w:w w:val="87"/>
              </w:rPr>
              <w:t>(Notes due 2050</w:t>
            </w:r>
            <w:r>
              <w:rPr>
                <w:rFonts w:ascii="Arial" w:cs="Arial" w:eastAsia="Arial" w:hAnsi="Arial"/>
                <w:sz w:val="22"/>
                <w:szCs w:val="22"/>
                <w:color w:val="auto"/>
                <w:w w:val="87"/>
              </w:rPr>
              <w:t>)</w:t>
            </w:r>
          </w:p>
        </w:tc>
        <w:tc>
          <w:tcPr>
            <w:tcW w:w="2180" w:type="dxa"/>
            <w:vAlign w:val="bottom"/>
            <w:gridSpan w:val="2"/>
          </w:tcPr>
          <w:p>
            <w:pPr>
              <w:jc w:val="center"/>
              <w:ind w:left="479"/>
              <w:spacing w:after="0"/>
              <w:rPr>
                <w:sz w:val="20"/>
                <w:szCs w:val="20"/>
                <w:color w:val="auto"/>
              </w:rPr>
            </w:pPr>
            <w:r>
              <w:rPr>
                <w:rFonts w:ascii="Arial" w:cs="Arial" w:eastAsia="Arial" w:hAnsi="Arial"/>
                <w:sz w:val="22"/>
                <w:szCs w:val="22"/>
                <w:i w:val="1"/>
                <w:iCs w:val="1"/>
                <w:color w:val="auto"/>
                <w:w w:val="87"/>
              </w:rPr>
              <w:t>(Notes due 2050)</w:t>
            </w:r>
          </w:p>
        </w:tc>
        <w:tc>
          <w:tcPr>
            <w:tcW w:w="2920" w:type="dxa"/>
            <w:vAlign w:val="bottom"/>
            <w:gridSpan w:val="2"/>
          </w:tcPr>
          <w:p>
            <w:pPr>
              <w:jc w:val="center"/>
              <w:ind w:left="442"/>
              <w:spacing w:after="0"/>
              <w:rPr>
                <w:sz w:val="20"/>
                <w:szCs w:val="20"/>
                <w:color w:val="auto"/>
              </w:rPr>
            </w:pPr>
            <w:r>
              <w:rPr>
                <w:rFonts w:ascii="Arial" w:cs="Arial" w:eastAsia="Arial" w:hAnsi="Arial"/>
                <w:sz w:val="22"/>
                <w:szCs w:val="22"/>
                <w:i w:val="1"/>
                <w:iCs w:val="1"/>
                <w:color w:val="auto"/>
                <w:w w:val="88"/>
              </w:rPr>
              <w:t>(Notes due 2030)</w:t>
            </w:r>
          </w:p>
        </w:tc>
        <w:tc>
          <w:tcPr>
            <w:tcW w:w="2220" w:type="dxa"/>
            <w:vAlign w:val="bottom"/>
          </w:tcPr>
          <w:p>
            <w:pPr>
              <w:jc w:val="center"/>
              <w:ind w:left="359"/>
              <w:spacing w:after="0"/>
              <w:rPr>
                <w:sz w:val="20"/>
                <w:szCs w:val="20"/>
                <w:color w:val="auto"/>
              </w:rPr>
            </w:pPr>
            <w:r>
              <w:rPr>
                <w:rFonts w:ascii="Arial" w:cs="Arial" w:eastAsia="Arial" w:hAnsi="Arial"/>
                <w:sz w:val="22"/>
                <w:szCs w:val="22"/>
                <w:i w:val="1"/>
                <w:iCs w:val="1"/>
                <w:color w:val="auto"/>
                <w:w w:val="87"/>
              </w:rPr>
              <w:t>(Notes due 2030)</w:t>
            </w:r>
          </w:p>
        </w:tc>
      </w:tr>
      <w:tr>
        <w:trPr>
          <w:trHeight w:val="420"/>
        </w:trPr>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2"/>
          </w:tcPr>
          <w:p>
            <w:pPr>
              <w:ind w:left="60"/>
              <w:spacing w:after="0"/>
              <w:rPr>
                <w:sz w:val="20"/>
                <w:szCs w:val="20"/>
                <w:color w:val="auto"/>
              </w:rPr>
            </w:pPr>
            <w:r>
              <w:rPr>
                <w:rFonts w:ascii="Arial" w:cs="Arial" w:eastAsia="Arial" w:hAnsi="Arial"/>
                <w:sz w:val="18"/>
                <w:szCs w:val="18"/>
                <w:i w:val="1"/>
                <w:iCs w:val="1"/>
                <w:color w:val="auto"/>
              </w:rPr>
              <w:t>Co-Managers</w:t>
            </w:r>
          </w:p>
        </w:tc>
        <w:tc>
          <w:tcPr>
            <w:tcW w:w="2220" w:type="dxa"/>
            <w:vAlign w:val="bottom"/>
          </w:tcPr>
          <w:p>
            <w:pPr>
              <w:spacing w:after="0"/>
              <w:rPr>
                <w:sz w:val="24"/>
                <w:szCs w:val="24"/>
                <w:color w:val="auto"/>
              </w:rPr>
            </w:pPr>
          </w:p>
        </w:tc>
      </w:tr>
      <w:tr>
        <w:trPr>
          <w:trHeight w:val="432"/>
        </w:trPr>
        <w:tc>
          <w:tcPr>
            <w:tcW w:w="1760" w:type="dxa"/>
            <w:vAlign w:val="bottom"/>
          </w:tcPr>
          <w:p>
            <w:pPr>
              <w:spacing w:after="0"/>
              <w:rPr>
                <w:sz w:val="20"/>
                <w:szCs w:val="20"/>
                <w:color w:val="auto"/>
              </w:rPr>
            </w:pPr>
            <w:r>
              <w:rPr>
                <w:rFonts w:ascii="Arial" w:cs="Arial" w:eastAsia="Arial" w:hAnsi="Arial"/>
                <w:sz w:val="18"/>
                <w:szCs w:val="18"/>
                <w:b w:val="1"/>
                <w:bCs w:val="1"/>
                <w:color w:val="auto"/>
              </w:rPr>
              <w:t>Bank of Ireland</w:t>
            </w:r>
          </w:p>
        </w:tc>
        <w:tc>
          <w:tcPr>
            <w:tcW w:w="2180" w:type="dxa"/>
            <w:vAlign w:val="bottom"/>
            <w:gridSpan w:val="2"/>
          </w:tcPr>
          <w:p>
            <w:pPr>
              <w:ind w:left="160"/>
              <w:spacing w:after="0"/>
              <w:rPr>
                <w:sz w:val="20"/>
                <w:szCs w:val="20"/>
                <w:color w:val="auto"/>
              </w:rPr>
            </w:pPr>
            <w:r>
              <w:rPr>
                <w:rFonts w:ascii="Arial" w:cs="Arial" w:eastAsia="Arial" w:hAnsi="Arial"/>
                <w:sz w:val="18"/>
                <w:szCs w:val="18"/>
                <w:b w:val="1"/>
                <w:bCs w:val="1"/>
                <w:color w:val="auto"/>
                <w:w w:val="96"/>
              </w:rPr>
              <w:t>Citizens Capital Markets</w:t>
            </w:r>
          </w:p>
        </w:tc>
        <w:tc>
          <w:tcPr>
            <w:tcW w:w="2920" w:type="dxa"/>
            <w:vAlign w:val="bottom"/>
            <w:gridSpan w:val="2"/>
          </w:tcPr>
          <w:p>
            <w:pPr>
              <w:ind w:left="520"/>
              <w:spacing w:after="0"/>
              <w:rPr>
                <w:sz w:val="20"/>
                <w:szCs w:val="20"/>
                <w:color w:val="auto"/>
              </w:rPr>
            </w:pPr>
            <w:r>
              <w:rPr>
                <w:rFonts w:ascii="Arial" w:cs="Arial" w:eastAsia="Arial" w:hAnsi="Arial"/>
                <w:sz w:val="18"/>
                <w:szCs w:val="18"/>
                <w:b w:val="1"/>
                <w:bCs w:val="1"/>
                <w:color w:val="auto"/>
              </w:rPr>
              <w:t>Loop Capital Markets</w:t>
            </w:r>
          </w:p>
        </w:tc>
        <w:tc>
          <w:tcPr>
            <w:tcW w:w="2220" w:type="dxa"/>
            <w:vAlign w:val="bottom"/>
          </w:tcPr>
          <w:p>
            <w:pPr>
              <w:ind w:left="180"/>
              <w:spacing w:after="0"/>
              <w:rPr>
                <w:sz w:val="20"/>
                <w:szCs w:val="20"/>
                <w:color w:val="auto"/>
              </w:rPr>
            </w:pPr>
            <w:r>
              <w:rPr>
                <w:rFonts w:ascii="Arial" w:cs="Arial" w:eastAsia="Arial" w:hAnsi="Arial"/>
                <w:sz w:val="18"/>
                <w:szCs w:val="18"/>
                <w:b w:val="1"/>
                <w:bCs w:val="1"/>
                <w:color w:val="auto"/>
                <w:w w:val="93"/>
              </w:rPr>
              <w:t>PNC Capital Markets LLC</w:t>
            </w:r>
          </w:p>
        </w:tc>
      </w:tr>
      <w:tr>
        <w:trPr>
          <w:trHeight w:val="218"/>
        </w:trPr>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220" w:type="dxa"/>
            <w:vAlign w:val="bottom"/>
          </w:tcPr>
          <w:p>
            <w:pPr>
              <w:spacing w:after="0"/>
              <w:rPr>
                <w:sz w:val="18"/>
                <w:szCs w:val="18"/>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100"/>
          </w:cols>
          <w:pgMar w:left="1440" w:top="131" w:right="1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106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640" w:type="dxa"/>
            <w:vAlign w:val="bottom"/>
          </w:tcPr>
          <w:p>
            <w:pPr>
              <w:jc w:val="center"/>
              <w:ind w:left="512"/>
              <w:spacing w:after="0"/>
              <w:rPr>
                <w:sz w:val="20"/>
                <w:szCs w:val="20"/>
                <w:color w:val="auto"/>
              </w:rPr>
            </w:pPr>
            <w:r>
              <w:rPr>
                <w:rFonts w:ascii="Arial" w:cs="Arial" w:eastAsia="Arial" w:hAnsi="Arial"/>
                <w:sz w:val="18"/>
                <w:szCs w:val="18"/>
                <w:b w:val="1"/>
                <w:bCs w:val="1"/>
                <w:color w:val="auto"/>
                <w:w w:val="96"/>
              </w:rPr>
              <w:t>TABLE OF CONTENTS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40" w:type="dxa"/>
            <w:vAlign w:val="bottom"/>
          </w:tcPr>
          <w:p>
            <w:pPr>
              <w:jc w:val="center"/>
              <w:ind w:left="472"/>
              <w:spacing w:after="0"/>
              <w:rPr>
                <w:sz w:val="20"/>
                <w:szCs w:val="20"/>
                <w:color w:val="auto"/>
              </w:rPr>
            </w:pPr>
            <w:r>
              <w:rPr>
                <w:rFonts w:ascii="Arial" w:cs="Arial" w:eastAsia="Arial" w:hAnsi="Arial"/>
                <w:sz w:val="18"/>
                <w:szCs w:val="18"/>
                <w:b w:val="1"/>
                <w:bCs w:val="1"/>
                <w:color w:val="auto"/>
                <w:w w:val="85"/>
              </w:rPr>
              <w:t>Prospectus Supplement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6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 REGARDING TRADEMARKS AND TRADE NAMES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SPECIAL NOTE REGARDING FORWARD-LOOKING STATEMENTS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S-iii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SUMMARY</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S-6</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SELECTED CONSOLIDATED HISTORICAL FINANCIAL DATA</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S-9</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USE OF PROCEEDS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S-10</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CAPITALIZATION</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S-11</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NOTES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S-12</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 FEDERAL INCOME TAX CONSIDERATIONS TO NON-U.S. HOLDERS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S-30</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UNDERWRITING (CONFLICTS OF INTEREST)</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S-33</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MATTERS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S-39</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EXPERTS</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S-40</w:t>
              </w:r>
            </w:hyperlink>
          </w:p>
        </w:tc>
        <w:tc>
          <w:tcPr>
            <w:tcW w:w="0" w:type="dxa"/>
            <w:vAlign w:val="bottom"/>
          </w:tcPr>
          <w:p>
            <w:pPr>
              <w:spacing w:after="0"/>
              <w:rPr>
                <w:sz w:val="1"/>
                <w:szCs w:val="1"/>
                <w:color w:val="auto"/>
              </w:rPr>
            </w:pPr>
          </w:p>
        </w:tc>
      </w:tr>
      <w:tr>
        <w:trPr>
          <w:trHeight w:val="222"/>
        </w:trPr>
        <w:tc>
          <w:tcPr>
            <w:tcW w:w="106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 AND INCORPORATION BY REFERENCE</w:t>
              </w:r>
            </w:hyperlink>
          </w:p>
        </w:tc>
        <w:tc>
          <w:tcPr>
            <w:tcW w:w="600" w:type="dxa"/>
            <w:vAlign w:val="bottom"/>
            <w:gridSpan w:val="2"/>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S-41</w:t>
              </w:r>
            </w:hyperlink>
          </w:p>
        </w:tc>
        <w:tc>
          <w:tcPr>
            <w:tcW w:w="0" w:type="dxa"/>
            <w:vAlign w:val="bottom"/>
          </w:tcPr>
          <w:p>
            <w:pPr>
              <w:spacing w:after="0"/>
              <w:rPr>
                <w:sz w:val="1"/>
                <w:szCs w:val="1"/>
                <w:color w:val="auto"/>
              </w:rPr>
            </w:pPr>
          </w:p>
        </w:tc>
      </w:tr>
      <w:tr>
        <w:trPr>
          <w:trHeight w:val="648"/>
        </w:trPr>
        <w:tc>
          <w:tcPr>
            <w:tcW w:w="10640" w:type="dxa"/>
            <w:vAlign w:val="bottom"/>
          </w:tcPr>
          <w:p>
            <w:pPr>
              <w:jc w:val="center"/>
              <w:ind w:left="472"/>
              <w:spacing w:after="0"/>
              <w:rPr>
                <w:sz w:val="20"/>
                <w:szCs w:val="20"/>
                <w:color w:val="auto"/>
              </w:rPr>
            </w:pPr>
            <w:r>
              <w:rPr>
                <w:rFonts w:ascii="Arial" w:cs="Arial" w:eastAsia="Arial" w:hAnsi="Arial"/>
                <w:sz w:val="18"/>
                <w:szCs w:val="18"/>
                <w:b w:val="1"/>
                <w:bCs w:val="1"/>
                <w:color w:val="auto"/>
                <w:w w:val="81"/>
              </w:rPr>
              <w:t>Prospectus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0640" w:type="dxa"/>
            <w:vAlign w:val="bottom"/>
            <w:vMerge w:val="restart"/>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ABOUT THIS PROSPECTUS</w:t>
              </w:r>
            </w:hyperlink>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10640" w:type="dxa"/>
            <w:vAlign w:val="bottom"/>
            <w:vMerge w:val="continue"/>
          </w:tcPr>
          <w:p>
            <w:pPr>
              <w:spacing w:after="0"/>
              <w:rPr>
                <w:sz w:val="17"/>
                <w:szCs w:val="17"/>
                <w:color w:val="auto"/>
              </w:rPr>
            </w:pPr>
          </w:p>
        </w:tc>
        <w:tc>
          <w:tcPr>
            <w:tcW w:w="44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CAUTIONARY STATEMENT REGARDING FORWARD-LOOKING STATEMENTS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NOTE REGARDING TRADEMARKS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SUMMARY</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RISK FACTORS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USE OF PROCEEDS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SECURITIES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CAPITAL STOCK</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DESCRIPTION OF DEBT SECURITIES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WARRANTS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PLAN OF DISTRIBUTION</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LEGAL MATTERS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EXPERTS</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22"/>
        </w:trPr>
        <w:tc>
          <w:tcPr>
            <w:tcW w:w="1064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WHERE YOU CAN FIND MORE INFORMATION</w:t>
              </w:r>
            </w:hyperlink>
          </w:p>
        </w:tc>
        <w:tc>
          <w:tcPr>
            <w:tcW w:w="600" w:type="dxa"/>
            <w:vAlign w:val="bottom"/>
            <w:gridSpan w:val="2"/>
          </w:tcPr>
          <w:p>
            <w:pPr>
              <w:jc w:val="right"/>
              <w:ind w:right="1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not, and the underwriters have not, authorized anyone to provide you with any information other than that contained in or incorporated by reference into this prospectus supplement, the accompanying prospectus, or any free writing prospectus we file in connection with this offering. We take no responsibility for, and can provide no assurance as to the reliability of, any other information that others may give you. We are not, and the underwriters are not, making an offer of these securities in any jurisdiction where the offer or sale is not permitted. The information contained in this prospectus supplement, the accompanying prospectus, or any free writing prospectus is current only as of the respective dates of such documents. Our business, financial condition, results of operations, and prospects may have changed since those dates.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This document is in two parts. The first part is this prospectus supplement, which contains specific information about the terms of this offering. The second part is the accompanying prospectus dated November 13, 2018, which provides more general information about us and securities we may offer from time to time, some of which may not apply to this offering of the notes.</w:t>
      </w:r>
    </w:p>
    <w:p>
      <w:pPr>
        <w:spacing w:after="0" w:line="19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 using a "shelf" registration process. In this prospectus supplement, we provide you with specific information about the notes that we are selling in this offering. Both this prospectus supplement and the accompanying prospectus include important information you should know before investing. This prospectus supplement also adds to, updates, and changes information contained in the accompanying prospectus. Before investing in the notes, you should read both this prospectus supplement and the accompanying prospectus as well as additional information described under "Where You Can Find More Information and Incorporation By Reference" beginning on page S-41 of this prospectus supplement and any free writing prospectus we file with the SEC relating to this offering. Generally, when we refer to the prospectus, we are referring to both parts of this document combined together with additional information described under "Where You Can Find More Information and Incorporation By Reference" on page S-41.</w:t>
      </w:r>
    </w:p>
    <w:p>
      <w:pPr>
        <w:spacing w:after="0" w:line="178"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When used in this prospectus supplement, the terms "Regeneron," "Company," "we," "our," and "us" refer to Regeneron Pharmaceuticals, Inc. and its subsidiaries, unless otherwise specified, including under the caption "Description of Notes," or required by context.</w:t>
      </w:r>
    </w:p>
    <w:p>
      <w:pPr>
        <w:spacing w:after="0" w:line="14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the information varies between this prospectus supplement and the accompanying prospectus, the information in this prospectus supplement supersedes the information in the accompanying prospectus. If the information varies between this prospectus supplement and a document we have incorporated by reference, you should rely on the information in the more recent document.</w:t>
      </w:r>
    </w:p>
    <w:p>
      <w:pPr>
        <w:spacing w:after="0" w:line="194" w:lineRule="exact"/>
        <w:rPr>
          <w:sz w:val="20"/>
          <w:szCs w:val="20"/>
          <w:color w:val="auto"/>
        </w:rPr>
      </w:pPr>
    </w:p>
    <w:p>
      <w:pPr>
        <w:ind w:firstLine="344"/>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advisors for legal, tax, business, financial, and related advice regarding the purchase of any of the notes offered by this prospectus supplement.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TRADEMARKS AND TRADE NAMES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"ARCALYST®," "EYLEA®," "Libtayo®" (in the United States), "Praluent®" (in the United States), "Regeneron®," "Regeneron Genetics Center®," "</w:t>
      </w:r>
      <w:r>
        <w:rPr>
          <w:rFonts w:ascii="Arial" w:cs="Arial" w:eastAsia="Arial" w:hAnsi="Arial"/>
          <w:sz w:val="18"/>
          <w:szCs w:val="18"/>
          <w:i w:val="1"/>
          <w:iCs w:val="1"/>
          <w:color w:val="auto"/>
        </w:rPr>
        <w:t>Veloci-Bi</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18"/>
          <w:szCs w:val="18"/>
          <w:color w:val="auto"/>
        </w:rPr>
        <w:t>™," and "ZALTRAP®" are trademarks of Regeneron Pharmaceuticals, Inc. Trademarks and trade names of other companies appearing in this prospectus supplement are, to the knowledge of Regeneron Pharmaceuticals, Inc., the property of their respective owners.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ind w:firstLine="348"/>
        <w:spacing w:after="0" w:line="303" w:lineRule="auto"/>
        <w:rPr>
          <w:sz w:val="20"/>
          <w:szCs w:val="20"/>
          <w:color w:val="auto"/>
        </w:rPr>
      </w:pPr>
      <w:r>
        <w:rPr>
          <w:rFonts w:ascii="Arial" w:cs="Arial" w:eastAsia="Arial" w:hAnsi="Arial"/>
          <w:sz w:val="15"/>
          <w:szCs w:val="15"/>
          <w:color w:val="auto"/>
        </w:rPr>
        <w:t>This prospectus supplement and the accompanying prospectus, including the documents incorporated by reference herein and therein, and other statements that Regeneron may make, contain forward-looking statements with respect to Regeneron's future financial or business performance, strategies, or expectations, and actual events or results may differ materially from these forward-looking statements. Words such as "anticipate," "expect," "intend," "plan," "believe,"</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"seek," "estimate," variations of such words, and similar expressions are intended to identify such forward-looking statements, although not all forward-looking statements contain these identifying words.</w:t>
      </w:r>
    </w:p>
    <w:p>
      <w:pPr>
        <w:spacing w:after="0" w:line="193"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our product candidates and research and clinical programs now underway or planned, including without limitation EYLEA® (aflibercept) Injection, Dupixent® (dupilumab) Injection, Libtayo® (cemiplimab) Injection, Praluent® (alirocumab) Injection, Kevzara® (sarilumab) Injection, fasinumab, evinacumab, REGN-EB3, garetosmab, pozelimab, REGN-COV2, Regeneron's oncology programs (including its costimulatory bispecific portfolio), Regeneron's earlier-stage programs, and the use of human genetics in Regeneron's research programs; the likelihood and timing of achieving any of our anticipated development milestones; safety issues resulting from the administration of Regeneron's Products and product candidates in patients, including serious complications or side effects in connection with the use of Regeneron's Products and product candidates in clinical trials; the likelihood, timing, and scope of possible regulatory approval and commercial launch of our product candidates and new indications for Regeneron's Products, including without limitation EYLEA, Dupixent, Libtayo, Praluent, Kevzara, fasinumab, evinacumab, REGN-EB3, garetosmab, pozelimab, REGN-COV2, and REGN1979;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product candidates; competing drugs and product candidates that may be superior to, or more cost effective than,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EYLEA, Dupixent, and Praluent described further in the notes to our financial statements incorporated by reference into this prospectus supplement), other litigation and other proceedings and government investigations relating to the Company and/or its operations (including, without limitation, those described in the notes to our financial statements incorporated by reference into this prospectus supplement), the ultimate outcome of any such proceedings and investigations, and the impact any of the foregoing may have on our business, prospects, operating results, and financial condition.</w:t>
      </w:r>
    </w:p>
    <w:p>
      <w:pPr>
        <w:spacing w:after="0" w:line="174"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You are cautioned not to rely on any such statements. In evaluating such statements, shareholders and potential investors should specifically consider the various factors described in the "Risk Factors" on page S-6 of this prospectus supplement and in our documents filed with the SEC,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4830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83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60" w:firstLine="348"/>
        <w:spacing w:after="0" w:line="256" w:lineRule="auto"/>
        <w:rPr>
          <w:sz w:val="20"/>
          <w:szCs w:val="20"/>
          <w:color w:val="auto"/>
        </w:rPr>
      </w:pPr>
      <w:r>
        <w:rPr>
          <w:rFonts w:ascii="Arial" w:cs="Arial" w:eastAsia="Arial" w:hAnsi="Arial"/>
          <w:sz w:val="18"/>
          <w:szCs w:val="18"/>
          <w:color w:val="auto"/>
        </w:rPr>
        <w:t>The following summary is qualified in its entirety by the more detailed information included elsewhere or incorporated by reference into this prospectus supplement or the accompanying prospectus. Because this is a summary, it may not contain all the information that is important to you. You should read this entire prospectus supplement and the accompanying prospectus, including the information incorporated by reference herein and therein, before making an investment decision.</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240" w:right="20" w:firstLine="351"/>
        <w:spacing w:after="0" w:line="306"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160" w:lineRule="exact"/>
        <w:rPr>
          <w:sz w:val="20"/>
          <w:szCs w:val="20"/>
          <w:color w:val="auto"/>
        </w:rPr>
      </w:pPr>
    </w:p>
    <w:p>
      <w:pPr>
        <w:jc w:val="both"/>
        <w:ind w:left="240" w:right="180" w:firstLine="351"/>
        <w:spacing w:after="0" w:line="306"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60"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 xml:space="preserve">We currently have seven products that have received marketing approval, which are currently marketed by us, Bayer, and/or Sanofi: EYLEA® (aflibercept) Injection, Dupixent® (dupilumab) Injection, Libtayo® (cemiplimab) Injection, Praluent® (alirocumab) Injection, Kevzara® (sarilumab) Solution for Subcutaneous Injection, ARCALYST® (rilonacept) Injection for Subcutaneous Use, and ZALTRAP® (ziv-aflibercept) Injection for Intravenous Infusion. All 23 of our product candidates in clinical development, including the five U.S. Food and Drug Administration ("FDA") approved products that we are investigating in additional indications, were discovered in our research laboratories. 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technology platforms. We continue to invest in the development of enabling technologies to assist in our efforts to identify, develop, manufacture, and commercialize new product candidates. Our preclinical research programs include the areas of oncology/immuno-oncology, angiogenesis, ophthalmology, metabolic and related diseases, muscle diseases and disorders, inflammation and immune diseases, bone and cartilage, pain and neurobiology, cardiovascular diseases, infectious diseases, and diseases related to aging.</w:t>
      </w:r>
    </w:p>
    <w:p>
      <w:pPr>
        <w:spacing w:after="0" w:line="173" w:lineRule="exact"/>
        <w:rPr>
          <w:sz w:val="20"/>
          <w:szCs w:val="20"/>
          <w:color w:val="auto"/>
        </w:rPr>
      </w:pPr>
    </w:p>
    <w:p>
      <w:pPr>
        <w:jc w:val="both"/>
        <w:ind w:left="240" w:right="20" w:firstLine="351"/>
        <w:spacing w:after="0" w:line="306" w:lineRule="auto"/>
        <w:rPr>
          <w:sz w:val="20"/>
          <w:szCs w:val="20"/>
          <w:color w:val="auto"/>
        </w:rPr>
      </w:pPr>
      <w:r>
        <w:rPr>
          <w:rFonts w:ascii="Arial" w:cs="Arial" w:eastAsia="Arial" w:hAnsi="Arial"/>
          <w:sz w:val="16"/>
          <w:szCs w:val="16"/>
          <w:color w:val="auto"/>
        </w:rPr>
        <w:t>Our principal executive offices are located at 777 Old Saw Mill River Road, Tarrytown, New York 10591, and our telephone number at that address is (914) 847-7000. Our website address is www.regeneron.com. The information on, or accessible through, our website is not part of this prospectus and should not be relied upon in connection with making any investment decision with respect to the securities offered by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613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260" w:firstLine="348"/>
        <w:spacing w:after="0" w:line="254" w:lineRule="auto"/>
        <w:rPr>
          <w:sz w:val="20"/>
          <w:szCs w:val="20"/>
          <w:color w:val="auto"/>
        </w:rPr>
      </w:pPr>
      <w:r>
        <w:rPr>
          <w:rFonts w:ascii="Arial" w:cs="Arial" w:eastAsia="Arial" w:hAnsi="Arial"/>
          <w:sz w:val="18"/>
          <w:szCs w:val="18"/>
          <w:color w:val="auto"/>
        </w:rPr>
        <w:t>The following is a brief summary of the terms of the offering. Important details, limitations, and exceptions related to the terms of the notes are described in more detail under the caption "Description of Notes." In the summarized descriptions of the terms of the notes, "we" refers only to Regeneron Pharmaceuticals, Inc. and not its subsidiaries. To understand all of the terms of the notes and the terms and conditions of this offering, you should carefully read this entire prospectus supplement, as well as the accompanying prospectus and the documents incorporated by reference herein and therein.</w:t>
      </w:r>
    </w:p>
    <w:p>
      <w:pPr>
        <w:sectPr>
          <w:pgSz w:w="11900" w:h="16838" w:orient="portrait"/>
          <w:cols w:equalWidth="0" w:num="1">
            <w:col w:w="11240"/>
          </w:cols>
          <w:pgMar w:left="320" w:top="131" w:right="339" w:bottom="1440" w:gutter="0" w:footer="0" w:header="0"/>
        </w:sectPr>
      </w:pPr>
    </w:p>
    <w:p>
      <w:pPr>
        <w:spacing w:after="0" w:line="195"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200" w:lineRule="exact"/>
        <w:rPr>
          <w:sz w:val="20"/>
          <w:szCs w:val="20"/>
          <w:color w:val="auto"/>
        </w:rPr>
      </w:pPr>
    </w:p>
    <w:p>
      <w:pPr>
        <w:sectPr>
          <w:pgSz w:w="11900" w:h="16838" w:orient="portrait"/>
          <w:cols w:equalWidth="0" w:num="2">
            <w:col w:w="2620" w:space="720"/>
            <w:col w:w="7900"/>
          </w:cols>
          <w:pgMar w:left="320" w:top="131" w:right="339" w:bottom="1440" w:gutter="0" w:footer="0" w:header="0"/>
          <w:type w:val="continuous"/>
        </w:sectPr>
      </w:pPr>
    </w:p>
    <w:p>
      <w:pPr>
        <w:spacing w:after="0" w:line="54"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Notes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$1,250,000,000 aggregate principal amount of 1.750% Senior Notes due 2030.</w:t>
      </w:r>
    </w:p>
    <w:p>
      <w:pPr>
        <w:spacing w:after="0" w:line="200" w:lineRule="exact"/>
        <w:rPr>
          <w:sz w:val="20"/>
          <w:szCs w:val="20"/>
          <w:color w:val="auto"/>
        </w:rPr>
      </w:pPr>
    </w:p>
    <w:p>
      <w:pPr>
        <w:sectPr>
          <w:pgSz w:w="11900" w:h="16838" w:orient="portrait"/>
          <w:cols w:equalWidth="0" w:num="2">
            <w:col w:w="2620" w:space="720"/>
            <w:col w:w="7900"/>
          </w:cols>
          <w:pgMar w:left="320" w:top="131" w:right="339" w:bottom="1440" w:gutter="0" w:footer="0" w:header="0"/>
          <w:type w:val="continuous"/>
        </w:sectPr>
      </w:pPr>
    </w:p>
    <w:p>
      <w:pPr>
        <w:spacing w:after="0" w:line="60"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$750,000,000 aggregate principal amount of 2.800% Senior Notes due 2050.</w:t>
      </w:r>
    </w:p>
    <w:p>
      <w:pPr>
        <w:sectPr>
          <w:pgSz w:w="11900" w:h="16838" w:orient="portrait"/>
          <w:cols w:equalWidth="0" w:num="1">
            <w:col w:w="11240"/>
          </w:cols>
          <w:pgMar w:left="320" w:top="131" w:right="339" w:bottom="1440" w:gutter="0" w:footer="0" w:header="0"/>
          <w:type w:val="continuous"/>
        </w:sectPr>
      </w:pPr>
    </w:p>
    <w:p>
      <w:pPr>
        <w:spacing w:after="0" w:line="25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Original Issue Date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August 12, 2020.</w:t>
      </w:r>
    </w:p>
    <w:p>
      <w:pPr>
        <w:spacing w:after="0" w:line="200" w:lineRule="exact"/>
        <w:rPr>
          <w:sz w:val="20"/>
          <w:szCs w:val="20"/>
          <w:color w:val="auto"/>
        </w:rPr>
      </w:pPr>
    </w:p>
    <w:p>
      <w:pPr>
        <w:sectPr>
          <w:pgSz w:w="11900" w:h="16838" w:orient="portrait"/>
          <w:cols w:equalWidth="0" w:num="2">
            <w:col w:w="2620" w:space="720"/>
            <w:col w:w="7900"/>
          </w:cols>
          <w:pgMar w:left="320" w:top="131" w:right="339" w:bottom="1440" w:gutter="0" w:footer="0" w:header="0"/>
          <w:type w:val="continuous"/>
        </w:sectPr>
      </w:pPr>
    </w:p>
    <w:p>
      <w:pPr>
        <w:spacing w:after="0" w:line="42"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Maturity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2030 notes: September 15, 2030.</w:t>
      </w:r>
    </w:p>
    <w:p>
      <w:pPr>
        <w:spacing w:after="0" w:line="205" w:lineRule="exact"/>
        <w:rPr>
          <w:sz w:val="20"/>
          <w:szCs w:val="20"/>
          <w:color w:val="auto"/>
        </w:rPr>
      </w:pPr>
    </w:p>
    <w:p>
      <w:pPr>
        <w:sectPr>
          <w:pgSz w:w="11900" w:h="16838" w:orient="portrait"/>
          <w:cols w:equalWidth="0" w:num="2">
            <w:col w:w="2620" w:space="720"/>
            <w:col w:w="7900"/>
          </w:cols>
          <w:pgMar w:left="320" w:top="131" w:right="339" w:bottom="1440" w:gutter="0" w:footer="0" w:header="0"/>
          <w:type w:val="continuous"/>
        </w:sectPr>
      </w:pPr>
    </w:p>
    <w:p>
      <w:pPr>
        <w:spacing w:after="0" w:line="54"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2050 notes: September 15, 2050.</w:t>
      </w:r>
    </w:p>
    <w:p>
      <w:pPr>
        <w:sectPr>
          <w:pgSz w:w="11900" w:h="16838" w:orient="portrait"/>
          <w:cols w:equalWidth="0" w:num="1">
            <w:col w:w="11240"/>
          </w:cols>
          <w:pgMar w:left="320" w:top="131" w:right="339" w:bottom="1440" w:gutter="0" w:footer="0" w:header="0"/>
          <w:type w:val="continuous"/>
        </w:sectPr>
      </w:pPr>
    </w:p>
    <w:p>
      <w:pPr>
        <w:spacing w:after="0" w:line="254"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Interest Rates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1.750% per annum for the 2030 notes.</w:t>
      </w:r>
    </w:p>
    <w:p>
      <w:pPr>
        <w:spacing w:after="0" w:line="200" w:lineRule="exact"/>
        <w:rPr>
          <w:sz w:val="20"/>
          <w:szCs w:val="20"/>
          <w:color w:val="auto"/>
        </w:rPr>
      </w:pPr>
    </w:p>
    <w:p>
      <w:pPr>
        <w:sectPr>
          <w:pgSz w:w="11900" w:h="16838" w:orient="portrait"/>
          <w:cols w:equalWidth="0" w:num="2">
            <w:col w:w="2620" w:space="720"/>
            <w:col w:w="7900"/>
          </w:cols>
          <w:pgMar w:left="320" w:top="131" w:right="339" w:bottom="1440" w:gutter="0" w:footer="0" w:header="0"/>
          <w:type w:val="continuous"/>
        </w:sectPr>
      </w:pPr>
    </w:p>
    <w:p>
      <w:pPr>
        <w:spacing w:after="0" w:line="60"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2.800% per annum for the 2050 notes.</w:t>
      </w:r>
    </w:p>
    <w:p>
      <w:pPr>
        <w:sectPr>
          <w:pgSz w:w="11900" w:h="16838" w:orient="portrait"/>
          <w:cols w:equalWidth="0" w:num="1">
            <w:col w:w="11240"/>
          </w:cols>
          <w:pgMar w:left="320" w:top="131" w:right="339" w:bottom="1440" w:gutter="0" w:footer="0" w:header="0"/>
          <w:type w:val="continuous"/>
        </w:sectPr>
      </w:pPr>
    </w:p>
    <w:p>
      <w:pPr>
        <w:spacing w:after="0" w:line="254"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Interest Payment Dates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Interest on the notes will accrue from August 12, 2020, and is payable semi-annually in arrears on March 15 and September 15 of each year, beginning March 15, 2021.</w:t>
      </w:r>
    </w:p>
    <w:p>
      <w:pPr>
        <w:spacing w:after="0" w:line="180" w:lineRule="exact"/>
        <w:rPr>
          <w:sz w:val="20"/>
          <w:szCs w:val="20"/>
          <w:color w:val="auto"/>
        </w:rPr>
      </w:pPr>
    </w:p>
    <w:p>
      <w:pPr>
        <w:sectPr>
          <w:pgSz w:w="11900" w:h="16838" w:orient="portrait"/>
          <w:cols w:equalWidth="0" w:num="2">
            <w:col w:w="2620" w:space="720"/>
            <w:col w:w="7900"/>
          </w:cols>
          <w:pgMar w:left="320" w:top="131" w:right="339" w:bottom="1440" w:gutter="0" w:footer="0" w:header="0"/>
          <w:type w:val="continuous"/>
        </w:sectPr>
      </w:pPr>
    </w:p>
    <w:p>
      <w:pPr>
        <w:ind w:left="240"/>
        <w:spacing w:after="0"/>
        <w:rPr>
          <w:sz w:val="20"/>
          <w:szCs w:val="20"/>
          <w:color w:val="auto"/>
        </w:rPr>
      </w:pPr>
      <w:r>
        <w:rPr>
          <w:rFonts w:ascii="Arial" w:cs="Arial" w:eastAsia="Arial" w:hAnsi="Arial"/>
          <w:sz w:val="16"/>
          <w:szCs w:val="16"/>
          <w:b w:val="1"/>
          <w:bCs w:val="1"/>
          <w:color w:val="auto"/>
        </w:rPr>
        <w:t>Optional Redemption</w:t>
      </w:r>
    </w:p>
    <w:p>
      <w:pPr>
        <w:spacing w:after="0" w:line="20" w:lineRule="exact"/>
        <w:rPr>
          <w:sz w:val="20"/>
          <w:szCs w:val="20"/>
          <w:color w:val="auto"/>
        </w:rPr>
      </w:pPr>
      <w:r>
        <w:rPr>
          <w:sz w:val="20"/>
          <w:szCs w:val="20"/>
          <w:color w:val="auto"/>
        </w:rPr>
        <w:br w:type="column"/>
      </w:r>
    </w:p>
    <w:p>
      <w:pPr>
        <w:ind w:right="300"/>
        <w:spacing w:after="0" w:line="294" w:lineRule="auto"/>
        <w:rPr>
          <w:sz w:val="20"/>
          <w:szCs w:val="20"/>
          <w:color w:val="auto"/>
        </w:rPr>
      </w:pPr>
      <w:r>
        <w:rPr>
          <w:rFonts w:ascii="Arial" w:cs="Arial" w:eastAsia="Arial" w:hAnsi="Arial"/>
          <w:sz w:val="16"/>
          <w:szCs w:val="16"/>
          <w:color w:val="auto"/>
        </w:rPr>
        <w:t>We may redeem some or all of the notes of either series, at any time prior to the applicable Par Call Date (as defined under the caption "Description of Notes" in this prospectus supplement), at the applicable redemption prices described in this prospectus supplement. From and after the Par Call Date, we may redeem the applicable notes at 100% of the principal amount of the notes to be redeemed plus accrued interest. See "Description of Notes—Optional Redemption."</w:t>
      </w:r>
    </w:p>
    <w:p>
      <w:pPr>
        <w:spacing w:after="0" w:line="163" w:lineRule="exact"/>
        <w:rPr>
          <w:sz w:val="20"/>
          <w:szCs w:val="20"/>
          <w:color w:val="auto"/>
        </w:rPr>
      </w:pPr>
    </w:p>
    <w:p>
      <w:pPr>
        <w:sectPr>
          <w:pgSz w:w="11900" w:h="16838" w:orient="portrait"/>
          <w:cols w:equalWidth="0" w:num="2">
            <w:col w:w="2620" w:space="720"/>
            <w:col w:w="7900"/>
          </w:cols>
          <w:pgMar w:left="320" w:top="131" w:right="339" w:bottom="1440" w:gutter="0" w:footer="0" w:header="0"/>
          <w:type w:val="continuous"/>
        </w:sectPr>
      </w:pPr>
    </w:p>
    <w:p>
      <w:pPr>
        <w:ind w:left="240"/>
        <w:spacing w:after="0"/>
        <w:tabs>
          <w:tab w:leader="none" w:pos="3320" w:val="left"/>
        </w:tabs>
        <w:rPr>
          <w:sz w:val="20"/>
          <w:szCs w:val="20"/>
          <w:color w:val="auto"/>
        </w:rPr>
      </w:pPr>
      <w:r>
        <w:rPr>
          <w:rFonts w:ascii="Arial" w:cs="Arial" w:eastAsia="Arial" w:hAnsi="Arial"/>
          <w:sz w:val="18"/>
          <w:szCs w:val="18"/>
          <w:b w:val="1"/>
          <w:bCs w:val="1"/>
          <w:color w:val="auto"/>
        </w:rPr>
        <w:t>Repurchase Upon a Change of Control</w:t>
      </w:r>
      <w:r>
        <w:rPr>
          <w:sz w:val="20"/>
          <w:szCs w:val="20"/>
          <w:color w:val="auto"/>
        </w:rPr>
        <w:tab/>
      </w:r>
      <w:r>
        <w:rPr>
          <w:rFonts w:ascii="Arial" w:cs="Arial" w:eastAsia="Arial" w:hAnsi="Arial"/>
          <w:sz w:val="16"/>
          <w:szCs w:val="16"/>
          <w:color w:val="auto"/>
        </w:rPr>
        <w:t>Upon the occurrence of a Change of Control Triggering Event (as defined under the caption "Description of</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w w:val="91"/>
              </w:rPr>
              <w:t>Notes" in this prospectus supplement), unless we have exercised our option to redeem the notes, we will be</w:t>
            </w:r>
          </w:p>
        </w:tc>
      </w:tr>
      <w:tr>
        <w:trPr>
          <w:trHeight w:val="216"/>
        </w:trPr>
        <w:tc>
          <w:tcPr>
            <w:tcW w:w="2200" w:type="dxa"/>
            <w:vAlign w:val="bottom"/>
          </w:tcPr>
          <w:p>
            <w:pPr>
              <w:spacing w:after="0"/>
              <w:rPr>
                <w:sz w:val="18"/>
                <w:szCs w:val="18"/>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w w:val="96"/>
              </w:rPr>
              <w:t>required to make an offer to purchase the notes at a price equal to 101% of their principal amount, plus</w:t>
            </w:r>
          </w:p>
        </w:tc>
      </w:tr>
      <w:tr>
        <w:trPr>
          <w:trHeight w:val="222"/>
        </w:trPr>
        <w:tc>
          <w:tcPr>
            <w:tcW w:w="2200" w:type="dxa"/>
            <w:vAlign w:val="bottom"/>
          </w:tcPr>
          <w:p>
            <w:pPr>
              <w:spacing w:after="0"/>
              <w:rPr>
                <w:sz w:val="19"/>
                <w:szCs w:val="19"/>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w w:val="96"/>
              </w:rPr>
              <w:t>accrued and unpaid interest to the date of repurchase. See "Description of Notes—Change of Control."</w:t>
            </w:r>
          </w:p>
        </w:tc>
      </w:tr>
      <w:tr>
        <w:trPr>
          <w:trHeight w:val="426"/>
        </w:trPr>
        <w:tc>
          <w:tcPr>
            <w:tcW w:w="2200" w:type="dxa"/>
            <w:vAlign w:val="bottom"/>
          </w:tcPr>
          <w:p>
            <w:pPr>
              <w:ind w:left="240"/>
              <w:spacing w:after="0"/>
              <w:rPr>
                <w:sz w:val="20"/>
                <w:szCs w:val="20"/>
                <w:color w:val="auto"/>
              </w:rPr>
            </w:pPr>
            <w:r>
              <w:rPr>
                <w:rFonts w:ascii="Arial" w:cs="Arial" w:eastAsia="Arial" w:hAnsi="Arial"/>
                <w:sz w:val="18"/>
                <w:szCs w:val="18"/>
                <w:b w:val="1"/>
                <w:bCs w:val="1"/>
                <w:color w:val="auto"/>
              </w:rPr>
              <w:t>Covenants</w:t>
            </w:r>
          </w:p>
        </w:tc>
        <w:tc>
          <w:tcPr>
            <w:tcW w:w="9040" w:type="dxa"/>
            <w:vAlign w:val="bottom"/>
          </w:tcPr>
          <w:p>
            <w:pPr>
              <w:ind w:left="1140"/>
              <w:spacing w:after="0"/>
              <w:rPr>
                <w:sz w:val="20"/>
                <w:szCs w:val="20"/>
                <w:color w:val="auto"/>
              </w:rPr>
            </w:pPr>
            <w:r>
              <w:rPr>
                <w:rFonts w:ascii="Arial" w:cs="Arial" w:eastAsia="Arial" w:hAnsi="Arial"/>
                <w:sz w:val="18"/>
                <w:szCs w:val="18"/>
                <w:color w:val="auto"/>
                <w:w w:val="93"/>
              </w:rPr>
              <w:t>The indenture governing the notes will contain covenants that, among other things, will limit our ability and</w:t>
            </w:r>
          </w:p>
        </w:tc>
      </w:tr>
      <w:tr>
        <w:trPr>
          <w:trHeight w:val="222"/>
        </w:trPr>
        <w:tc>
          <w:tcPr>
            <w:tcW w:w="2200" w:type="dxa"/>
            <w:vAlign w:val="bottom"/>
          </w:tcPr>
          <w:p>
            <w:pPr>
              <w:spacing w:after="0"/>
              <w:rPr>
                <w:sz w:val="19"/>
                <w:szCs w:val="19"/>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rPr>
              <w:t>the ability of our subsidiaries to:</w:t>
            </w:r>
          </w:p>
        </w:tc>
      </w:tr>
      <w:tr>
        <w:trPr>
          <w:trHeight w:val="426"/>
        </w:trPr>
        <w:tc>
          <w:tcPr>
            <w:tcW w:w="2200" w:type="dxa"/>
            <w:vAlign w:val="bottom"/>
          </w:tcPr>
          <w:p>
            <w:pPr>
              <w:spacing w:after="0"/>
              <w:rPr>
                <w:sz w:val="24"/>
                <w:szCs w:val="24"/>
                <w:color w:val="auto"/>
              </w:rPr>
            </w:pPr>
          </w:p>
        </w:tc>
        <w:tc>
          <w:tcPr>
            <w:tcW w:w="9040" w:type="dxa"/>
            <w:vAlign w:val="bottom"/>
          </w:tcPr>
          <w:p>
            <w:pPr>
              <w:ind w:left="1140"/>
              <w:spacing w:after="0"/>
              <w:rPr>
                <w:sz w:val="20"/>
                <w:szCs w:val="20"/>
                <w:color w:val="auto"/>
              </w:rPr>
            </w:pPr>
            <w:r>
              <w:rPr>
                <w:rFonts w:ascii="Arial" w:cs="Arial" w:eastAsia="Arial" w:hAnsi="Arial"/>
                <w:sz w:val="18"/>
                <w:szCs w:val="18"/>
                <w:color w:val="auto"/>
                <w:w w:val="91"/>
              </w:rPr>
              <w:t>•  issue, assume, or guarantee debt secured by Principal Property (as defined under the caption "Description</w:t>
            </w:r>
          </w:p>
        </w:tc>
      </w:tr>
      <w:tr>
        <w:trPr>
          <w:trHeight w:val="222"/>
        </w:trPr>
        <w:tc>
          <w:tcPr>
            <w:tcW w:w="2200" w:type="dxa"/>
            <w:vAlign w:val="bottom"/>
          </w:tcPr>
          <w:p>
            <w:pPr>
              <w:spacing w:after="0"/>
              <w:rPr>
                <w:sz w:val="19"/>
                <w:szCs w:val="19"/>
                <w:color w:val="auto"/>
              </w:rPr>
            </w:pPr>
          </w:p>
        </w:tc>
        <w:tc>
          <w:tcPr>
            <w:tcW w:w="9040" w:type="dxa"/>
            <w:vAlign w:val="bottom"/>
          </w:tcPr>
          <w:p>
            <w:pPr>
              <w:ind w:left="1320"/>
              <w:spacing w:after="0"/>
              <w:rPr>
                <w:sz w:val="20"/>
                <w:szCs w:val="20"/>
                <w:color w:val="auto"/>
              </w:rPr>
            </w:pPr>
            <w:r>
              <w:rPr>
                <w:rFonts w:ascii="Arial" w:cs="Arial" w:eastAsia="Arial" w:hAnsi="Arial"/>
                <w:sz w:val="18"/>
                <w:szCs w:val="18"/>
                <w:color w:val="auto"/>
              </w:rPr>
              <w:t>of Notes" in this prospectus supplement);</w:t>
            </w:r>
          </w:p>
        </w:tc>
      </w:tr>
      <w:tr>
        <w:trPr>
          <w:trHeight w:val="444"/>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r>
        <w:trPr>
          <w:trHeight w:val="427"/>
        </w:trPr>
        <w:tc>
          <w:tcPr>
            <w:tcW w:w="2200" w:type="dxa"/>
            <w:vAlign w:val="bottom"/>
          </w:tcPr>
          <w:p>
            <w:pPr>
              <w:spacing w:after="0"/>
              <w:rPr>
                <w:sz w:val="24"/>
                <w:szCs w:val="24"/>
                <w:color w:val="auto"/>
              </w:rPr>
            </w:pPr>
          </w:p>
        </w:tc>
        <w:tc>
          <w:tcPr>
            <w:tcW w:w="9040" w:type="dxa"/>
            <w:vAlign w:val="bottom"/>
          </w:tcPr>
          <w:p>
            <w:pPr>
              <w:ind w:left="3300"/>
              <w:spacing w:after="0"/>
              <w:rPr>
                <w:sz w:val="20"/>
                <w:szCs w:val="20"/>
                <w:color w:val="auto"/>
              </w:rPr>
            </w:pPr>
            <w:r>
              <w:rPr>
                <w:rFonts w:ascii="Arial" w:cs="Arial" w:eastAsia="Arial" w:hAnsi="Arial"/>
                <w:sz w:val="18"/>
                <w:szCs w:val="18"/>
                <w:color w:val="auto"/>
              </w:rPr>
              <w:t>S-2</w:t>
            </w:r>
          </w:p>
        </w:tc>
      </w:tr>
      <w:tr>
        <w:trPr>
          <w:trHeight w:val="228"/>
        </w:trPr>
        <w:tc>
          <w:tcPr>
            <w:tcW w:w="2200" w:type="dxa"/>
            <w:vAlign w:val="bottom"/>
            <w:tcBorders>
              <w:bottom w:val="single" w:sz="8" w:color="808080"/>
            </w:tcBorders>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2380" w:type="dxa"/>
            <w:vAlign w:val="bottom"/>
            <w:tcBorders>
              <w:top w:val="single" w:sz="8" w:color="auto"/>
              <w:left w:val="single" w:sz="8" w:color="auto"/>
            </w:tcBorders>
          </w:tcPr>
          <w:p>
            <w:pPr>
              <w:spacing w:after="0"/>
              <w:rPr>
                <w:sz w:val="24"/>
                <w:szCs w:val="24"/>
                <w:color w:val="auto"/>
              </w:rPr>
            </w:pPr>
          </w:p>
        </w:tc>
        <w:tc>
          <w:tcPr>
            <w:tcW w:w="886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  enter into certain sale and leaseback transactions; and</w:t>
            </w:r>
          </w:p>
        </w:tc>
      </w:tr>
      <w:tr>
        <w:trPr>
          <w:trHeight w:val="426"/>
        </w:trPr>
        <w:tc>
          <w:tcPr>
            <w:tcW w:w="2380" w:type="dxa"/>
            <w:vAlign w:val="bottom"/>
            <w:tcBorders>
              <w:left w:val="single" w:sz="8" w:color="auto"/>
            </w:tcBorders>
          </w:tcPr>
          <w:p>
            <w:pPr>
              <w:spacing w:after="0"/>
              <w:rPr>
                <w:sz w:val="24"/>
                <w:szCs w:val="24"/>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2"/>
              </w:rPr>
              <w:t>•  consolidate, merge, or transfer all or substantially all of our assets and the assets of our subsidiaries on a</w:t>
            </w:r>
          </w:p>
        </w:tc>
      </w:tr>
      <w:tr>
        <w:trPr>
          <w:trHeight w:val="222"/>
        </w:trPr>
        <w:tc>
          <w:tcPr>
            <w:tcW w:w="2380" w:type="dxa"/>
            <w:vAlign w:val="bottom"/>
            <w:tcBorders>
              <w:left w:val="single" w:sz="8" w:color="auto"/>
            </w:tcBorders>
          </w:tcPr>
          <w:p>
            <w:pPr>
              <w:spacing w:after="0"/>
              <w:rPr>
                <w:sz w:val="19"/>
                <w:szCs w:val="19"/>
                <w:color w:val="auto"/>
              </w:rPr>
            </w:pPr>
          </w:p>
        </w:tc>
        <w:tc>
          <w:tcPr>
            <w:tcW w:w="886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consolidated basis.</w:t>
            </w:r>
          </w:p>
        </w:tc>
      </w:tr>
      <w:tr>
        <w:trPr>
          <w:trHeight w:val="426"/>
        </w:trPr>
        <w:tc>
          <w:tcPr>
            <w:tcW w:w="2380" w:type="dxa"/>
            <w:vAlign w:val="bottom"/>
            <w:tcBorders>
              <w:left w:val="single" w:sz="8" w:color="auto"/>
            </w:tcBorders>
          </w:tcPr>
          <w:p>
            <w:pPr>
              <w:spacing w:after="0"/>
              <w:rPr>
                <w:sz w:val="24"/>
                <w:szCs w:val="24"/>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These covenants are subject to important exceptions and qualifications, as described in the sections titled</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7"/>
              </w:rPr>
              <w:t>"Description of Notes—Limitation on Liens," "Description of Notes—Limitation on Sale and Leaseback</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9"/>
              </w:rPr>
              <w:t>Transactions," "Description of Notes—Exempted Liens and Sale and Leaseback Transactions," and</w:t>
            </w:r>
          </w:p>
        </w:tc>
      </w:tr>
      <w:tr>
        <w:trPr>
          <w:trHeight w:val="222"/>
        </w:trPr>
        <w:tc>
          <w:tcPr>
            <w:tcW w:w="2380" w:type="dxa"/>
            <w:vAlign w:val="bottom"/>
            <w:tcBorders>
              <w:left w:val="single" w:sz="8" w:color="auto"/>
            </w:tcBorders>
          </w:tcPr>
          <w:p>
            <w:pPr>
              <w:spacing w:after="0"/>
              <w:rPr>
                <w:sz w:val="19"/>
                <w:szCs w:val="19"/>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"Description of Notes—Merger, Consolidation or Sale of Assets."</w:t>
            </w:r>
          </w:p>
        </w:tc>
      </w:tr>
      <w:tr>
        <w:trPr>
          <w:trHeight w:val="426"/>
        </w:trPr>
        <w:tc>
          <w:tcPr>
            <w:tcW w:w="23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Ranking</w:t>
            </w: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9"/>
              </w:rPr>
              <w:t>The notes will be senior unsecured obligations and will rank equal in right of payment with our other</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2"/>
              </w:rPr>
              <w:t>existing and future senior unsecured obligations that are not, by their terms, expressly subordinated in right</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2"/>
              </w:rPr>
              <w:t>of payment to the notes, and senior in right of payment to any of our future subordinated indebtedness. The</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notes will be effectively subordinated to all of our existing and future secured indebtedness, including</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1"/>
              </w:rPr>
              <w:t>amounts outstanding under our Lease Financing Facility (as defined under the caption "Risk Factors" in this</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1"/>
              </w:rPr>
              <w:t>prospectus supplement) and other secured liabilities, if any, to the extent of the value of the assets securing</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such indebtedness and liabilities. The notes will be structurally subordinated to all existing and future</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obligations of our subsidiaries. As of June 30, 2020, we had $715.9 million of secured debt outstanding,</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consisting of amounts outstanding under our Lease Financing Facility, and our subsidiaries had no</w:t>
            </w:r>
          </w:p>
        </w:tc>
      </w:tr>
      <w:tr>
        <w:trPr>
          <w:trHeight w:val="222"/>
        </w:trPr>
        <w:tc>
          <w:tcPr>
            <w:tcW w:w="2380" w:type="dxa"/>
            <w:vAlign w:val="bottom"/>
            <w:tcBorders>
              <w:left w:val="single" w:sz="8" w:color="auto"/>
            </w:tcBorders>
          </w:tcPr>
          <w:p>
            <w:pPr>
              <w:spacing w:after="0"/>
              <w:rPr>
                <w:sz w:val="19"/>
                <w:szCs w:val="19"/>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outstanding indebtedness (excluding intercompany indebtedness).</w:t>
            </w:r>
          </w:p>
        </w:tc>
      </w:tr>
      <w:tr>
        <w:trPr>
          <w:trHeight w:val="426"/>
        </w:trPr>
        <w:tc>
          <w:tcPr>
            <w:tcW w:w="23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Use of Proceeds</w:t>
            </w: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9"/>
              </w:rPr>
              <w:t>The net proceeds from this offering are estimated to be $1,977 million (after deducting underwriting</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0"/>
              </w:rPr>
              <w:t>discounts and our estimated offering expenses). We intend to use the net proceeds from this offering to repay</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in full the $1.5 billion principal amount of loans outstanding under the Sanofi Repurchase Bridge Facility</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1"/>
              </w:rPr>
              <w:t>(as defined under the caption "Use of Proceeds" in this prospectus supplement) and to pay accrued interest</w:t>
            </w:r>
          </w:p>
        </w:tc>
      </w:tr>
      <w:tr>
        <w:trPr>
          <w:trHeight w:val="216"/>
        </w:trPr>
        <w:tc>
          <w:tcPr>
            <w:tcW w:w="2380" w:type="dxa"/>
            <w:vAlign w:val="bottom"/>
            <w:tcBorders>
              <w:left w:val="single" w:sz="8" w:color="auto"/>
            </w:tcBorders>
          </w:tcPr>
          <w:p>
            <w:pPr>
              <w:spacing w:after="0"/>
              <w:rPr>
                <w:sz w:val="18"/>
                <w:szCs w:val="18"/>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and related fees and expenses in connection therewith. The remainder will be used for other general</w:t>
            </w:r>
          </w:p>
        </w:tc>
      </w:tr>
      <w:tr>
        <w:trPr>
          <w:trHeight w:val="222"/>
        </w:trPr>
        <w:tc>
          <w:tcPr>
            <w:tcW w:w="2380" w:type="dxa"/>
            <w:vAlign w:val="bottom"/>
            <w:tcBorders>
              <w:left w:val="single" w:sz="8" w:color="auto"/>
            </w:tcBorders>
          </w:tcPr>
          <w:p>
            <w:pPr>
              <w:spacing w:after="0"/>
              <w:rPr>
                <w:sz w:val="19"/>
                <w:szCs w:val="19"/>
                <w:color w:val="auto"/>
              </w:rPr>
            </w:pPr>
          </w:p>
        </w:tc>
        <w:tc>
          <w:tcPr>
            <w:tcW w:w="886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corporate purposes. See "Use of Proceeds."</w:t>
            </w:r>
          </w:p>
        </w:tc>
      </w:tr>
      <w:tr>
        <w:trPr>
          <w:trHeight w:val="444"/>
        </w:trPr>
        <w:tc>
          <w:tcPr>
            <w:tcW w:w="2380" w:type="dxa"/>
            <w:vAlign w:val="bottom"/>
            <w:tcBorders>
              <w:left w:val="single" w:sz="8" w:color="auto"/>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r>
      <w:tr>
        <w:trPr>
          <w:trHeight w:val="427"/>
        </w:trPr>
        <w:tc>
          <w:tcPr>
            <w:tcW w:w="2380" w:type="dxa"/>
            <w:vAlign w:val="bottom"/>
          </w:tcPr>
          <w:p>
            <w:pPr>
              <w:spacing w:after="0"/>
              <w:rPr>
                <w:sz w:val="24"/>
                <w:szCs w:val="24"/>
                <w:color w:val="auto"/>
              </w:rPr>
            </w:pPr>
          </w:p>
        </w:tc>
        <w:tc>
          <w:tcPr>
            <w:tcW w:w="8860" w:type="dxa"/>
            <w:vAlign w:val="bottom"/>
          </w:tcPr>
          <w:p>
            <w:pPr>
              <w:ind w:left="3120"/>
              <w:spacing w:after="0"/>
              <w:rPr>
                <w:sz w:val="20"/>
                <w:szCs w:val="20"/>
                <w:color w:val="auto"/>
              </w:rPr>
            </w:pPr>
            <w:r>
              <w:rPr>
                <w:rFonts w:ascii="Arial" w:cs="Arial" w:eastAsia="Arial" w:hAnsi="Arial"/>
                <w:sz w:val="18"/>
                <w:szCs w:val="18"/>
                <w:color w:val="auto"/>
              </w:rPr>
              <w:t>S-3</w:t>
            </w:r>
          </w:p>
        </w:tc>
      </w:tr>
      <w:tr>
        <w:trPr>
          <w:trHeight w:val="228"/>
        </w:trPr>
        <w:tc>
          <w:tcPr>
            <w:tcW w:w="2380" w:type="dxa"/>
            <w:vAlign w:val="bottom"/>
            <w:tcBorders>
              <w:bottom w:val="single" w:sz="8" w:color="808080"/>
            </w:tcBorders>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334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Further Issuances</w:t>
            </w:r>
          </w:p>
        </w:tc>
        <w:tc>
          <w:tcPr>
            <w:tcW w:w="7900" w:type="dxa"/>
            <w:vAlign w:val="bottom"/>
            <w:tcBorders>
              <w:top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w w:val="92"/>
              </w:rPr>
              <w:t>We may from time to time, without notice to or the consent of the holders or beneficial owners of the notes,</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create and issue additional notes of any of the series having the same ranking and the same interest rate,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5"/>
              </w:rPr>
              <w:t>maturity, and other terms as the notes of the applicable series. Any additional notes having such similar</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5"/>
              </w:rPr>
              <w:t>terms, together with that series of notes, could be considered part of the same series of notes under the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indenture; provided that if the additional notes are not fungible with the notes of such series for U.S. federal</w:t>
            </w:r>
          </w:p>
        </w:tc>
      </w:tr>
      <w:tr>
        <w:trPr>
          <w:trHeight w:val="222"/>
        </w:trPr>
        <w:tc>
          <w:tcPr>
            <w:tcW w:w="334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income tax purposes, the additional notes will have a separate CUSIP number.</w:t>
            </w:r>
          </w:p>
        </w:tc>
      </w:tr>
      <w:tr>
        <w:trPr>
          <w:trHeight w:val="426"/>
        </w:trPr>
        <w:tc>
          <w:tcPr>
            <w:tcW w:w="33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Denomination and Form</w:t>
            </w: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We will issue the notes in the form of one or more fully registered global notes registered in the name of the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5"/>
              </w:rPr>
              <w:t>nominee of The Depository Trust Company ("DTC"). Beneficial interests in the notes will be represented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6"/>
              </w:rPr>
              <w:t>through book-entry accounts of financial institutions acting on behalf of beneficial owners as direct and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4"/>
              </w:rPr>
              <w:t>indirect participants in DTC. Clearstream Banking S.A. and Euroclear Bank, S.A./N.V., as operator of the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Euroclear System, will hold interests on behalf of their participants through their respective U.S.</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depositaries, which, in turn, will hold such interests in accounts as participants of DTC. Except in the limited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0"/>
              </w:rPr>
              <w:t>circumstances described in this prospectus supplement, owners of beneficial interests in the notes will not be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entitled to have notes registered in their names, will not receive or be entitled to receive notes in definitive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7"/>
              </w:rPr>
              <w:t>form, and will not be considered holders of notes under the indenture. The notes will be issued only in</w:t>
            </w:r>
          </w:p>
        </w:tc>
      </w:tr>
      <w:tr>
        <w:trPr>
          <w:trHeight w:val="222"/>
        </w:trPr>
        <w:tc>
          <w:tcPr>
            <w:tcW w:w="334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denominations of $2,000 and integral multiples of $1,000 in excess thereof.</w:t>
            </w:r>
          </w:p>
        </w:tc>
      </w:tr>
      <w:tr>
        <w:trPr>
          <w:trHeight w:val="426"/>
        </w:trPr>
        <w:tc>
          <w:tcPr>
            <w:tcW w:w="33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Risk Factors</w:t>
            </w: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1"/>
              </w:rPr>
              <w:t>Investing in the notes involves substantial risks. Before investing in the notes, you should carefully read and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5"/>
              </w:rPr>
              <w:t>consider the information set forth in the "Risk Factors" section beginning on page S-6 of this prospectus</w:t>
            </w:r>
          </w:p>
        </w:tc>
      </w:tr>
      <w:tr>
        <w:trPr>
          <w:trHeight w:val="184"/>
        </w:trPr>
        <w:tc>
          <w:tcPr>
            <w:tcW w:w="3340" w:type="dxa"/>
            <w:vAlign w:val="bottom"/>
            <w:tcBorders>
              <w:left w:val="single" w:sz="8" w:color="auto"/>
            </w:tcBorders>
          </w:tcPr>
          <w:p>
            <w:pPr>
              <w:spacing w:after="0"/>
              <w:rPr>
                <w:sz w:val="15"/>
                <w:szCs w:val="15"/>
                <w:color w:val="auto"/>
              </w:rPr>
            </w:pPr>
          </w:p>
        </w:tc>
        <w:tc>
          <w:tcPr>
            <w:tcW w:w="7900" w:type="dxa"/>
            <w:vAlign w:val="bottom"/>
            <w:tcBorders>
              <w:right w:val="single" w:sz="8" w:color="auto"/>
            </w:tcBorders>
            <w:gridSpan w:val="7"/>
          </w:tcPr>
          <w:p>
            <w:pPr>
              <w:spacing w:after="0" w:line="184" w:lineRule="exact"/>
              <w:rPr>
                <w:rFonts w:ascii="Arial" w:cs="Arial" w:eastAsia="Arial" w:hAnsi="Arial"/>
                <w:sz w:val="18"/>
                <w:szCs w:val="18"/>
                <w:color w:val="auto"/>
                <w:w w:val="91"/>
              </w:rPr>
            </w:pPr>
            <w:hyperlink r:id="rId26">
              <w:r>
                <w:rPr>
                  <w:rFonts w:ascii="Arial" w:cs="Arial" w:eastAsia="Arial" w:hAnsi="Arial"/>
                  <w:sz w:val="18"/>
                  <w:szCs w:val="18"/>
                  <w:color w:val="auto"/>
                  <w:w w:val="91"/>
                </w:rPr>
                <w:t xml:space="preserve">supplement and the sections entitled "Risk Factors" beginning on page 27 of our </w:t>
              </w:r>
              <w:r>
                <w:rPr>
                  <w:rFonts w:ascii="Arial" w:cs="Arial" w:eastAsia="Arial" w:hAnsi="Arial"/>
                  <w:sz w:val="18"/>
                  <w:szCs w:val="18"/>
                  <w:color w:val="0000EE"/>
                  <w:w w:val="91"/>
                </w:rPr>
                <w:t>Annual Report on Form 10-</w:t>
              </w:r>
            </w:hyperlink>
          </w:p>
        </w:tc>
      </w:tr>
      <w:tr>
        <w:trPr>
          <w:trHeight w:val="20"/>
        </w:trPr>
        <w:tc>
          <w:tcPr>
            <w:tcW w:w="334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196"/>
        </w:trPr>
        <w:tc>
          <w:tcPr>
            <w:tcW w:w="3340" w:type="dxa"/>
            <w:vAlign w:val="bottom"/>
            <w:tcBorders>
              <w:left w:val="single" w:sz="8" w:color="auto"/>
            </w:tcBorders>
          </w:tcPr>
          <w:p>
            <w:pPr>
              <w:spacing w:after="0"/>
              <w:rPr>
                <w:sz w:val="17"/>
                <w:szCs w:val="17"/>
                <w:color w:val="auto"/>
              </w:rPr>
            </w:pPr>
          </w:p>
        </w:tc>
        <w:tc>
          <w:tcPr>
            <w:tcW w:w="7900" w:type="dxa"/>
            <w:vAlign w:val="bottom"/>
            <w:tcBorders>
              <w:right w:val="single" w:sz="8" w:color="auto"/>
            </w:tcBorders>
            <w:gridSpan w:val="7"/>
          </w:tcPr>
          <w:p>
            <w:pPr>
              <w:spacing w:after="0" w:line="196" w:lineRule="exact"/>
              <w:rPr>
                <w:rFonts w:ascii="Arial" w:cs="Arial" w:eastAsia="Arial" w:hAnsi="Arial"/>
                <w:sz w:val="18"/>
                <w:szCs w:val="18"/>
                <w:color w:val="0000EE"/>
                <w:w w:val="92"/>
              </w:rPr>
            </w:pPr>
            <w:hyperlink r:id="rId27">
              <w:r>
                <w:rPr>
                  <w:rFonts w:ascii="Arial" w:cs="Arial" w:eastAsia="Arial" w:hAnsi="Arial"/>
                  <w:sz w:val="18"/>
                  <w:szCs w:val="18"/>
                  <w:color w:val="0000EE"/>
                  <w:w w:val="92"/>
                </w:rPr>
                <w:t>K for the year ended December 31, 2019</w:t>
              </w:r>
              <w:r>
                <w:rPr>
                  <w:rFonts w:ascii="Arial" w:cs="Arial" w:eastAsia="Arial" w:hAnsi="Arial"/>
                  <w:sz w:val="18"/>
                  <w:szCs w:val="18"/>
                  <w:color w:val="000000"/>
                  <w:w w:val="92"/>
                </w:rPr>
                <w:t>, and beginning on page 49 of our</w:t>
              </w:r>
              <w:r>
                <w:rPr>
                  <w:rFonts w:ascii="Arial" w:cs="Arial" w:eastAsia="Arial" w:hAnsi="Arial"/>
                  <w:sz w:val="18"/>
                  <w:szCs w:val="18"/>
                  <w:color w:val="0000EE"/>
                  <w:w w:val="92"/>
                </w:rPr>
                <w:t xml:space="preserve"> Quarterly Report on Form 10-Q</w:t>
              </w:r>
            </w:hyperlink>
          </w:p>
        </w:tc>
      </w:tr>
      <w:tr>
        <w:trPr>
          <w:trHeight w:val="20"/>
        </w:trPr>
        <w:tc>
          <w:tcPr>
            <w:tcW w:w="33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r>
      <w:tr>
        <w:trPr>
          <w:trHeight w:val="196"/>
        </w:trPr>
        <w:tc>
          <w:tcPr>
            <w:tcW w:w="3340" w:type="dxa"/>
            <w:vAlign w:val="bottom"/>
            <w:tcBorders>
              <w:left w:val="single" w:sz="8" w:color="auto"/>
            </w:tcBorders>
          </w:tcPr>
          <w:p>
            <w:pPr>
              <w:spacing w:after="0"/>
              <w:rPr>
                <w:sz w:val="17"/>
                <w:szCs w:val="17"/>
                <w:color w:val="auto"/>
              </w:rPr>
            </w:pPr>
          </w:p>
        </w:tc>
        <w:tc>
          <w:tcPr>
            <w:tcW w:w="7900" w:type="dxa"/>
            <w:vAlign w:val="bottom"/>
            <w:tcBorders>
              <w:right w:val="single" w:sz="8" w:color="auto"/>
            </w:tcBorders>
            <w:gridSpan w:val="7"/>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 xml:space="preserve">for the </w:t>
              </w:r>
              <w:r>
                <w:rPr>
                  <w:rFonts w:ascii="Arial" w:cs="Arial" w:eastAsia="Arial" w:hAnsi="Arial"/>
                  <w:sz w:val="18"/>
                  <w:szCs w:val="18"/>
                  <w:u w:val="single" w:color="auto"/>
                  <w:color w:val="0000EE"/>
                  <w:w w:val="91"/>
                </w:rPr>
                <w:t>quarterly period ended June 30, 2020</w:t>
              </w:r>
              <w:r>
                <w:rPr>
                  <w:rFonts w:ascii="Arial" w:cs="Arial" w:eastAsia="Arial" w:hAnsi="Arial"/>
                  <w:sz w:val="18"/>
                  <w:szCs w:val="18"/>
                  <w:color w:val="000000"/>
                  <w:w w:val="91"/>
                </w:rPr>
                <w:t>, each of which is incorporated by reference into this prospectus</w:t>
              </w:r>
            </w:hyperlink>
          </w:p>
        </w:tc>
      </w:tr>
      <w:tr>
        <w:trPr>
          <w:trHeight w:val="20"/>
        </w:trPr>
        <w:tc>
          <w:tcPr>
            <w:tcW w:w="33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20" w:type="dxa"/>
            <w:vAlign w:val="bottom"/>
            <w:tcBorders>
              <w:right w:val="single" w:sz="8" w:color="auto"/>
            </w:tcBorders>
            <w:gridSpan w:val="6"/>
          </w:tcPr>
          <w:p>
            <w:pPr>
              <w:spacing w:after="0" w:line="20" w:lineRule="exact"/>
              <w:rPr>
                <w:sz w:val="1"/>
                <w:szCs w:val="1"/>
                <w:color w:val="auto"/>
              </w:rPr>
            </w:pPr>
          </w:p>
        </w:tc>
      </w:tr>
      <w:tr>
        <w:trPr>
          <w:trHeight w:val="234"/>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supplement.</w:t>
            </w:r>
          </w:p>
        </w:tc>
      </w:tr>
      <w:tr>
        <w:trPr>
          <w:trHeight w:val="444"/>
        </w:trPr>
        <w:tc>
          <w:tcPr>
            <w:tcW w:w="3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r>
      <w:tr>
        <w:trPr>
          <w:trHeight w:val="427"/>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20" w:type="dxa"/>
            <w:vAlign w:val="bottom"/>
            <w:gridSpan w:val="6"/>
          </w:tcPr>
          <w:p>
            <w:pPr>
              <w:ind w:left="1680"/>
              <w:spacing w:after="0"/>
              <w:rPr>
                <w:sz w:val="20"/>
                <w:szCs w:val="20"/>
                <w:color w:val="auto"/>
              </w:rPr>
            </w:pPr>
            <w:r>
              <w:rPr>
                <w:rFonts w:ascii="Arial" w:cs="Arial" w:eastAsia="Arial" w:hAnsi="Arial"/>
                <w:sz w:val="18"/>
                <w:szCs w:val="18"/>
                <w:color w:val="auto"/>
              </w:rPr>
              <w:t>S-4</w:t>
            </w:r>
          </w:p>
        </w:tc>
      </w:tr>
      <w:tr>
        <w:trPr>
          <w:trHeight w:val="228"/>
        </w:trPr>
        <w:tc>
          <w:tcPr>
            <w:tcW w:w="3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258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Conflict of Interest</w:t>
            </w:r>
          </w:p>
        </w:tc>
        <w:tc>
          <w:tcPr>
            <w:tcW w:w="866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color w:val="auto"/>
                <w:w w:val="96"/>
              </w:rPr>
              <w:t>Affiliates of certain of the underwriters may receive at least 5% of the net proceeds from this offering in</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3"/>
              </w:rPr>
              <w:t>connection with the repayment of the Sanofi Repurchase Bridge Facility. Accordingly, this offering is being</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made in compliance with the requirements of Financial Industry Regulatory Authority, Inc. ("FINRA")</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6"/>
              </w:rPr>
              <w:t>Rule 5121. Because the notes to be offered will be rated investment grade, pursuant to Rule 5121, the</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appointment of a qualified independent underwriter is not necessary. No underwriter that will receive,</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2"/>
              </w:rPr>
              <w:t>through any of its affiliates, at least 5% of the net proceeds from this offering will confirm sales of the notes</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to any account over which such underwriter exercises discretionary authority without the prior written</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approval of the customer. See "Underwriting (Conflicts of Interest)—Other Relationships; Conflicts of</w:t>
            </w:r>
          </w:p>
        </w:tc>
      </w:tr>
      <w:tr>
        <w:trPr>
          <w:trHeight w:val="222"/>
        </w:trPr>
        <w:tc>
          <w:tcPr>
            <w:tcW w:w="2580" w:type="dxa"/>
            <w:vAlign w:val="bottom"/>
            <w:tcBorders>
              <w:left w:val="single" w:sz="8" w:color="auto"/>
            </w:tcBorders>
          </w:tcPr>
          <w:p>
            <w:pPr>
              <w:spacing w:after="0"/>
              <w:rPr>
                <w:sz w:val="19"/>
                <w:szCs w:val="19"/>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Interest."</w:t>
            </w:r>
          </w:p>
        </w:tc>
      </w:tr>
      <w:tr>
        <w:trPr>
          <w:trHeight w:val="432"/>
        </w:trPr>
        <w:tc>
          <w:tcPr>
            <w:tcW w:w="25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Trustee</w:t>
            </w: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U.S. Bank National Association.</w:t>
            </w:r>
          </w:p>
        </w:tc>
      </w:tr>
      <w:tr>
        <w:trPr>
          <w:trHeight w:val="432"/>
        </w:trPr>
        <w:tc>
          <w:tcPr>
            <w:tcW w:w="25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Governing Law</w:t>
            </w: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New York.</w:t>
            </w:r>
          </w:p>
        </w:tc>
      </w:tr>
      <w:tr>
        <w:trPr>
          <w:trHeight w:val="426"/>
        </w:trPr>
        <w:tc>
          <w:tcPr>
            <w:tcW w:w="25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Extended Settlement</w:t>
            </w: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1"/>
              </w:rPr>
              <w:t>We expect to deliver the notes against payment for the notes on or about August 12, 2020, which will be the</w:t>
            </w:r>
          </w:p>
        </w:tc>
      </w:tr>
      <w:tr>
        <w:trPr>
          <w:trHeight w:val="216"/>
        </w:trPr>
        <w:tc>
          <w:tcPr>
            <w:tcW w:w="2580" w:type="dxa"/>
            <w:vAlign w:val="bottom"/>
            <w:tcBorders>
              <w:left w:val="single" w:sz="8" w:color="auto"/>
            </w:tcBorders>
          </w:tcPr>
          <w:p>
            <w:pPr>
              <w:spacing w:after="0"/>
              <w:rPr>
                <w:sz w:val="18"/>
                <w:szCs w:val="18"/>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2"/>
              </w:rPr>
              <w:t>third business day following the pricing of the notes (such settlement cycle being referred to as "T+3"). See</w:t>
            </w:r>
          </w:p>
        </w:tc>
      </w:tr>
      <w:tr>
        <w:trPr>
          <w:trHeight w:val="222"/>
        </w:trPr>
        <w:tc>
          <w:tcPr>
            <w:tcW w:w="2580" w:type="dxa"/>
            <w:vAlign w:val="bottom"/>
            <w:tcBorders>
              <w:left w:val="single" w:sz="8" w:color="auto"/>
            </w:tcBorders>
          </w:tcPr>
          <w:p>
            <w:pPr>
              <w:spacing w:after="0"/>
              <w:rPr>
                <w:sz w:val="19"/>
                <w:szCs w:val="19"/>
                <w:color w:val="auto"/>
              </w:rPr>
            </w:pPr>
          </w:p>
        </w:tc>
        <w:tc>
          <w:tcPr>
            <w:tcW w:w="86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"Underwriting (Conflicts of Interest)."</w:t>
            </w:r>
          </w:p>
        </w:tc>
      </w:tr>
      <w:tr>
        <w:trPr>
          <w:trHeight w:val="228"/>
        </w:trPr>
        <w:tc>
          <w:tcPr>
            <w:tcW w:w="2580" w:type="dxa"/>
            <w:vAlign w:val="bottom"/>
            <w:tcBorders>
              <w:left w:val="single" w:sz="8" w:color="auto"/>
              <w:bottom w:val="single" w:sz="8" w:color="auto"/>
            </w:tcBorders>
          </w:tcPr>
          <w:p>
            <w:pPr>
              <w:spacing w:after="0"/>
              <w:rPr>
                <w:sz w:val="19"/>
                <w:szCs w:val="19"/>
                <w:color w:val="auto"/>
              </w:rPr>
            </w:pPr>
          </w:p>
        </w:tc>
        <w:tc>
          <w:tcPr>
            <w:tcW w:w="8660" w:type="dxa"/>
            <w:vAlign w:val="bottom"/>
            <w:tcBorders>
              <w:bottom w:val="single" w:sz="8" w:color="auto"/>
              <w:right w:val="single" w:sz="8" w:color="auto"/>
            </w:tcBorders>
          </w:tcPr>
          <w:p>
            <w:pPr>
              <w:spacing w:after="0"/>
              <w:rPr>
                <w:sz w:val="19"/>
                <w:szCs w:val="19"/>
                <w:color w:val="auto"/>
              </w:rPr>
            </w:pPr>
          </w:p>
        </w:tc>
      </w:tr>
      <w:tr>
        <w:trPr>
          <w:trHeight w:val="427"/>
        </w:trPr>
        <w:tc>
          <w:tcPr>
            <w:tcW w:w="2580" w:type="dxa"/>
            <w:vAlign w:val="bottom"/>
          </w:tcPr>
          <w:p>
            <w:pPr>
              <w:spacing w:after="0"/>
              <w:rPr>
                <w:sz w:val="24"/>
                <w:szCs w:val="24"/>
                <w:color w:val="auto"/>
              </w:rPr>
            </w:pPr>
          </w:p>
        </w:tc>
        <w:tc>
          <w:tcPr>
            <w:tcW w:w="8660" w:type="dxa"/>
            <w:vAlign w:val="bottom"/>
          </w:tcPr>
          <w:p>
            <w:pPr>
              <w:ind w:left="2920"/>
              <w:spacing w:after="0"/>
              <w:rPr>
                <w:sz w:val="20"/>
                <w:szCs w:val="20"/>
                <w:color w:val="auto"/>
              </w:rPr>
            </w:pPr>
            <w:r>
              <w:rPr>
                <w:rFonts w:ascii="Arial" w:cs="Arial" w:eastAsia="Arial" w:hAnsi="Arial"/>
                <w:sz w:val="18"/>
                <w:szCs w:val="18"/>
                <w:color w:val="auto"/>
              </w:rPr>
              <w:t>S-5</w:t>
            </w:r>
          </w:p>
        </w:tc>
      </w:tr>
      <w:tr>
        <w:trPr>
          <w:trHeight w:val="228"/>
        </w:trPr>
        <w:tc>
          <w:tcPr>
            <w:tcW w:w="2580" w:type="dxa"/>
            <w:vAlign w:val="bottom"/>
            <w:tcBorders>
              <w:bottom w:val="single" w:sz="8" w:color="808080"/>
            </w:tcBorders>
          </w:tcPr>
          <w:p>
            <w:pPr>
              <w:spacing w:after="0"/>
              <w:rPr>
                <w:sz w:val="19"/>
                <w:szCs w:val="19"/>
                <w:color w:val="auto"/>
              </w:rPr>
            </w:pPr>
          </w:p>
        </w:tc>
        <w:tc>
          <w:tcPr>
            <w:tcW w:w="8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7"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Any investment in the notes involves a high degree of risk. You should carefully consider the risks described below and all of the information contained in this prospectus supplement and the accompanying prospectus before deciding whether to purchase the notes. As used below under the sub-caption "Risks Related to the Offering," the terms "Regeneron," "Company," "we," "our," "us," and other similar references refer only to Regeneron Pharmaceuticals, Inc. and not to any of its subsidiaries. In addition, you should carefully consider, among other things, the matters discussed in the sections entitled "Risk Factors" in our </w:t>
      </w:r>
      <w:hyperlink r:id="rId32">
        <w:r>
          <w:rPr>
            <w:rFonts w:ascii="Arial" w:cs="Arial" w:eastAsia="Arial" w:hAnsi="Arial"/>
            <w:sz w:val="16"/>
            <w:szCs w:val="16"/>
            <w:i w:val="1"/>
            <w:iCs w:val="1"/>
            <w:u w:val="single" w:color="auto"/>
            <w:color w:val="0000EE"/>
          </w:rPr>
          <w:t>Annual Report on Form 10-K for the year ended December 31, 2019</w:t>
        </w:r>
      </w:hyperlink>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our</w:t>
      </w:r>
      <w:r>
        <w:rPr>
          <w:rFonts w:ascii="Arial" w:cs="Arial" w:eastAsia="Arial" w:hAnsi="Arial"/>
          <w:sz w:val="16"/>
          <w:szCs w:val="16"/>
          <w:i w:val="1"/>
          <w:iCs w:val="1"/>
          <w:color w:val="0000EE"/>
        </w:rPr>
        <w:t xml:space="preserve"> </w:t>
      </w:r>
      <w:hyperlink r:id="rId33">
        <w:r>
          <w:rPr>
            <w:rFonts w:ascii="Arial" w:cs="Arial" w:eastAsia="Arial" w:hAnsi="Arial"/>
            <w:sz w:val="16"/>
            <w:szCs w:val="16"/>
            <w:i w:val="1"/>
            <w:iCs w:val="1"/>
            <w:u w:val="single" w:color="auto"/>
            <w:color w:val="0000EE"/>
          </w:rPr>
          <w:t>Quarterly Report on Form 10-Q for the quarterly period ended June 30, 2020</w:t>
        </w:r>
      </w:hyperlink>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 xml:space="preserve">other documents that we subsequently file with the SEC, all of which are incorporated by reference into this prospectus supplement. The risks and uncertainties </w:t>
      </w:r>
      <w:hyperlink r:id="rId33">
        <w:r>
          <w:rPr>
            <w:rFonts w:ascii="Arial" w:cs="Arial" w:eastAsia="Arial" w:hAnsi="Arial"/>
            <w:sz w:val="16"/>
            <w:szCs w:val="16"/>
            <w:i w:val="1"/>
            <w:iCs w:val="1"/>
            <w:color w:val="000000"/>
          </w:rPr>
          <w:t xml:space="preserve">described below and in our </w:t>
        </w:r>
        <w:r>
          <w:rPr>
            <w:rFonts w:ascii="Arial" w:cs="Arial" w:eastAsia="Arial" w:hAnsi="Arial"/>
            <w:sz w:val="16"/>
            <w:szCs w:val="16"/>
            <w:i w:val="1"/>
            <w:iCs w:val="1"/>
            <w:u w:val="single" w:color="auto"/>
            <w:color w:val="0000EE"/>
          </w:rPr>
          <w:t>Annual Report on Form 10-K for the year ended December 31, 2019</w:t>
        </w:r>
        <w:r>
          <w:rPr>
            <w:rFonts w:ascii="Arial" w:cs="Arial" w:eastAsia="Arial" w:hAnsi="Arial"/>
            <w:sz w:val="16"/>
            <w:szCs w:val="16"/>
            <w:i w:val="1"/>
            <w:iCs w:val="1"/>
            <w:color w:val="000000"/>
          </w:rPr>
          <w:t xml:space="preserve"> and in our </w:t>
        </w:r>
        <w:r>
          <w:rPr>
            <w:rFonts w:ascii="Arial" w:cs="Arial" w:eastAsia="Arial" w:hAnsi="Arial"/>
            <w:sz w:val="16"/>
            <w:szCs w:val="16"/>
            <w:i w:val="1"/>
            <w:iCs w:val="1"/>
            <w:u w:val="single" w:color="auto"/>
            <w:color w:val="0000EE"/>
          </w:rPr>
          <w:t>Quarterly Report on Form 10-Q for the quarterly</w:t>
        </w:r>
      </w:hyperlink>
      <w:r>
        <w:rPr>
          <w:rFonts w:ascii="Arial" w:cs="Arial" w:eastAsia="Arial" w:hAnsi="Arial"/>
          <w:sz w:val="16"/>
          <w:szCs w:val="16"/>
          <w:i w:val="1"/>
          <w:iCs w:val="1"/>
          <w:color w:val="000000"/>
        </w:rPr>
        <w:t xml:space="preserve"> </w:t>
      </w:r>
      <w:hyperlink r:id="rId33">
        <w:r>
          <w:rPr>
            <w:rFonts w:ascii="Arial" w:cs="Arial" w:eastAsia="Arial" w:hAnsi="Arial"/>
            <w:sz w:val="16"/>
            <w:szCs w:val="16"/>
            <w:i w:val="1"/>
            <w:iCs w:val="1"/>
            <w:u w:val="single" w:color="auto"/>
            <w:color w:val="0000EE"/>
          </w:rPr>
          <w:t>period ended June 30, 2020</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are not the only risks and uncertainties we face. Additional risks and uncertainties not presently known to us or that we currently</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deem immaterial may also impair our business operations. If any such risks actually occur, our business, financial condition, and results of operations would suffer. In that event, you may lose all or part of your investment.</w:t>
      </w:r>
    </w:p>
    <w:p>
      <w:pPr>
        <w:spacing w:after="0" w:line="170"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rFonts w:ascii="Arial" w:cs="Arial" w:eastAsia="Arial" w:hAnsi="Arial"/>
          <w:sz w:val="16"/>
          <w:szCs w:val="16"/>
          <w:i w:val="1"/>
          <w:iCs w:val="1"/>
          <w:color w:val="0000EE"/>
        </w:rPr>
      </w:pPr>
    </w:p>
    <w:p>
      <w:pPr>
        <w:ind w:right="160"/>
        <w:spacing w:after="0" w:line="306" w:lineRule="auto"/>
        <w:rPr>
          <w:sz w:val="20"/>
          <w:szCs w:val="20"/>
          <w:color w:val="auto"/>
        </w:rPr>
      </w:pPr>
      <w:r>
        <w:rPr>
          <w:rFonts w:ascii="Arial" w:cs="Arial" w:eastAsia="Arial" w:hAnsi="Arial"/>
          <w:sz w:val="16"/>
          <w:szCs w:val="16"/>
          <w:b w:val="1"/>
          <w:bCs w:val="1"/>
          <w:i w:val="1"/>
          <w:iCs w:val="1"/>
          <w:color w:val="auto"/>
        </w:rPr>
        <w:t>Please see "Risk Factors" under Item 1A in our Annual Report on Form 10-K for the year ended December 31, 2019 and in our Quarterly Report on Form 10-Q for the quarterly period ended June 30, 2020 (including the risk factor entitled "Our business may be further adversely affected by the effects of the COVID-19 pandemic") for a discussion of risks affecting our business, in addition to the risks set out below.</w:t>
      </w:r>
    </w:p>
    <w:p>
      <w:pPr>
        <w:spacing w:after="0" w:line="154"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231"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The indenture does not restrict the amount of additional unsecured debt that we may incur.</w:t>
      </w:r>
    </w:p>
    <w:p>
      <w:pPr>
        <w:spacing w:after="0" w:line="225" w:lineRule="exact"/>
        <w:rPr>
          <w:rFonts w:ascii="Arial" w:cs="Arial" w:eastAsia="Arial" w:hAnsi="Arial"/>
          <w:sz w:val="16"/>
          <w:szCs w:val="16"/>
          <w:i w:val="1"/>
          <w:iCs w:val="1"/>
          <w:color w:val="0000EE"/>
        </w:rPr>
      </w:pPr>
    </w:p>
    <w:p>
      <w:pPr>
        <w:ind w:right="620" w:firstLine="348"/>
        <w:spacing w:after="0" w:line="256" w:lineRule="auto"/>
        <w:rPr>
          <w:sz w:val="20"/>
          <w:szCs w:val="20"/>
          <w:color w:val="auto"/>
        </w:rPr>
      </w:pPr>
      <w:r>
        <w:rPr>
          <w:rFonts w:ascii="Arial" w:cs="Arial" w:eastAsia="Arial" w:hAnsi="Arial"/>
          <w:sz w:val="18"/>
          <w:szCs w:val="18"/>
          <w:color w:val="auto"/>
        </w:rPr>
        <w:t>The notes and indenture under which the notes will be issued do not place any limitation on the amount of unsecured debt that we may incur. Our incurrence of additional debt may have important consequences for you as a holder of the notes, including making it more difficult for us to satisfy our obligations with respect to the notes, a potential decline in the market value of your notes, and a risk that the credit ratings of the notes are lowered or withdrawn.</w:t>
      </w:r>
    </w:p>
    <w:p>
      <w:pPr>
        <w:spacing w:after="0" w:line="197" w:lineRule="exact"/>
        <w:rPr>
          <w:rFonts w:ascii="Arial" w:cs="Arial" w:eastAsia="Arial" w:hAnsi="Arial"/>
          <w:sz w:val="16"/>
          <w:szCs w:val="16"/>
          <w:i w:val="1"/>
          <w:iCs w:val="1"/>
          <w:color w:val="0000EE"/>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notes are obligations exclusively of Regeneron and not of our subsidiaries, and payment to holders of the notes will be structurally subordinated to the liabilities of our subsidiaries.</w:t>
      </w:r>
    </w:p>
    <w:p>
      <w:pPr>
        <w:spacing w:after="0" w:line="186" w:lineRule="exact"/>
        <w:rPr>
          <w:rFonts w:ascii="Arial" w:cs="Arial" w:eastAsia="Arial" w:hAnsi="Arial"/>
          <w:sz w:val="16"/>
          <w:szCs w:val="16"/>
          <w:i w:val="1"/>
          <w:iCs w:val="1"/>
          <w:color w:val="0000EE"/>
        </w:rPr>
      </w:pPr>
    </w:p>
    <w:p>
      <w:pPr>
        <w:ind w:right="340" w:firstLine="348"/>
        <w:spacing w:after="0" w:line="291" w:lineRule="auto"/>
        <w:rPr>
          <w:sz w:val="20"/>
          <w:szCs w:val="20"/>
          <w:color w:val="auto"/>
        </w:rPr>
      </w:pPr>
      <w:r>
        <w:rPr>
          <w:rFonts w:ascii="Arial" w:cs="Arial" w:eastAsia="Arial" w:hAnsi="Arial"/>
          <w:sz w:val="16"/>
          <w:szCs w:val="16"/>
          <w:color w:val="auto"/>
        </w:rPr>
        <w:t>The notes are not guaranteed by any of our subsidiaries and therefore the notes will be structurally subordinated to any secured and unsecured indebtedness and other liabilities of our subsidiaries. The notes will be structurally subordinated to our subsidiaries' obligations with respect to that indebtedness, and our guarantee of that indebtedness will rank equal in right of payment with the notes. In addition, our obligations under the notes will be structurally subordinated to guarantees by our subsidiaries of our indebtedness. As of June 30, 2020, our subsidiaries had no outstanding indebtedness (excluding intercompany indebtedness). The terms of the notes and the indenture do not preclude our subsidiaries from incurring debt or other liabilities or providing guarantees that will be structurally senior to the notes.</w:t>
      </w:r>
    </w:p>
    <w:p>
      <w:pPr>
        <w:spacing w:after="0" w:line="174"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The notes are our unsecured obligations and will be effectively junior to existing and future secured indebtedness.</w:t>
      </w:r>
    </w:p>
    <w:p>
      <w:pPr>
        <w:spacing w:after="0" w:line="225" w:lineRule="exact"/>
        <w:rPr>
          <w:rFonts w:ascii="Arial" w:cs="Arial" w:eastAsia="Arial" w:hAnsi="Arial"/>
          <w:sz w:val="16"/>
          <w:szCs w:val="16"/>
          <w:i w:val="1"/>
          <w:iCs w:val="1"/>
          <w:color w:val="0000EE"/>
        </w:rPr>
      </w:pPr>
    </w:p>
    <w:p>
      <w:pPr>
        <w:ind w:right="560" w:firstLine="348"/>
        <w:spacing w:after="0" w:line="331" w:lineRule="auto"/>
        <w:rPr>
          <w:sz w:val="20"/>
          <w:szCs w:val="20"/>
          <w:color w:val="auto"/>
        </w:rPr>
      </w:pPr>
      <w:r>
        <w:rPr>
          <w:rFonts w:ascii="Arial" w:cs="Arial" w:eastAsia="Arial" w:hAnsi="Arial"/>
          <w:sz w:val="16"/>
          <w:szCs w:val="16"/>
          <w:color w:val="auto"/>
        </w:rPr>
        <w:t>The notes will be our senior unsecured obligations. Holders of our existing and future secured debt may foreclose on the assets securing such debt, reducing the cash flow from the foreclosed property available for payment of unsecured debt, including the notes. Holders of our existing and</w:t>
      </w:r>
    </w:p>
    <w:p>
      <w:pPr>
        <w:spacing w:after="0" w:line="141" w:lineRule="exact"/>
        <w:rPr>
          <w:rFonts w:ascii="Arial" w:cs="Arial" w:eastAsia="Arial" w:hAnsi="Arial"/>
          <w:sz w:val="16"/>
          <w:szCs w:val="16"/>
          <w:i w:val="1"/>
          <w:iCs w:val="1"/>
          <w:color w:val="0000EE"/>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future secured debt also would have priority over unsecured creditors in the event of our bankruptcy, liquidation, or similar proceeding. In the event of our bankruptcy, liquidation, or similar proceeding, holders of our existing and future secured debt would be entitled to proceed against their collateral, and the assets securing that collateral may not be available for payment of unsecured debt, including the notes. As a result, the notes will be effectively subordinated to all of our existing and future secured indebtedness, including amounts outstanding under our 2017 lease financing facility with Banc of America Leasing &amp; Capital LLC, as lessor, and a syndicate of lenders relating to our Tarrytown facilities (the "Lease Financing Facility"), and other secured liabilities, if any, to the extent of the value of the assets securing such indebtedness and liabilities. As of June 30, 2020, we had $715.9 million of secured debt outstanding, consisting of amounts outstanding under our Lease Financing Facility.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the occurrence of a Change of Control Triggering Event, each holder of notes will have the right to require us to repurchase all or any part of such holder's notes at prices equal to 101% of their respective principal amount, plus accrued and unpaid interest, if any, to but not including the date of repurchase. If we experience a Change of Control Triggering Event, we may lack sufficient financial resources to satisfy our obligations to repurchase the notes. Our failure to repurchase a series of notes as required under the indenture governing that series of notes would result in a default under the indenture, which could have material adverse consequences for us and the holders of the notes. See "Description of Notes—Change of Control."</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terms of the indenture and the notes provide only limited protection against significant corporate events that could adversely impact your investment in the notes.</w:t>
      </w:r>
    </w:p>
    <w:p>
      <w:pPr>
        <w:spacing w:after="0" w:line="186" w:lineRule="exact"/>
        <w:rPr>
          <w:sz w:val="20"/>
          <w:szCs w:val="20"/>
          <w:color w:val="auto"/>
        </w:rPr>
      </w:pPr>
    </w:p>
    <w:p>
      <w:pPr>
        <w:ind w:right="380" w:firstLine="348"/>
        <w:spacing w:after="0" w:line="369" w:lineRule="auto"/>
        <w:rPr>
          <w:sz w:val="20"/>
          <w:szCs w:val="20"/>
          <w:color w:val="auto"/>
        </w:rPr>
      </w:pPr>
      <w:r>
        <w:rPr>
          <w:rFonts w:ascii="Arial" w:cs="Arial" w:eastAsia="Arial" w:hAnsi="Arial"/>
          <w:sz w:val="15"/>
          <w:szCs w:val="15"/>
          <w:color w:val="auto"/>
        </w:rPr>
        <w:t>While the indenture and the notes contain terms intended to provide protection to holders of the notes upon the occurrence of certain events involving significant corporate transactions or our creditworthiness, these terms are limited and may not be sufficient to protect your investments in the notes.</w:t>
      </w:r>
    </w:p>
    <w:p>
      <w:pPr>
        <w:spacing w:after="0" w:line="118"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As described under "Description of Notes—Change of Control," upon the occurrence of a Change of Control Triggering Event, holders are entitled to require us to repurchase their notes at 101% of their principal amount, plus accrued and unpaid interest, if any, to but not including the date of repurchase. However, the definition of the term "Change of Control Triggering Event" is limited and does not cover a variety of transactions (such as acquisitions by us or recapitalizations) that could negatively impact the value of your notes. As such, if we were to enter into a significant corporate transaction that would negatively impact the value of the notes, but which would not constitute a Change of Control Triggering Event, you would not have any rights to require us to repurchase the notes prior to their maturity.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Furthermore, the indenture for the notes does not:</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ability to incur unsecured indebtedness that is equal in right of payment to the notes;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otherwise incur indebtedness that would be senior to our equity interests in our subsidiaries and therefore rank effectively senior to the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ability to repurchase or prepay any other of our securities or other indebtedness; or</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 our ability to make investments or to repurchase or pay dividends or make other payments in respect of our common stock or other securities ranking junior to the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 which could limit their market prices or your ability to sell them.</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notes are new issues of debt securities for which there currently are no trading markets. As a result, we cannot provide any assurance that any markets will develop for the notes or that you will be able to sell your notes. We have no plans to list the notes on any securities exchange or to arrange for quotation on any automated quotation system. If any of the notes are traded after their initial issuance, they may trade at discounts from their initial offering prices depending on prevailing interest rates, the markets for similar securities, general economic conditions, our financial condition, performance, prospects, and other factors. The underwriters have advised us that they intend to make a market in each series of notes, but they are not obligated to do so. The underwriters may discontinue any market-making in the notes at any time at their sole discretion. Accordingly, we cannot assure you that a liquid trading market will develop for the notes of any series, that you will be able to sell your notes at a particular time, or that the prices you receive when you sell will be favorable. To the extent active trading markets do not develop, the liquidity and trading prices for the notes may be harmed. Accordingly, you may be required to bear the financial risk of an investment in the notes for an indefinite period of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your investment in the notes.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each series of notes. These credit ratings may not reflect the potential impact of risks relating to structure or marketing of the notes. Agency ratings are not a recommendation to buy, sell, or hold any security and may be revised or withdrawn at any time by the issuing organization. An agency's rating should be evaluated independently of any other agency's rating.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CONSOLIDATED HISTORICAL FINANCIAL DATA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selected condensed consolidated historical income statement data "as previously reported" for the years ended December 31, 2019, 2018, and 2017 and the selected consolidated historical balance sheet data as of December 31, 2019, 2018, and 2017, presented below have been derived from our audited consolidated financial statements. The selected condensed consolidated historical income statement data for the six months ended June 30, 2020 and 2019 and the selected consolidated historical balance sheet data as of June 30, 2020 presented below have been derived from our unaudited consolidated financial statements. Effective January 1, 2020, we changed the presentation of cost reimbursements from collaborators who are not deemed to be our customers from collaboration revenue to a reduction of the corresponding operating expense (</w:t>
      </w:r>
      <w:r>
        <w:rPr>
          <w:rFonts w:ascii="Arial" w:cs="Arial" w:eastAsia="Arial" w:hAnsi="Arial"/>
          <w:sz w:val="16"/>
          <w:szCs w:val="16"/>
          <w:i w:val="1"/>
          <w:iCs w:val="1"/>
          <w:color w:val="auto"/>
        </w:rPr>
        <w:t>i.e.</w:t>
      </w:r>
      <w:r>
        <w:rPr>
          <w:rFonts w:ascii="Arial" w:cs="Arial" w:eastAsia="Arial" w:hAnsi="Arial"/>
          <w:sz w:val="16"/>
          <w:szCs w:val="16"/>
          <w:color w:val="auto"/>
        </w:rPr>
        <w:t>, either Research and development or Selling, general, and administrative) incurred by us. We also changed the presentation of amounts recognized in connection with up-front and development milestone payments received from collaboration revenue to Other operating income. The change in presentation has been applied retrospectively to the selected condensed consolidated income statement data from our previously audited financial statements, as shown in the table below. Results for the six months ended June 30, 2020 may not be indicative of the results for the year ending December 31, 2020. All financial data presented in this prospectus supplement have been prepared in accordance with United States generally accepted accounting principles.</w:t>
      </w:r>
    </w:p>
    <w:p>
      <w:pPr>
        <w:spacing w:after="0" w:line="180" w:lineRule="exact"/>
        <w:rPr>
          <w:sz w:val="20"/>
          <w:szCs w:val="20"/>
          <w:color w:val="auto"/>
        </w:rPr>
      </w:pPr>
    </w:p>
    <w:p>
      <w:pPr>
        <w:ind w:right="2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This information should be read in conjunction with our consolidated financial statements (including the related notes thereto) and the disclosure under </w:t>
      </w:r>
      <w:hyperlink r:id="rId26">
        <w:r>
          <w:rPr>
            <w:rFonts w:ascii="Arial" w:cs="Arial" w:eastAsia="Arial" w:hAnsi="Arial"/>
            <w:sz w:val="18"/>
            <w:szCs w:val="18"/>
            <w:color w:val="auto"/>
          </w:rPr>
          <w:t xml:space="preserve">"Management's Discussion and Analysis of Financial Condition and Results of Operations" in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December 31, 2019</w:t>
        </w:r>
        <w:r>
          <w:rPr>
            <w:rFonts w:ascii="Arial" w:cs="Arial" w:eastAsia="Arial" w:hAnsi="Arial"/>
            <w:sz w:val="18"/>
            <w:szCs w:val="18"/>
            <w:color w:val="0000EE"/>
          </w:rPr>
          <w:t xml:space="preserve"> </w:t>
        </w:r>
        <w:r>
          <w:rPr>
            <w:rFonts w:ascii="Arial" w:cs="Arial" w:eastAsia="Arial" w:hAnsi="Arial"/>
            <w:sz w:val="18"/>
            <w:szCs w:val="18"/>
            <w:color w:val="000000"/>
          </w:rPr>
          <w:t>and our</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Quarterly Report on Form 10-Q for the quarterly period ended June 30, 2020</w:t>
        </w:r>
      </w:hyperlink>
      <w:hyperlink r:id="rId26">
        <w:r>
          <w:rPr>
            <w:rFonts w:ascii="Arial" w:cs="Arial" w:eastAsia="Arial" w:hAnsi="Arial"/>
            <w:sz w:val="18"/>
            <w:szCs w:val="18"/>
            <w:color w:val="000000"/>
          </w:rPr>
          <w:t xml:space="preserve">, each of which is incorporated by reference </w:t>
        </w:r>
      </w:hyperlink>
      <w:r>
        <w:rPr>
          <w:rFonts w:ascii="Arial" w:cs="Arial" w:eastAsia="Arial" w:hAnsi="Arial"/>
          <w:sz w:val="18"/>
          <w:szCs w:val="18"/>
          <w:color w:val="0000EE"/>
        </w:rPr>
        <w:t xml:space="preserve">into </w:t>
      </w:r>
      <w:r>
        <w:rPr>
          <w:rFonts w:ascii="Arial" w:cs="Arial" w:eastAsia="Arial" w:hAnsi="Arial"/>
          <w:sz w:val="18"/>
          <w:szCs w:val="18"/>
          <w:color w:val="000000"/>
        </w:rPr>
        <w:t>this</w:t>
      </w:r>
      <w:r>
        <w:rPr>
          <w:rFonts w:ascii="Arial" w:cs="Arial" w:eastAsia="Arial" w:hAnsi="Arial"/>
          <w:sz w:val="18"/>
          <w:szCs w:val="18"/>
          <w:color w:val="0000EE"/>
        </w:rPr>
        <w:t xml:space="preserve"> </w:t>
      </w:r>
      <w:r>
        <w:rPr>
          <w:rFonts w:ascii="Arial" w:cs="Arial" w:eastAsia="Arial" w:hAnsi="Arial"/>
          <w:sz w:val="18"/>
          <w:szCs w:val="18"/>
          <w:color w:val="000000"/>
        </w:rPr>
        <w:t>prospectus supplement.</w:t>
      </w:r>
    </w:p>
    <w:p>
      <w:pPr>
        <w:spacing w:after="0" w:line="218" w:lineRule="exact"/>
        <w:rPr>
          <w:rFonts w:ascii="Arial" w:cs="Arial" w:eastAsia="Arial" w:hAnsi="Arial"/>
          <w:sz w:val="18"/>
          <w:szCs w:val="18"/>
          <w:color w:val="0000EE"/>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1"/>
              </w:rPr>
              <w:t>Six</w:t>
            </w:r>
          </w:p>
        </w:tc>
        <w:tc>
          <w:tcPr>
            <w:tcW w:w="80" w:type="dxa"/>
            <w:vAlign w:val="bottom"/>
          </w:tcPr>
          <w:p>
            <w:pPr>
              <w:spacing w:after="0"/>
              <w:rPr>
                <w:sz w:val="13"/>
                <w:szCs w:val="13"/>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1"/>
              </w:rPr>
              <w:t>Six</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5"/>
              </w:rPr>
              <w:t>Year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7"/>
              </w:rPr>
              <w:t>Year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2"/>
              </w:rPr>
              <w:t>Year Ended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8"/>
          </w:tcPr>
          <w:p>
            <w:pPr>
              <w:jc w:val="right"/>
              <w:ind w:right="540"/>
              <w:spacing w:after="0" w:line="134" w:lineRule="exact"/>
              <w:rPr>
                <w:sz w:val="20"/>
                <w:szCs w:val="20"/>
                <w:color w:val="auto"/>
              </w:rPr>
            </w:pPr>
            <w:r>
              <w:rPr>
                <w:rFonts w:ascii="Arial" w:cs="Arial" w:eastAsia="Arial" w:hAnsi="Arial"/>
                <w:sz w:val="13"/>
                <w:szCs w:val="13"/>
                <w:b w:val="1"/>
                <w:bCs w:val="1"/>
                <w:color w:val="auto"/>
              </w:rPr>
              <w:t>December 31, 2019</w:t>
            </w:r>
          </w:p>
        </w:tc>
        <w:tc>
          <w:tcPr>
            <w:tcW w:w="140" w:type="dxa"/>
            <w:vAlign w:val="bottom"/>
          </w:tcPr>
          <w:p>
            <w:pPr>
              <w:spacing w:after="0"/>
              <w:rPr>
                <w:sz w:val="11"/>
                <w:szCs w:val="11"/>
                <w:color w:val="auto"/>
              </w:rPr>
            </w:pPr>
          </w:p>
        </w:tc>
        <w:tc>
          <w:tcPr>
            <w:tcW w:w="1960" w:type="dxa"/>
            <w:vAlign w:val="bottom"/>
            <w:gridSpan w:val="8"/>
          </w:tcPr>
          <w:p>
            <w:pPr>
              <w:jc w:val="right"/>
              <w:ind w:right="540"/>
              <w:spacing w:after="0" w:line="134" w:lineRule="exact"/>
              <w:rPr>
                <w:sz w:val="20"/>
                <w:szCs w:val="20"/>
                <w:color w:val="auto"/>
              </w:rPr>
            </w:pPr>
            <w:r>
              <w:rPr>
                <w:rFonts w:ascii="Arial" w:cs="Arial" w:eastAsia="Arial" w:hAnsi="Arial"/>
                <w:sz w:val="13"/>
                <w:szCs w:val="13"/>
                <w:b w:val="1"/>
                <w:bCs w:val="1"/>
                <w:color w:val="auto"/>
              </w:rPr>
              <w:t>December 31, 2018</w:t>
            </w:r>
          </w:p>
        </w:tc>
        <w:tc>
          <w:tcPr>
            <w:tcW w:w="140" w:type="dxa"/>
            <w:vAlign w:val="bottom"/>
          </w:tcPr>
          <w:p>
            <w:pPr>
              <w:spacing w:after="0"/>
              <w:rPr>
                <w:sz w:val="11"/>
                <w:szCs w:val="11"/>
                <w:color w:val="auto"/>
              </w:rPr>
            </w:pPr>
          </w:p>
        </w:tc>
        <w:tc>
          <w:tcPr>
            <w:tcW w:w="2040" w:type="dxa"/>
            <w:vAlign w:val="bottom"/>
            <w:gridSpan w:val="8"/>
          </w:tcPr>
          <w:p>
            <w:pPr>
              <w:jc w:val="right"/>
              <w:ind w:right="620"/>
              <w:spacing w:after="0" w:line="134" w:lineRule="exact"/>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540" w:type="dxa"/>
            <w:vAlign w:val="bottom"/>
            <w:gridSpan w:val="2"/>
            <w:vMerge w:val="restart"/>
          </w:tcPr>
          <w:p>
            <w:pPr>
              <w:jc w:val="center"/>
              <w:ind w:right="120"/>
              <w:spacing w:after="0" w:line="136" w:lineRule="exact"/>
              <w:rPr>
                <w:sz w:val="20"/>
                <w:szCs w:val="20"/>
                <w:color w:val="auto"/>
              </w:rPr>
            </w:pPr>
            <w:r>
              <w:rPr>
                <w:rFonts w:ascii="Arial" w:cs="Arial" w:eastAsia="Arial" w:hAnsi="Arial"/>
                <w:sz w:val="13"/>
                <w:szCs w:val="13"/>
                <w:b w:val="1"/>
                <w:bCs w:val="1"/>
                <w:color w:val="auto"/>
                <w:w w:val="90"/>
              </w:rPr>
              <w:t>Months</w:t>
            </w:r>
          </w:p>
        </w:tc>
        <w:tc>
          <w:tcPr>
            <w:tcW w:w="580" w:type="dxa"/>
            <w:vAlign w:val="bottom"/>
            <w:gridSpan w:val="3"/>
            <w:vMerge w:val="restart"/>
          </w:tcPr>
          <w:p>
            <w:pPr>
              <w:jc w:val="center"/>
              <w:ind w:right="100"/>
              <w:spacing w:after="0" w:line="136" w:lineRule="exact"/>
              <w:rPr>
                <w:sz w:val="20"/>
                <w:szCs w:val="20"/>
                <w:color w:val="auto"/>
              </w:rPr>
            </w:pPr>
            <w:r>
              <w:rPr>
                <w:rFonts w:ascii="Arial" w:cs="Arial" w:eastAsia="Arial" w:hAnsi="Arial"/>
                <w:sz w:val="13"/>
                <w:szCs w:val="13"/>
                <w:b w:val="1"/>
                <w:bCs w:val="1"/>
                <w:color w:val="auto"/>
                <w:w w:val="95"/>
              </w:rPr>
              <w:t>Months</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62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Ended</w:t>
            </w:r>
          </w:p>
        </w:tc>
        <w:tc>
          <w:tcPr>
            <w:tcW w:w="5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Ended</w:t>
            </w:r>
          </w:p>
        </w:tc>
        <w:tc>
          <w:tcPr>
            <w:tcW w:w="14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100"/>
              <w:spacing w:after="0"/>
              <w:rPr>
                <w:sz w:val="20"/>
                <w:szCs w:val="20"/>
                <w:color w:val="auto"/>
              </w:rPr>
            </w:pPr>
            <w:r>
              <w:rPr>
                <w:rFonts w:ascii="Arial" w:cs="Arial" w:eastAsia="Arial" w:hAnsi="Arial"/>
                <w:sz w:val="13"/>
                <w:szCs w:val="13"/>
                <w:b w:val="1"/>
                <w:bCs w:val="1"/>
                <w:color w:val="auto"/>
              </w:rPr>
              <w:t>As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June 30,</w:t>
            </w:r>
          </w:p>
        </w:tc>
        <w:tc>
          <w:tcPr>
            <w:tcW w:w="5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June 30,</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As</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Previously</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7"/>
              </w:rPr>
              <w:t>Previously</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9"/>
              </w:rPr>
              <w:t>Reported*</w:t>
            </w:r>
          </w:p>
        </w:tc>
        <w:tc>
          <w:tcPr>
            <w:tcW w:w="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Adjustments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Revised</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Reported*</w:t>
            </w: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Revised</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Reported*</w:t>
            </w:r>
          </w:p>
        </w:tc>
        <w:tc>
          <w:tcPr>
            <w:tcW w:w="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Revised</w:t>
            </w:r>
          </w:p>
        </w:tc>
        <w:tc>
          <w:tcPr>
            <w:tcW w:w="0" w:type="dxa"/>
            <w:vAlign w:val="bottom"/>
          </w:tcPr>
          <w:p>
            <w:pPr>
              <w:spacing w:after="0"/>
              <w:rPr>
                <w:sz w:val="1"/>
                <w:szCs w:val="1"/>
                <w:color w:val="auto"/>
              </w:rPr>
            </w:pPr>
          </w:p>
        </w:tc>
      </w:tr>
      <w:tr>
        <w:trPr>
          <w:trHeight w:val="142"/>
        </w:trPr>
        <w:tc>
          <w:tcPr>
            <w:tcW w:w="1620" w:type="dxa"/>
            <w:vAlign w:val="bottom"/>
            <w:tcBorders>
              <w:right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Income statement data:</w:t>
            </w: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rPr>
                <w:sz w:val="20"/>
                <w:szCs w:val="20"/>
                <w:color w:val="auto"/>
              </w:rPr>
            </w:pPr>
            <w:r>
              <w:rPr>
                <w:rFonts w:ascii="Arial" w:cs="Arial" w:eastAsia="Arial" w:hAnsi="Arial"/>
                <w:sz w:val="13"/>
                <w:szCs w:val="13"/>
                <w:color w:val="auto"/>
              </w:rPr>
              <w:t>Revenues: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product sales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1"/>
              </w:rPr>
              <w:t>$ 2,463.6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2,309.7</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4,834.4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$ 4,834.4</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4,106.2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$ 4,106.2</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3,718.5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8"/>
              </w:rPr>
              <w:t>$ 3,718.5</w:t>
            </w:r>
          </w:p>
        </w:tc>
        <w:tc>
          <w:tcPr>
            <w:tcW w:w="0" w:type="dxa"/>
            <w:vAlign w:val="bottom"/>
          </w:tcPr>
          <w:p>
            <w:pPr>
              <w:spacing w:after="0"/>
              <w:rPr>
                <w:sz w:val="1"/>
                <w:szCs w:val="1"/>
                <w:color w:val="auto"/>
              </w:rPr>
            </w:pPr>
          </w:p>
        </w:tc>
      </w:tr>
      <w:tr>
        <w:trPr>
          <w:trHeight w:val="138"/>
        </w:trPr>
        <w:tc>
          <w:tcPr>
            <w:tcW w:w="1620" w:type="dxa"/>
            <w:vAlign w:val="bottom"/>
          </w:tcPr>
          <w:p>
            <w:pPr>
              <w:ind w:left="120"/>
              <w:spacing w:after="0" w:line="138" w:lineRule="exact"/>
              <w:rPr>
                <w:sz w:val="20"/>
                <w:szCs w:val="20"/>
                <w:color w:val="auto"/>
              </w:rPr>
            </w:pPr>
            <w:r>
              <w:rPr>
                <w:rFonts w:ascii="Arial" w:cs="Arial" w:eastAsia="Arial" w:hAnsi="Arial"/>
                <w:sz w:val="13"/>
                <w:szCs w:val="13"/>
                <w:color w:val="auto"/>
              </w:rPr>
              <w:t>Sanofi collaboration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220"/>
              <w:spacing w:after="0"/>
              <w:rPr>
                <w:sz w:val="20"/>
                <w:szCs w:val="20"/>
                <w:color w:val="auto"/>
              </w:rPr>
            </w:pPr>
            <w:r>
              <w:rPr>
                <w:rFonts w:ascii="Arial" w:cs="Arial" w:eastAsia="Arial" w:hAnsi="Arial"/>
                <w:sz w:val="13"/>
                <w:szCs w:val="13"/>
                <w:color w:val="auto"/>
              </w:rPr>
              <w:t>revenue</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516.0</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57.8</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1,426.8</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(1,023.2)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403.6</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1,111.1</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(1,236.8)</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(125.7)</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877.2</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(1,266.9)</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(389.7)</w:t>
            </w:r>
          </w:p>
        </w:tc>
        <w:tc>
          <w:tcPr>
            <w:tcW w:w="0" w:type="dxa"/>
            <w:vAlign w:val="bottom"/>
          </w:tcPr>
          <w:p>
            <w:pPr>
              <w:spacing w:after="0"/>
              <w:rPr>
                <w:sz w:val="1"/>
                <w:szCs w:val="1"/>
                <w:color w:val="auto"/>
              </w:rPr>
            </w:pPr>
          </w:p>
        </w:tc>
      </w:tr>
      <w:tr>
        <w:trPr>
          <w:trHeight w:val="138"/>
        </w:trPr>
        <w:tc>
          <w:tcPr>
            <w:tcW w:w="1620" w:type="dxa"/>
            <w:vAlign w:val="bottom"/>
            <w:tcBorders>
              <w:right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Bayer collaboration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revenue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525.6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541.2</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1,188.8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1,145.6</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1,076.7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1,036.1</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938.1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846.0</w:t>
            </w: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rPr>
                <w:sz w:val="20"/>
                <w:szCs w:val="20"/>
                <w:color w:val="auto"/>
              </w:rPr>
            </w:pPr>
            <w:r>
              <w:rPr>
                <w:rFonts w:ascii="Arial" w:cs="Arial" w:eastAsia="Arial" w:hAnsi="Arial"/>
                <w:sz w:val="13"/>
                <w:szCs w:val="13"/>
                <w:color w:val="auto"/>
              </w:rPr>
              <w:t>Other revenue</w:t>
            </w:r>
          </w:p>
        </w:tc>
        <w:tc>
          <w:tcPr>
            <w:tcW w:w="460" w:type="dxa"/>
            <w:vAlign w:val="bottom"/>
          </w:tcPr>
          <w:p>
            <w:pPr>
              <w:jc w:val="right"/>
              <w:spacing w:after="0"/>
              <w:rPr>
                <w:sz w:val="20"/>
                <w:szCs w:val="20"/>
                <w:color w:val="auto"/>
              </w:rPr>
            </w:pPr>
            <w:r>
              <w:rPr>
                <w:rFonts w:ascii="Arial" w:cs="Arial" w:eastAsia="Arial" w:hAnsi="Arial"/>
                <w:sz w:val="13"/>
                <w:szCs w:val="13"/>
                <w:color w:val="auto"/>
              </w:rPr>
              <w:t>275.0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413.4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(239.4)</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174.0</w:t>
            </w:r>
          </w:p>
        </w:tc>
        <w:tc>
          <w:tcPr>
            <w:tcW w:w="14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416.8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(287.8)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129.0</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338.4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(255.7)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82.7</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2,950.4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7,863.4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(1,305.8)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6,557.6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6,710.8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(1,565.2)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5,145.6</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5,872.2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(1,614.7)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4,257.5</w:t>
            </w:r>
          </w:p>
        </w:tc>
        <w:tc>
          <w:tcPr>
            <w:tcW w:w="0" w:type="dxa"/>
            <w:vAlign w:val="bottom"/>
          </w:tcPr>
          <w:p>
            <w:pPr>
              <w:spacing w:after="0"/>
              <w:rPr>
                <w:sz w:val="1"/>
                <w:szCs w:val="1"/>
                <w:color w:val="auto"/>
              </w:rPr>
            </w:pPr>
          </w:p>
        </w:tc>
      </w:tr>
      <w:tr>
        <w:trPr>
          <w:trHeight w:val="142"/>
        </w:trPr>
        <w:tc>
          <w:tcPr>
            <w:tcW w:w="1620" w:type="dxa"/>
            <w:vAlign w:val="bottom"/>
          </w:tcPr>
          <w:p>
            <w:pPr>
              <w:ind w:left="20"/>
              <w:spacing w:after="0" w:line="142" w:lineRule="exact"/>
              <w:rPr>
                <w:sz w:val="20"/>
                <w:szCs w:val="20"/>
                <w:color w:val="auto"/>
              </w:rPr>
            </w:pPr>
            <w:r>
              <w:rPr>
                <w:rFonts w:ascii="Arial" w:cs="Arial" w:eastAsia="Arial" w:hAnsi="Arial"/>
                <w:sz w:val="13"/>
                <w:szCs w:val="13"/>
                <w:color w:val="auto"/>
              </w:rPr>
              <w:t>Expenses:</w:t>
            </w: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20" w:type="dxa"/>
            <w:vAlign w:val="bottom"/>
            <w:tcBorders>
              <w:right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Research and</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development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1,305.9</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1,371.6</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3,036.6</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(586.6)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2,450.0</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2,186.1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(717.3)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1,468.8</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2,075.1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(894.6)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1,180.5</w:t>
            </w:r>
          </w:p>
        </w:tc>
        <w:tc>
          <w:tcPr>
            <w:tcW w:w="0" w:type="dxa"/>
            <w:vAlign w:val="bottom"/>
          </w:tcPr>
          <w:p>
            <w:pPr>
              <w:spacing w:after="0"/>
              <w:rPr>
                <w:sz w:val="1"/>
                <w:szCs w:val="1"/>
                <w:color w:val="auto"/>
              </w:rPr>
            </w:pPr>
          </w:p>
        </w:tc>
      </w:tr>
      <w:tr>
        <w:trPr>
          <w:trHeight w:val="138"/>
        </w:trPr>
        <w:tc>
          <w:tcPr>
            <w:tcW w:w="1620" w:type="dxa"/>
            <w:vAlign w:val="bottom"/>
          </w:tcPr>
          <w:p>
            <w:pPr>
              <w:ind w:left="120"/>
              <w:spacing w:after="0" w:line="138" w:lineRule="exact"/>
              <w:rPr>
                <w:sz w:val="20"/>
                <w:szCs w:val="20"/>
                <w:color w:val="auto"/>
              </w:rPr>
            </w:pPr>
            <w:r>
              <w:rPr>
                <w:rFonts w:ascii="Arial" w:cs="Arial" w:eastAsia="Arial" w:hAnsi="Arial"/>
                <w:sz w:val="13"/>
                <w:szCs w:val="13"/>
                <w:color w:val="auto"/>
              </w:rPr>
              <w:t>Selling, general, and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220"/>
              <w:spacing w:after="0"/>
              <w:rPr>
                <w:sz w:val="20"/>
                <w:szCs w:val="20"/>
                <w:color w:val="auto"/>
              </w:rPr>
            </w:pPr>
            <w:r>
              <w:rPr>
                <w:rFonts w:ascii="Arial" w:cs="Arial" w:eastAsia="Arial" w:hAnsi="Arial"/>
                <w:sz w:val="13"/>
                <w:szCs w:val="13"/>
                <w:color w:val="auto"/>
              </w:rPr>
              <w:t>administrative</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715.6</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585.7</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1,834.8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(492.9)</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1,341.9</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1,556.2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(429.0)</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1,127.2</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1,320.4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(380.4)</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940.0</w:t>
            </w:r>
          </w:p>
        </w:tc>
        <w:tc>
          <w:tcPr>
            <w:tcW w:w="0" w:type="dxa"/>
            <w:vAlign w:val="bottom"/>
          </w:tcPr>
          <w:p>
            <w:pPr>
              <w:spacing w:after="0"/>
              <w:rPr>
                <w:sz w:val="1"/>
                <w:szCs w:val="1"/>
                <w:color w:val="auto"/>
              </w:rPr>
            </w:pPr>
          </w:p>
        </w:tc>
      </w:tr>
      <w:tr>
        <w:trPr>
          <w:trHeight w:val="148"/>
        </w:trPr>
        <w:tc>
          <w:tcPr>
            <w:tcW w:w="16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goods sold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181.3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137.9</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362.3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362.3</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180.0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180.0</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202.5</w:t>
            </w:r>
          </w:p>
        </w:tc>
        <w:tc>
          <w:tcPr>
            <w:tcW w:w="0" w:type="dxa"/>
            <w:vAlign w:val="bottom"/>
          </w:tcPr>
          <w:p>
            <w:pPr>
              <w:spacing w:after="0"/>
              <w:rPr>
                <w:sz w:val="1"/>
                <w:szCs w:val="1"/>
                <w:color w:val="auto"/>
              </w:rPr>
            </w:pPr>
          </w:p>
        </w:tc>
      </w:tr>
      <w:tr>
        <w:trPr>
          <w:trHeight w:val="138"/>
        </w:trPr>
        <w:tc>
          <w:tcPr>
            <w:tcW w:w="1620" w:type="dxa"/>
            <w:vAlign w:val="bottom"/>
          </w:tcPr>
          <w:p>
            <w:pPr>
              <w:ind w:left="120"/>
              <w:spacing w:after="0" w:line="138" w:lineRule="exact"/>
              <w:rPr>
                <w:sz w:val="20"/>
                <w:szCs w:val="20"/>
                <w:color w:val="auto"/>
              </w:rPr>
            </w:pPr>
            <w:r>
              <w:rPr>
                <w:rFonts w:ascii="Arial" w:cs="Arial" w:eastAsia="Arial" w:hAnsi="Arial"/>
                <w:sz w:val="13"/>
                <w:szCs w:val="13"/>
                <w:color w:val="auto"/>
              </w:rPr>
              <w:t>Cost of collaboration and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220"/>
              <w:spacing w:after="0"/>
              <w:rPr>
                <w:sz w:val="20"/>
                <w:szCs w:val="20"/>
                <w:color w:val="auto"/>
              </w:rPr>
            </w:pPr>
            <w:r>
              <w:rPr>
                <w:rFonts w:ascii="Arial" w:cs="Arial" w:eastAsia="Arial" w:hAnsi="Arial"/>
                <w:sz w:val="13"/>
                <w:szCs w:val="13"/>
                <w:color w:val="auto"/>
              </w:rPr>
              <w:t>contract manufacturing</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311.5</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180.0</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419.9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(17.1)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402.8</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254.1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(16.6)</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237.5</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194.6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(25.2)</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38"/>
        </w:trPr>
        <w:tc>
          <w:tcPr>
            <w:tcW w:w="1620" w:type="dxa"/>
            <w:vAlign w:val="bottom"/>
            <w:tcBorders>
              <w:right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Other operating (income)</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expense, net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(120.4)</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(209.2)</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(402.3)</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(314.5)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(314.5)</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2,423.7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2,154.8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5,653.6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(1,305.8)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4,347.8</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4,176.4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(1,565.2)</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2,611.2</w:t>
            </w: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3,792.6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(1,614.7)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2,177.9</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right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Income from operations</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1,356.5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795.6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2,209.8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2,209.8</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2,534.4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2,534.4</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2,079.6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2,079.6</w:t>
            </w:r>
          </w:p>
        </w:tc>
        <w:tc>
          <w:tcPr>
            <w:tcW w:w="0" w:type="dxa"/>
            <w:vAlign w:val="bottom"/>
          </w:tcPr>
          <w:p>
            <w:pPr>
              <w:spacing w:after="0"/>
              <w:rPr>
                <w:sz w:val="1"/>
                <w:szCs w:val="1"/>
                <w:color w:val="auto"/>
              </w:rPr>
            </w:pPr>
          </w:p>
        </w:tc>
      </w:tr>
      <w:tr>
        <w:trPr>
          <w:trHeight w:val="131"/>
        </w:trPr>
        <w:tc>
          <w:tcPr>
            <w:tcW w:w="1620" w:type="dxa"/>
            <w:vAlign w:val="bottom"/>
          </w:tcPr>
          <w:p>
            <w:pPr>
              <w:ind w:left="20"/>
              <w:spacing w:after="0" w:line="131" w:lineRule="exact"/>
              <w:rPr>
                <w:sz w:val="20"/>
                <w:szCs w:val="20"/>
                <w:color w:val="auto"/>
              </w:rPr>
            </w:pPr>
            <w:r>
              <w:rPr>
                <w:rFonts w:ascii="Arial" w:cs="Arial" w:eastAsia="Arial" w:hAnsi="Arial"/>
                <w:sz w:val="13"/>
                <w:szCs w:val="13"/>
                <w:color w:val="auto"/>
              </w:rPr>
              <w:t>Other income (expense),</w:t>
            </w: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120"/>
              <w:spacing w:after="0"/>
              <w:rPr>
                <w:sz w:val="20"/>
                <w:szCs w:val="20"/>
                <w:color w:val="auto"/>
              </w:rPr>
            </w:pPr>
            <w:r>
              <w:rPr>
                <w:rFonts w:ascii="Arial" w:cs="Arial" w:eastAsia="Arial" w:hAnsi="Arial"/>
                <w:sz w:val="13"/>
                <w:szCs w:val="13"/>
                <w:color w:val="auto"/>
              </w:rPr>
              <w:t>net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231.0</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(24.8)</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219.3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219.3</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19.1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19.1</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1"/>
        </w:trPr>
        <w:tc>
          <w:tcPr>
            <w:tcW w:w="1620" w:type="dxa"/>
            <w:vAlign w:val="bottom"/>
            <w:tcBorders>
              <w:right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Income before income</w:t>
            </w: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1,587.5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770.8</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2,429.1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2,429.1</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2,553.5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2,553.5</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2,078.5</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2,078.5</w:t>
            </w:r>
          </w:p>
        </w:tc>
        <w:tc>
          <w:tcPr>
            <w:tcW w:w="0" w:type="dxa"/>
            <w:vAlign w:val="bottom"/>
          </w:tcPr>
          <w:p>
            <w:pPr>
              <w:spacing w:after="0"/>
              <w:rPr>
                <w:sz w:val="1"/>
                <w:szCs w:val="1"/>
                <w:color w:val="auto"/>
              </w:rPr>
            </w:pPr>
          </w:p>
        </w:tc>
      </w:tr>
      <w:tr>
        <w:trPr>
          <w:trHeight w:val="149"/>
        </w:trPr>
        <w:tc>
          <w:tcPr>
            <w:tcW w:w="162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460" w:type="dxa"/>
            <w:vAlign w:val="bottom"/>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313.3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313.3</w:t>
            </w:r>
          </w:p>
        </w:tc>
        <w:tc>
          <w:tcPr>
            <w:tcW w:w="14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109.1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109.1</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880.0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880.0</w:t>
            </w: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tcBorders>
              <w:right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Net income</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1"/>
              </w:rPr>
              <w:t>$ 1,521.9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654.2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2,115.8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$ 2,115.8</w:t>
            </w:r>
          </w:p>
        </w:tc>
        <w:tc>
          <w:tcPr>
            <w:tcW w:w="1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2,444.4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$ 2,444.4</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1,198.5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 $ 1,198.5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rFonts w:ascii="Arial" w:cs="Arial" w:eastAsia="Arial" w:hAnsi="Arial"/>
          <w:sz w:val="18"/>
          <w:szCs w:val="18"/>
          <w:color w:val="0000EE"/>
        </w:rPr>
      </w:pPr>
    </w:p>
    <w:p>
      <w:pPr>
        <w:ind w:left="1680" w:right="260" w:hanging="549"/>
        <w:spacing w:after="0" w:line="274" w:lineRule="auto"/>
        <w:tabs>
          <w:tab w:leader="none" w:pos="16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See above and our </w:t>
      </w:r>
      <w:hyperlink r:id="rId27">
        <w:r>
          <w:rPr>
            <w:rFonts w:ascii="Arial" w:cs="Arial" w:eastAsia="Arial" w:hAnsi="Arial"/>
            <w:sz w:val="13"/>
            <w:szCs w:val="13"/>
            <w:u w:val="single" w:color="auto"/>
            <w:color w:val="0000EE"/>
          </w:rPr>
          <w:t>Quarterly Report on Form 10-Q for the quarterly period ended June 30, 2020</w:t>
        </w:r>
      </w:hyperlink>
      <w:r>
        <w:rPr>
          <w:rFonts w:ascii="Arial" w:cs="Arial" w:eastAsia="Arial" w:hAnsi="Arial"/>
          <w:sz w:val="13"/>
          <w:szCs w:val="13"/>
          <w:color w:val="auto"/>
        </w:rPr>
        <w:t>, which is incorporated by reference into this prospectus supplement, for a description of certain presentation changes effective January 1, 2020.</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337" w:lineRule="exact"/>
        <w:rPr>
          <w:rFonts w:ascii="Arial" w:cs="Arial" w:eastAsia="Arial" w:hAnsi="Arial"/>
          <w:sz w:val="18"/>
          <w:szCs w:val="18"/>
          <w:color w:val="0000EE"/>
        </w:rPr>
      </w:pPr>
    </w:p>
    <w:tbl>
      <w:tblPr>
        <w:tblLayout w:type="fixed"/>
        <w:tblInd w:w="1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(in millions)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020" w:type="dxa"/>
            <w:vAlign w:val="bottom"/>
          </w:tcPr>
          <w:p>
            <w:pPr>
              <w:ind w:left="120"/>
              <w:spacing w:after="0"/>
              <w:rPr>
                <w:sz w:val="20"/>
                <w:szCs w:val="20"/>
                <w:color w:val="auto"/>
              </w:rPr>
            </w:pPr>
            <w:r>
              <w:rPr>
                <w:rFonts w:ascii="Arial" w:cs="Arial" w:eastAsia="Arial" w:hAnsi="Arial"/>
                <w:sz w:val="13"/>
                <w:szCs w:val="13"/>
                <w:color w:val="auto"/>
              </w:rPr>
              <w:t>Cash, cash equivalents, and marketable securities (current and non-current)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5,731.8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6,471.1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4,564.9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2,896.0</w:t>
            </w:r>
          </w:p>
        </w:tc>
      </w:tr>
      <w:tr>
        <w:trPr>
          <w:trHeight w:val="149"/>
        </w:trPr>
        <w:tc>
          <w:tcPr>
            <w:tcW w:w="6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4"/>
              </w:rPr>
              <w:t>14,428.7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14,805.2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0"/>
              </w:rPr>
              <w:t>11,734.5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8,764.3</w:t>
            </w:r>
          </w:p>
        </w:tc>
      </w:tr>
      <w:tr>
        <w:trPr>
          <w:trHeight w:val="149"/>
        </w:trPr>
        <w:tc>
          <w:tcPr>
            <w:tcW w:w="6020" w:type="dxa"/>
            <w:vAlign w:val="bottom"/>
          </w:tcPr>
          <w:p>
            <w:pPr>
              <w:ind w:left="120"/>
              <w:spacing w:after="0"/>
              <w:rPr>
                <w:sz w:val="20"/>
                <w:szCs w:val="20"/>
                <w:color w:val="auto"/>
              </w:rPr>
            </w:pPr>
            <w:r>
              <w:rPr>
                <w:rFonts w:ascii="Arial" w:cs="Arial" w:eastAsia="Arial" w:hAnsi="Arial"/>
                <w:sz w:val="13"/>
                <w:szCs w:val="13"/>
                <w:color w:val="auto"/>
              </w:rPr>
              <w:t>Finance lease liabilities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715.9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713.9</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708.5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703.5</w:t>
            </w:r>
          </w:p>
        </w:tc>
      </w:tr>
      <w:tr>
        <w:trPr>
          <w:trHeight w:val="149"/>
        </w:trPr>
        <w:tc>
          <w:tcPr>
            <w:tcW w:w="6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9,057.4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11,089.7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8,757.3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6,144.1</w:t>
            </w:r>
          </w:p>
        </w:tc>
      </w:tr>
    </w:tbl>
    <w:p>
      <w:pPr>
        <w:spacing w:after="0" w:line="208"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S-9</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net proceeds from this offering are estimated to be $1,977 million (after deducting underwriting discounts and our estimated offering expenses). We intend to use the net proceeds from this offering to repay in full the $1.5 billion principal amount of loans outstanding under the credit agreement by and among us, as the borrower, Goldman Sachs Bank USA, as administrative agent, sole bookrunner, sole lead arranger, and a lender, and the other lenders party thereto from time to time (the "Sanofi Repurchase Bridge Facility") and to pay accrued interest and related fees and expenses in connection therewith. The remainder will be used for other general corporate purposes.</w:t>
      </w:r>
    </w:p>
    <w:p>
      <w:pPr>
        <w:spacing w:after="0" w:line="20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May 25, 2020, we entered into the Sanofi Repurchase Bridge Facility. Pursuant to the credit agreement for the Sanofi Repurchase Bridge Facility, the lenders provided commitments for a $1.5 billion senior unsecured 364-day bridge loan facility, which was funded in full on May 28, 2020. The proceeds of the loans under the Sanofi Repurchase Bridge Facility were used to fund, in part, the repurchase of shares of our common stock from Sanofi and to pay related fees, costs, and expenses.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loans under the Sanofi Repurchase Bridge Facility bear interest at a variable interest rate based on either the London Interbank Offered Rate or the alternate base rate, plus an applicable margin that varies with our debt rating and total leverage ratio. As of June 30, 2020, we had $1.5 billion principal amount of loans outstanding under the Sanofi Repurchase Bridge Facility and the loans bore interest at a rate of 2.75% per annum. The Sanofi Repurchase Bridge Facility matures, and all amounts outstanding thereunder will become due and payable in full, on May 27, 2021. We are required to prepay the loans under the Sanofi Repurchase Bridge Facility on a dollar-for-dollar basis with the net proceeds from this offering.</w:t>
      </w:r>
    </w:p>
    <w:p>
      <w:pPr>
        <w:spacing w:after="0" w:line="169"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Affiliates of certain of the underwriters are lenders under the Sanofi Repurchase Bridge Facility. Accordingly, affiliates of certain of the underwriters may receive at least 5% of the net proceeds from this offering in connection with the repayment of the Sanofi Repurchase Bridge Facility. See "Underwriting (Conflicts of Interest)—Other Relationships; Conflicts of Interest."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June 30, 2020:</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60" w:hanging="532"/>
        <w:spacing w:after="0" w:line="33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adjusted to give effect to this offering and the use of $1,509 million of net proceeds from this offering to repay the Sanofi Repurchase Bridge Facility in full and to pay accrued interest and related fees and expenses in connection therewith as described under "Use of Proceeds."</w:t>
      </w:r>
    </w:p>
    <w:p>
      <w:pPr>
        <w:spacing w:after="0" w:line="141" w:lineRule="exact"/>
        <w:rPr>
          <w:sz w:val="20"/>
          <w:szCs w:val="20"/>
          <w:color w:val="auto"/>
        </w:rPr>
      </w:pPr>
    </w:p>
    <w:p>
      <w:pPr>
        <w:ind w:right="480" w:firstLine="344"/>
        <w:spacing w:after="0" w:line="369" w:lineRule="auto"/>
        <w:rPr>
          <w:sz w:val="20"/>
          <w:szCs w:val="20"/>
          <w:color w:val="auto"/>
        </w:rPr>
      </w:pPr>
      <w:r>
        <w:rPr>
          <w:rFonts w:ascii="Arial" w:cs="Arial" w:eastAsia="Arial" w:hAnsi="Arial"/>
          <w:sz w:val="15"/>
          <w:szCs w:val="15"/>
          <w:color w:val="auto"/>
        </w:rPr>
        <w:t>You should read this table together with our financial statements and notes thereto and other financial and operating data included elsewhere in this prospectus supplement or in the accompanying prospectus or incorporated by reference into this prospectus supplement or the accompanying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6"/>
          </w:tcPr>
          <w:p>
            <w:pPr>
              <w:ind w:left="380"/>
              <w:spacing w:after="0"/>
              <w:rPr>
                <w:sz w:val="20"/>
                <w:szCs w:val="20"/>
                <w:color w:val="auto"/>
              </w:rPr>
            </w:pPr>
            <w:r>
              <w:rPr>
                <w:rFonts w:ascii="Arial" w:cs="Arial" w:eastAsia="Arial" w:hAnsi="Arial"/>
                <w:sz w:val="13"/>
                <w:szCs w:val="13"/>
                <w:b w:val="1"/>
                <w:bCs w:val="1"/>
                <w:color w:val="auto"/>
              </w:rPr>
              <w:t>June 30, 2020</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9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(in millions, except shares data)</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As Adjusted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marketable securities (current and 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5,731.8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6,199.8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tcPr>
          <w:p>
            <w:pPr>
              <w:spacing w:after="0"/>
              <w:rPr>
                <w:sz w:val="16"/>
                <w:szCs w:val="16"/>
                <w:color w:val="auto"/>
              </w:rPr>
            </w:pPr>
          </w:p>
        </w:tc>
        <w:tc>
          <w:tcPr>
            <w:tcW w:w="6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Sanofi Repurchase Bridge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Long-term borrowings: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Financing Facility</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1.750% Senior Notes due 2030</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2.800% Senior Notes due 2050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2,215.9</w:t>
            </w:r>
          </w:p>
        </w:tc>
        <w:tc>
          <w:tcPr>
            <w:tcW w:w="200" w:type="dxa"/>
            <w:vAlign w:val="bottom"/>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Preferred stock, $0.01 par value; 30,000,000 shares authorized, no shares issued and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outstanding (actual and as adjusted)</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80" w:type="dxa"/>
            <w:vAlign w:val="bottom"/>
            <w:gridSpan w:val="3"/>
          </w:tcPr>
          <w:p>
            <w:pPr>
              <w:jc w:val="right"/>
              <w:ind w:righ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stock, convertible, $0.001 par value; 40,000,000 shares authorized, 1,848,970 shares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(actual and as adjusted)</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w w:val="92"/>
              </w:rPr>
              <w:t>Common stock, $0.001 par value, 320,000,000 shares authorized, 119,757,931 shares issued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(actual and as adjusted)</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6,263.0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8,901.7</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8,901.7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Treasury stock, at cost, 15,578,240 shares (actual and as adjusted)</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(6,142.9)</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(6,142.9)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9,057.4</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9,057.4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2"/>
              </w:rPr>
              <w:t>11,273.3</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11,773.3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940" w:type="dxa"/>
            <w:vAlign w:val="bottom"/>
            <w:vMerge w:val="restart"/>
          </w:tcPr>
          <w:p>
            <w:pPr>
              <w:ind w:left="4340"/>
              <w:spacing w:after="0"/>
              <w:rPr>
                <w:sz w:val="20"/>
                <w:szCs w:val="20"/>
                <w:color w:val="auto"/>
              </w:rPr>
            </w:pPr>
            <w:r>
              <w:rPr>
                <w:rFonts w:ascii="Arial" w:cs="Arial" w:eastAsia="Arial" w:hAnsi="Arial"/>
                <w:sz w:val="18"/>
                <w:szCs w:val="18"/>
                <w:color w:val="auto"/>
              </w:rPr>
              <w:t>S-11</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Each of the 1.750% Senior Notes due 2030 (the "2030 notes") and the 2.800% Senior Notes due 2050 (the "2050 notes" and, together with the 2030 notes, the "notes") are a separate series of debt securities to be issued under an indenture to be dated August 12, 2020 between the Company and U.S. Bank National Association, as trustee, as supplemented by one or more supplemental indentures relating to the notes. We refer to this indenture, as supplemented by one or more supplemental indentures, as the "indenture." The terms of the notes include those stated in the indenture and those made part of the indenture by reference to the Trust Indenture Act of 1939, as amended. A copy of the indenture is available for inspection at the office of the trustee.</w:t>
      </w:r>
    </w:p>
    <w:p>
      <w:pPr>
        <w:spacing w:after="0" w:line="169" w:lineRule="exact"/>
        <w:rPr>
          <w:sz w:val="20"/>
          <w:szCs w:val="20"/>
          <w:color w:val="auto"/>
        </w:rPr>
      </w:pPr>
    </w:p>
    <w:p>
      <w:pPr>
        <w:ind w:right="1300" w:firstLine="341"/>
        <w:spacing w:after="0" w:line="268" w:lineRule="auto"/>
        <w:rPr>
          <w:sz w:val="20"/>
          <w:szCs w:val="20"/>
          <w:color w:val="auto"/>
        </w:rPr>
      </w:pPr>
      <w:r>
        <w:rPr>
          <w:rFonts w:ascii="Arial" w:cs="Arial" w:eastAsia="Arial" w:hAnsi="Arial"/>
          <w:sz w:val="18"/>
          <w:szCs w:val="18"/>
          <w:color w:val="auto"/>
        </w:rPr>
        <w:t>As used in this "Description of Notes," the terms "the Company," "we," "our," "us," and other similar references refer only to Regeneron Pharmaceuticals, Inc. and not to any of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5" w:lineRule="exact"/>
        <w:rPr>
          <w:sz w:val="20"/>
          <w:szCs w:val="20"/>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2030 notes will be initially limited to $1,250,000,000 aggregate principal amount and will mature and become due and payable, together with any accrued and unpaid interest thereon, on September 15, 2030.</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2050 notes will be initially limited to $750,000,000 aggregate principal amount and will mature and become due and payable, together with any accrued and unpaid interest thereon, on September 15, 2050.</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having such similar terms, together with that series of notes, could be considered part of the same series of notes under the indenture; provided that if the additional notes are not fungible with the notes of such series for U.S. federal income tax purposes, the additional notes will have a separate CUSIP number.</w:t>
      </w:r>
    </w:p>
    <w:p>
      <w:pPr>
        <w:spacing w:after="0" w:line="16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Notes of each of the series will bear interest at the applicable annual rate noted on the cover page of this prospectus supplement. Interest will be payable semiannually on March 15 and September 15 of each year, beginning March 15, 2021. Interest on the notes will be paid to holders of record at the close of business on the March 1 or September 1, whether or not a business day, immediately before the applicable interest payment date. The amount of interest payable on the notes will be computed on the basis of a 360-day year consisting of twelve 30-day months.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notes will be issued only in fully registered form, without coupons, in denominations of $2,000 and integral multiples of $1,000 in excess thereof.</w:t>
      </w:r>
    </w:p>
    <w:p>
      <w:pPr>
        <w:spacing w:after="0" w:line="24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notes will be our senior unsecured obligations and will rank equal in right of payment with our other existing and future senior unsecured obligations that are not, by their terms, expressly subordinated in right of payment to the notes, and senior in right of payment to any of our future subordinated indebtedness.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will be effectively subordinated to all of our existing and future secured indebtedness, including amounts outstanding under our Lease Financing Facility, and other secured liabilities, if any, to the extent of the value of the assets securing such indebtedness and liabilities. The indenture limits the amount of secured indebtedness that we or our Subsidiaries (as defined below) may incur pursuant to the covenant described under the heading "—Limitation on Liens." This covenant is subject to important exceptions described under such heading. As of June 30, 2020, we had $715.9 million of secured debt outstanding, consisting of amounts outstanding under our Lease Financing Facility.</w:t>
      </w:r>
    </w:p>
    <w:p>
      <w:pPr>
        <w:spacing w:after="0" w:line="169"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We conduct certain of our operations through subsidiaries, which generate a portion of our operating income and cash. As a result, distributions or advances from our Subsidiaries are a source of funds that may be necessary to meet our debt service and other obligations. Contractual provisions, laws, or regulations, as well as any Subsidiary's financial condition and operating requirements, may limit our ability to obtain cash required to service our debt obligations, including making payments on the notes.</w:t>
      </w:r>
    </w:p>
    <w:p>
      <w:pPr>
        <w:spacing w:after="0" w:line="19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notes will be structurally subordinated to all existing and future obligations of our Subsidiaries, including claims with respect to trade payables. This means that holders of the notes will have a junior position to the claims of creditors of our direct and indirect Subsidiaries on the assets and earnings of such Subsidiaries. The indenture does not limit the amount of debt that our Subsidiaries are permitted to incur. As of June 30, 2020, our Subsidiaries had no outstanding indebtedness (excluding intercompany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At any time prior to the Par Call Date (as defined below) applicable to a series of notes, from time to time, the notes are redeemable, as a whole or in part, at our option, on at least 10 days, but not more than 60 days, prior notice mailed to the registered address of each holder of the notes to be redeemed (or otherwise delivered in accordance with the applicable procedures of DTC), at a redemption price equal to the greater of:</w:t>
      </w:r>
    </w:p>
    <w:p>
      <w:pPr>
        <w:spacing w:after="0" w:line="174"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52" w:lineRule="exact"/>
        <w:rPr>
          <w:rFonts w:ascii="Arial" w:cs="Arial" w:eastAsia="Arial" w:hAnsi="Arial"/>
          <w:sz w:val="18"/>
          <w:szCs w:val="18"/>
          <w:color w:val="auto"/>
        </w:rPr>
      </w:pPr>
    </w:p>
    <w:p>
      <w:pPr>
        <w:jc w:val="both"/>
        <w:ind w:left="1080" w:right="100" w:hanging="532"/>
        <w:spacing w:after="0" w:line="323"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(through the applicable Par Call Date assuming for such purpose that such notes matured on the applicable Par Call Date) of interest and principal thereon (exclusive of interest accrued and unpaid to, but not including, the redemption date) discounted to the redemption date on a semiannual basis, assuming a 360-day year consisting of twelve 30-day months, at the Treasury Rate (as defined below) plus 20 basis points, in the case of the 2030 notes, and 25 basis points, in the case of the 2050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redemption date.</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addition, at any time on or after the Par Call Date applicable to a series of notes, the notes may be redeemed, as a whole or in part, at our option, on at least 10 days, but not more than 60 days, prior notice mailed to the registered address of each holder of the notes to be redeemed (or otherwise delivered in accordance with the applicable procedures of DTC), at a redemption price equal to 100% of the principal amount of the notes to be redeemed on the redemption date plus accrued and unpaid interest to, but not including, the redemption date.</w:t>
      </w:r>
    </w:p>
    <w:p>
      <w:pPr>
        <w:spacing w:after="0" w:line="16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"Comparable Treasury Issue" means the U.S. Treasury security or securities selected by an Independent Investment Banker (as defined below) as having an actual or interpolated maturity comparable to the remaining term of the notes of the applicable series ("Remaining Life") to be redeemed that would be utilized, at the time of selection and in accordance with customary financial practice, in pricing new issues of corporate debt securities of a comparable maturity to the remaining term of such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60" w:firstLine="351"/>
        <w:spacing w:after="0" w:line="306" w:lineRule="auto"/>
        <w:rPr>
          <w:sz w:val="20"/>
          <w:szCs w:val="20"/>
          <w:color w:val="auto"/>
        </w:rPr>
      </w:pPr>
      <w:r>
        <w:rPr>
          <w:rFonts w:ascii="Arial" w:cs="Arial" w:eastAsia="Arial" w:hAnsi="Arial"/>
          <w:sz w:val="16"/>
          <w:szCs w:val="16"/>
          <w:color w:val="auto"/>
        </w:rPr>
        <w:t>"Comparable Treasury Price" means, with respect to any notes of a series on any redemption date, (A) the average of the Reference Treasury Dealer Quotations (as defined below)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"Independent Investment Banker" means one of the Reference Treasury Dealers (as defined below) appointed by 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 Call Date" means:</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2030 notes, June 15, 2030 (three months prior to the maturity date of the 2030 notes);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2050 notes, March 15, 2050 (six months prior to the maturity date of the 2050 notes).</w:t>
      </w:r>
    </w:p>
    <w:p>
      <w:pPr>
        <w:spacing w:after="0" w:line="225" w:lineRule="exact"/>
        <w:rPr>
          <w:sz w:val="20"/>
          <w:szCs w:val="20"/>
          <w:color w:val="auto"/>
        </w:rPr>
      </w:pPr>
    </w:p>
    <w:p>
      <w:pPr>
        <w:ind w:right="380" w:firstLine="351"/>
        <w:spacing w:after="0" w:line="254" w:lineRule="auto"/>
        <w:rPr>
          <w:sz w:val="20"/>
          <w:szCs w:val="20"/>
          <w:color w:val="auto"/>
        </w:rPr>
      </w:pPr>
      <w:r>
        <w:rPr>
          <w:rFonts w:ascii="Arial" w:cs="Arial" w:eastAsia="Arial" w:hAnsi="Arial"/>
          <w:sz w:val="18"/>
          <w:szCs w:val="18"/>
          <w:color w:val="auto"/>
        </w:rPr>
        <w:t>"Reference Treasury Dealer" means each of Goldman Sachs &amp; Co. LLC, BofA Securities, Inc., and J.P. Morgan Securities LLC, or their respective affiliates, which are primary U.S. Government securities dealers in The City of New York, and their respective successors, plus two other primary U.S. Government securities dealers in The City of New York selected by us; provided, however, that if any of the foregoing or their affiliates shall cease to be a primary U.S. Government securities dealer in The City of New York (a "Primary Treasury Dealer"), we will substitute therefor another Primary Treasury Dealer.</w:t>
      </w:r>
    </w:p>
    <w:p>
      <w:pPr>
        <w:spacing w:after="0" w:line="20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97"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"Treasury Rate" means, with respect to any redemption date: (1) the rate per annum equal to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provided that, if no maturity is within three months before or after the Remaining Life of the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 The Treasury Rate shall be calculated on the third business day preceding the redemption date.</w:t>
      </w:r>
    </w:p>
    <w:p>
      <w:pPr>
        <w:spacing w:after="0" w:line="16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and after the redemption date for the notes of the applicable series, interest will cease to accrue on the notes of that series or any portion thereof called for redemption, unless we default in the payment of the redemption price (and any accrued and unpaid interest payable on such notes to be redeemed).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in accordance with its standard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 Any redemption or notice of redemption may, at our discretion, be subject to one or more conditions precedent, and, at our discretion, the redemption date may be delayed until such time as any or all such conditions shall be satisfied. We will provide written notice to the trustee prior to the close of business two business days prior to the redemption date if any such redemption has been rescinded or delayed, and upon receipt the trustee shall provide such notice to each holder of the notes in the same manner in which the notice of redemption was given.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a Change of Control Triggering Event occurs with respect to the notes of a series, unless we have exercised our option to redeem the notes of such series as described above, we will be required to make an offer (the "Change of Control Offer") to each holder of the notes of such series to repurchase all or any part (equal to $2,000 or an integral multiple of $1,000 in excess thereof) of that holder's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our option, prior to any Change of Control, but after public announcement of the transaction that constitutes or may constitute the Change of Control, a notice will be mailed (or otherwise delivered in accordance with the applicable procedures of DTC) to holders of the notes of the applicable series describing the transaction that constitutes or may constitute the Change of Control Triggering Event and offering to repurchase the notes of such series on the date specified in the notice, which date will be no earlier than 10 days and no later than 60 days from the date such notice is mailed (or otherwise delivered in accordance with the applicable procedures of DTC) or, if the notice is mailed (or otherwise delivered) prior to the Change of Control, no earlier than 10 days and no later than 60 days from the date on which the Change of Control Triggering Event occurs (the "Change of Control Payment Date"). The notice will, if mailed (or otherwise delivered) prior to the date of consummation of the Change of Control, state that the offer to purchase is conditioned on the Change of Control Triggering Event occurring on or prior to the Change of Control Payment Date.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86"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will comply in all material respects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becomes the beneficial owner (as defined in Rules 13d-3 and 13d-5 under the Exchange Act), directly or indirectly, of more than 50% of our Voting Stock (as defined below) or other Voting Stock into which our Voting Stock is reclassified, consolidated, exchanged, or changed, measured by voting power rather than number of shares; provided, however, that a Person (as defined below)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in each case, measured by voting power rather than number of shares; or (4) the adoption of a plan relating to our liquidation or dissolution.</w:t>
      </w:r>
    </w:p>
    <w:p>
      <w:pPr>
        <w:spacing w:after="0" w:line="183"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Notwithstanding clauses (1) through (3) above, a transaction will not be considered to be a Change of Control if (a) we become a direct or indirect wholly-owned subsidiary of a holding company and (b)(x) immediately following that transaction, the direct or indirect holders of the Voting Stock of the holding company are substantially the same as the holders of our Voting Stock immediately prior to that transaction or (y) immediately following that transaction, no person is the beneficial owner, directly or indirectly, of more than 50% of the Voting Stock of such holding company, in each case, measured by voting power rather than number of shares.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 (as defined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 (or the equivalent) by S&amp;P (as defined below) or the equivalent investment grade credit rating from any additional rating agency or Rating Agencies (as defined below) selected by the Company.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"Rating Agencies" means (1) each of Moody's and S&amp;P and (2) if any of Moody's and S&amp;P ceases to rate the notes 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and which is reasonably acceptable to the trustee as a replacement agency for Moody's or S&amp;P, or both of them, as the case may be.</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"Rating Event" means with respect to either series of notes, the rating on such notes is lowered by each of the Rating Agencies (or if there is only one Rating Agency, by such Rating Agency) and such notes are rated below an Investment Grade Rating by each of the Rating Agencies (or if there is only one Rating Agency, by such Rating Agency),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Standard &amp; Poor's Rating Services, a Standard &amp; Poor's Financial Services LLC business, or any successor thereto.</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of either series as a result of the sale, lease, transfer, conveyance, or other disposition of less than all of our assets and the assets of our Subsidiaries, taken as a whole, to one or more "persons" (as that term is used in Section 13(d) of the Exchange Act) (other than to us or one of our Subsidiaries) may be uncertain.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23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Other than as provided in this section or as provided under "—Exempted Liens and Sale and Leaseback Transactions," we will not, and will not permit any Subsidiary of ours to, create or assume any Indebtedness (as defined below) secured by any Lien (as defined below) on any of our or their respective Principal Properties (as defined below) unless the notes are secured by such Lien (as defined below) equally and ratably with, or prior to, the Indebtedness secured by such Lien. This restriction does not apply to Indebtedness that is secured by:</w:t>
      </w:r>
    </w:p>
    <w:p>
      <w:pPr>
        <w:spacing w:after="0" w:line="18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existing on the date of the issuance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securing only the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223"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187"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in favor of the U.S. or any state thereof or other political subdivision, or any agency or instrumentality of any of the foregoing, to secure certain payments pursuant to any contract or statute;</w:t>
      </w:r>
    </w:p>
    <w:p>
      <w:pPr>
        <w:spacing w:after="0" w:line="199"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exceptions, easements, licenses, leases, and other similar Liens imposed by law or arising in the ordinary course of business and that do not materially impair the use of the property subject thereto;</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to secure obligations under worker's compensation laws, unemployment compensation, old-age pensions, and other social security benefits or similar legislation;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arising out of legal proceedings, including Liens arising out of judgments or awards;</w:t>
      </w:r>
    </w:p>
    <w:p>
      <w:pPr>
        <w:spacing w:after="0" w:line="252"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207"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 or</w:t>
      </w:r>
    </w:p>
    <w:p>
      <w:pPr>
        <w:spacing w:after="0" w:line="238" w:lineRule="exact"/>
        <w:rPr>
          <w:rFonts w:ascii="Arial" w:cs="Arial" w:eastAsia="Arial" w:hAnsi="Arial"/>
          <w:sz w:val="18"/>
          <w:szCs w:val="18"/>
          <w:color w:val="auto"/>
        </w:rPr>
      </w:pPr>
    </w:p>
    <w:p>
      <w:pPr>
        <w:ind w:left="1080" w:right="80" w:hanging="532"/>
        <w:spacing w:after="0" w:line="323" w:lineRule="auto"/>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Principal Property and the Indebtedness so secured does not exceed the fair market value (as determined by our board of directors) of the assets subject to such Liens at the time of such</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extension, renewal, refinancing, or refunding, or such amendment, consent, or waiver, as the case may be.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Other than as provided under "—Exempted Liens and Sale and Leaseback Transactions," we will not, and will not permit any of our Subsidiaries to, enter into any Sale and Leaseback Transaction (as defined below) with respect to any of our or their respective Principal Properties, the acquisition or completion of construction and commencement of full operations of which has occurred more than 270 days prior thereto, unless:</w:t>
      </w:r>
    </w:p>
    <w:p>
      <w:pPr>
        <w:spacing w:after="0" w:line="174"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 or was for the sale and leasing back of any property between Subsidiaries;</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(as defined below) with respect to such Sale and Leaseback Transaction without equally and ratably securing the notes pursuant to the first paragraph of "—Limitation on Liens" above;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lease is for a period not in excess of five years, including renewal rights; or</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apply the net cash proceeds of the sale of the property leased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retirement of the notes or debt of ours ranking equally with the notes or to the retirement of any debt of a Subsidiary of ours, or</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acquisition of another Principal Property.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15% of Consolidated Total Assets (as defined below):</w:t>
      </w:r>
    </w:p>
    <w:p>
      <w:pPr>
        <w:spacing w:after="0" w:line="221" w:lineRule="exact"/>
        <w:rPr>
          <w:sz w:val="20"/>
          <w:szCs w:val="20"/>
          <w:color w:val="auto"/>
        </w:rPr>
      </w:pPr>
    </w:p>
    <w:p>
      <w:pPr>
        <w:ind w:left="1080" w:right="20" w:hanging="532"/>
        <w:spacing w:after="0" w:line="33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outstanding Indebtedness secured by such Liens (not including any Liens otherwise permitted under "—Limitation on Liens" which amount does not include any Liens permitted under the provisions of this "—Exempted Liens and Sale and Leaseback Transactions"); plus</w:t>
      </w:r>
    </w:p>
    <w:p>
      <w:pPr>
        <w:spacing w:after="0" w:line="154" w:lineRule="exact"/>
        <w:rPr>
          <w:rFonts w:ascii="Arial" w:cs="Arial" w:eastAsia="Arial" w:hAnsi="Arial"/>
          <w:sz w:val="16"/>
          <w:szCs w:val="16"/>
          <w:color w:val="auto"/>
        </w:rPr>
      </w:pPr>
    </w:p>
    <w:p>
      <w:pPr>
        <w:ind w:left="1080" w:right="52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Attributable Debt in respect of such Sale and Leaseback Transaction entered into (not including any Sale and Leaseback Transactions otherwise permitted under "—Limitation on Sale and Leaseback Transactions" which amount does not include any Sale and Leaseback Transactions permitted under the provisions of this "—Exempted Liens and Sale and Leaseback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measured, in each case, at the time such Lien is incurred or any such Sale and Leaseback Transaction is entered into by us or such Subsidiary of ours.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199" w:lineRule="exact"/>
        <w:rPr>
          <w:sz w:val="20"/>
          <w:szCs w:val="20"/>
          <w:color w:val="auto"/>
        </w:rPr>
      </w:pPr>
    </w:p>
    <w:p>
      <w:pPr>
        <w:ind w:left="1080" w:right="200" w:hanging="532"/>
        <w:spacing w:after="0" w:line="33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167" w:lineRule="exact"/>
        <w:rPr>
          <w:rFonts w:ascii="Arial" w:cs="Arial" w:eastAsia="Arial" w:hAnsi="Arial"/>
          <w:sz w:val="16"/>
          <w:szCs w:val="16"/>
          <w:color w:val="auto"/>
        </w:rPr>
      </w:pPr>
    </w:p>
    <w:p>
      <w:pPr>
        <w:ind w:left="1080" w:right="6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U.S., any state thereof or the District of Columbia;</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deliver an officers' certificate and an opinion of counsel to the trustee, each stating compliance with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"event of default" in respect of each series of the notes means any of the following:</w:t>
      </w:r>
    </w:p>
    <w:p>
      <w:pPr>
        <w:spacing w:after="0" w:line="25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of that series on its due date;</w:t>
      </w:r>
    </w:p>
    <w:p>
      <w:pPr>
        <w:spacing w:after="0" w:line="238"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pay interest on the notes of that series within 30 days of its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207" w:lineRule="exact"/>
        <w:rPr>
          <w:rFonts w:ascii="Arial" w:cs="Arial" w:eastAsia="Arial" w:hAnsi="Arial"/>
          <w:sz w:val="18"/>
          <w:szCs w:val="18"/>
          <w:color w:val="auto"/>
        </w:rPr>
      </w:pPr>
    </w:p>
    <w:p>
      <w:pPr>
        <w:ind w:left="1080" w:right="340" w:hanging="532"/>
        <w:spacing w:after="0" w:line="33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remain in breach of a covenant in respect of the notes of that series for 90 days after we receive a written notice of default in accordance with the provisions of the indenture stating we are in breach and requiring that we remedy the breach; or</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If an event of default (other than due to certain events in bankruptcy, insolvency, or reorganization) with respect to the notes of a series has occurred and has not been cured, the trustee or the holders of at least 25% in aggregate principal amount of the notes of that series may, by a notice in writing to us (and to the trustee if given by the holders), declare the entire principal amount (and premium, if any) of, and all the accrued and unpaid interest on, the notes of that series to be due and immediately payable. This is called a declaration of acceleration of maturity. If an event of default with respect to the notes of any of the series occurs because of certain events in bankruptcy, insolvency, or reorganization relating to us, the principal amount of the notes of that series will be automatically accelerated, without any action by the trustee or any holder. Holders of a majority in aggregate principal amount of the notes of a series may also waive certain past defaults under the indenture on behalf of all of the holders of the notes of that series. A declaration of acceleration of maturity with respect to the notes of a series may be canceled, under specific circumstances, by the holders of at least a majority in aggregate principal amount of the notes of that series. In addition, an event of default applicable to the notes of a series that causes the notes of such series to be accelerated may give rise to cross-defaults under our existing and future borrowing arrangements.</w:t>
      </w:r>
    </w:p>
    <w:p>
      <w:pPr>
        <w:spacing w:after="0" w:line="17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indenture. The trustee will generally give the holders of notes notice within 90 days of the occurrence of an event of default known to the trustee.</w:t>
      </w:r>
    </w:p>
    <w:p>
      <w:pPr>
        <w:spacing w:after="0" w:line="24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of the holders unless the holders offer the trustee indemnity and/or security satisfactory to it. If indemnity or security satisfactory to the trustee is provided, the holders of a majority in aggregate principal amount of the notes of the applicable series may, with respect to the notes of that series,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6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of the applicable series, the following must occur:</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252"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that series must make a written request that the trustee take action because of the default and must offer the trustee indemnity and/or security satisfactory to it against the cost and other liabilities of taking that action;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and/or security;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of that series must not have given the trustee a direction inconsistent with the above notice.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Full Defeasance. </w:t>
      </w:r>
      <w:r>
        <w:rPr>
          <w:rFonts w:ascii="Arial" w:cs="Arial" w:eastAsia="Arial" w:hAnsi="Arial"/>
          <w:sz w:val="18"/>
          <w:szCs w:val="18"/>
          <w:color w:val="auto"/>
        </w:rPr>
        <w:t>If the Internal Revenue Service issues a ruling or there is a change in applicable U.S. federal tax law, as described below, we can</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release ourselves from any payment or other obligations on the notes, called "full defeasance," if we put in place the following other arrangements for you to be repaid:</w:t>
      </w:r>
    </w:p>
    <w:p>
      <w:pPr>
        <w:spacing w:after="0" w:line="221" w:lineRule="exact"/>
        <w:rPr>
          <w:sz w:val="20"/>
          <w:szCs w:val="20"/>
          <w:color w:val="auto"/>
        </w:rPr>
      </w:pPr>
    </w:p>
    <w:p>
      <w:pPr>
        <w:jc w:val="both"/>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207"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you will not recognize income, gain, or loss for U.S. federal income tax purposes as a result of the full defeasance and that you will not be taxed on the notes any differently than if the full defeasance had not occurred.</w:t>
      </w:r>
    </w:p>
    <w:p>
      <w:pPr>
        <w:spacing w:after="0" w:line="14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 You could not look to us for repayment in the unlikely event of any shortfall. Conversely, the trust deposit would most likely be protected from claims of our lenders and other creditors if we ever become bankrupt or insolvent.</w:t>
      </w:r>
    </w:p>
    <w:p>
      <w:pPr>
        <w:spacing w:after="0" w:line="194" w:lineRule="exact"/>
        <w:rPr>
          <w:sz w:val="20"/>
          <w:szCs w:val="20"/>
          <w:color w:val="auto"/>
        </w:rPr>
      </w:pPr>
    </w:p>
    <w:p>
      <w:pPr>
        <w:ind w:right="520" w:firstLine="351"/>
        <w:spacing w:after="0" w:line="369" w:lineRule="auto"/>
        <w:rPr>
          <w:sz w:val="20"/>
          <w:szCs w:val="20"/>
          <w:color w:val="auto"/>
        </w:rPr>
      </w:pPr>
      <w:r>
        <w:rPr>
          <w:rFonts w:ascii="Arial" w:cs="Arial" w:eastAsia="Arial" w:hAnsi="Arial"/>
          <w:sz w:val="15"/>
          <w:szCs w:val="15"/>
          <w:i w:val="1"/>
          <w:iCs w:val="1"/>
          <w:color w:val="auto"/>
        </w:rPr>
        <w:t xml:space="preserve">Covenant Defeasance. </w:t>
      </w:r>
      <w:r>
        <w:rPr>
          <w:rFonts w:ascii="Arial" w:cs="Arial" w:eastAsia="Arial" w:hAnsi="Arial"/>
          <w:sz w:val="15"/>
          <w:szCs w:val="15"/>
          <w:color w:val="auto"/>
        </w:rPr>
        <w:t>We can be released from the restrictive covenants in the notes if we make the arrangements described below. This is called</w:t>
      </w:r>
      <w:r>
        <w:rPr>
          <w:rFonts w:ascii="Arial" w:cs="Arial" w:eastAsia="Arial" w:hAnsi="Arial"/>
          <w:sz w:val="15"/>
          <w:szCs w:val="15"/>
          <w:i w:val="1"/>
          <w:iCs w:val="1"/>
          <w:color w:val="auto"/>
        </w:rPr>
        <w:t xml:space="preserve"> </w:t>
      </w:r>
      <w:r>
        <w:rPr>
          <w:rFonts w:ascii="Arial" w:cs="Arial" w:eastAsia="Arial" w:hAnsi="Arial"/>
          <w:sz w:val="15"/>
          <w:szCs w:val="15"/>
          <w:color w:val="auto"/>
        </w:rPr>
        <w:t>"covenant defeasance." In that event, you would lose the protection of those restrictive covenants but would gain the protection of having money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set aside in trust to repay the notes. In order to achieve covenant defeasance, we must do the following:</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220"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U.S. federal income tax law you will not recognize income, gain, or loss for U.S. federal income tax purposes as a result of the covenant defeasance and that you will not be taxed on the notes any differently than if the covenant defeasance had not occurred.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accomplish covenant defeasance, the following provisions of the indenture and the notes would no longer apply unless otherwise specified:</w:t>
      </w:r>
    </w:p>
    <w:p>
      <w:pPr>
        <w:spacing w:after="0" w:line="26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promises regarding conduct of our business and other matters and any other covenants applicable to the series of notes;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definition of an event of default as a breach of such covenants.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 In fact, if one of the remaining events of default occurred (such as our bankruptcy) and the notes become immediately due and payable, there may be such a shortfall. Depending on the event causing the default, you may not be able to obtain payment of the shortfall.</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of such series on the date the irrevocable deposit is made or at any time during the period ending on the 91st day after the deposit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generally may modify and amend the indenture with the consent of the holders of at least a majority in aggregate principal amount of the outstanding notes of the affected series. However, we may not make any modification or amendment without the consent of each holder of the notes of the affected series if such action would:</w:t>
      </w:r>
    </w:p>
    <w:p>
      <w:pPr>
        <w:spacing w:after="0" w:line="22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stated maturity of, or the principal of or premium or interest on,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this prospectus supplement) or currency of payment on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the notes to contractually subordinate the notes in right of payment to other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modify any other aspect of the provisions of the indenture dealing with modification and waiver except to increase the voting requirements.</w:t>
      </w:r>
    </w:p>
    <w:p>
      <w:pPr>
        <w:spacing w:after="0" w:line="24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aggregate principal amount of the outstanding notes of the affected series may, on behalf of the holders of all the notes of that series, waive our compliance with certain provisions of the indenture. The holders of a majority in aggregate principal amount of the outstanding notes of the affected series may, on behalf of the holders of all the notes of such series, waive any past default under the indenture with respect to that series and its consequences, except a default in the payment of the principal of or premium or interest on any notes of that series or in respect of a covenant or provision which cannot be modified or amended without the consent of the holder of each outstanding note of that series; provided, however, that the holders of a majority in aggregate principal amount of the outstanding notes of the affected series may rescind an acceleration and its consequences, including any payment default that resulted from such acceleration.</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Notwithstanding the foregoing, without the consent of any holder of notes of a series, we may amend or supplement the indenture or the notes for among other reasons:</w:t>
      </w:r>
    </w:p>
    <w:p>
      <w:pPr>
        <w:spacing w:after="0" w:line="199" w:lineRule="exact"/>
        <w:rPr>
          <w:sz w:val="20"/>
          <w:szCs w:val="20"/>
          <w:color w:val="auto"/>
        </w:rPr>
      </w:pPr>
    </w:p>
    <w:p>
      <w:pPr>
        <w:ind w:left="1080" w:right="2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cure any ambiguity, defect, or inconsistency provided such amendment or supplement does not adversely affect the rights of any holder of notes of that series;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comply with the covenant described under "—Merger, Consolidation or Sale of Assets;"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and to add to or change any of the provisions of the indenture necessary to provide for the administration of the trusts in the indenture by more than one trustee;</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maintain the qualification of the indenture under the Trust Indenture Act of 1939, as amended;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the issuance of any additional notes as permitted by the indenture;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conform the indenture or the notes to the description thereof set forth in this prospectus supplement and in the accompanying prospectus.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199" w:lineRule="exact"/>
        <w:rPr>
          <w:sz w:val="20"/>
          <w:szCs w:val="20"/>
          <w:color w:val="auto"/>
        </w:rPr>
      </w:pPr>
    </w:p>
    <w:p>
      <w:pPr>
        <w:ind w:left="1080" w:right="2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opinion of counsel, each stating that we have complied with all these conditions.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will file with the trustee, within 15 days after we are required to file the same with the SEC, copies of the annual reports and of the information, documents, and other reports (or copies of such portions of any of the foregoing as the SEC may prescribe) that we may be required to file with the SEC pursuant to Section 13 or Section 15(d) of the Exchange Act; provided that availability of such reports on a website maintained by the SEC shall be deemed to fulfill this requirement. If we are not required to file information, documents, or reports pursuant to either of those sections, then we will file with the trustee and the SEC such reports as may be prescribed by the SEC at such time. Delivery of such information, documents, or reports to the trustee is for informational purposes only and the information and the trustee's receipt of the foregoing shall not constitute constructive notice of any information contained therein, or determinable from information contained therein including our compliance with any of our covenants thereunder (as to which the trustee is entitled to rely exclusively on an officers' certificate). The trustee shall have no liability or responsibility for the filing, timeliness, or content of such information, documents, or reports.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trustee will be U.S. Bank National Association. U.S. Bank National Association also will be the initial paying agent and registrar for the notes.</w:t>
      </w:r>
    </w:p>
    <w:p>
      <w:pPr>
        <w:spacing w:after="0" w:line="248"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indenture provides that, except during the continuance of an event of default under the indenture, the trustee under the indenture will perform only such duties as are specifically set forth in the indenture.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 If an event of default has occurred and is continuing, and the trustee shall have received written notice thereof at its corporate trust office in the manner set forth in the indenture, or else a responsible officer of the trustee shall have obtained actual knowledge thereof, the trustee under the indenture will exercise such rights and powers vested in it under the indenture and is obligated to use the same degree of care and skill in its exercise as a prudent person would exercise under the circumstances in the conduct of such person's own affairs.</w:t>
      </w:r>
    </w:p>
    <w:p>
      <w:pPr>
        <w:spacing w:after="0" w:line="172"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indenture and provisions of the Trust Indenture Act of 1939, as amended,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 The trustee under the indenture is permitted to engage in other transactions. However, if the trustee under the indenture acquires any prohibited conflicting interest, it must eliminate the conflict or resign.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definitions are applicable to this Description of Notes: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6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 prepared in accordance with accounting principles generally accepted in the U.S.</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any finance lease; provided, however, that "Indebtedness" of such Person shall not include any obligation of such Person to any Subsidiary of such Person or to any Person with respect to which such Person is a Subsidiary.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"Principal Property" means (1) any manufacturing facility, together with the land upon which it is erected and fixtures comprising a part thereof, owned or leased by us or any Subsidiary and located within the continental U.S. and having a net book value which, on the date the determination as to whether a property is a Principal Property is being made, exceeds 1% of our Consolidated Total Assets other than any such facility or a portion thereof which our board of directors determines in good faith, at any time on or prior to such date, is not of material importance to the total business conducted, or assets owned, by us and our Subsidiaries as an entirety or (2) any shares of stock or Indebtedness of any Subsidiary owning a Principal Property.</w:t>
      </w:r>
    </w:p>
    <w:p>
      <w:pPr>
        <w:spacing w:after="0" w:line="169" w:lineRule="exact"/>
        <w:rPr>
          <w:sz w:val="20"/>
          <w:szCs w:val="20"/>
          <w:color w:val="auto"/>
        </w:rPr>
      </w:pPr>
    </w:p>
    <w:p>
      <w:pPr>
        <w:ind w:right="420" w:firstLine="351"/>
        <w:spacing w:after="0" w:line="331" w:lineRule="auto"/>
        <w:rPr>
          <w:sz w:val="20"/>
          <w:szCs w:val="20"/>
          <w:color w:val="auto"/>
        </w:rPr>
      </w:pPr>
      <w:r>
        <w:rPr>
          <w:rFonts w:ascii="Arial" w:cs="Arial" w:eastAsia="Arial" w:hAnsi="Arial"/>
          <w:sz w:val="16"/>
          <w:szCs w:val="16"/>
          <w:color w:val="auto"/>
        </w:rPr>
        <w:t>"Sale and Leaseback Transaction" means any arrangement with any Person providing for the leasing by us or any Subsidiary of ours of any Principal Property that has been or is to be sold or transferred by us or such Subsidiary, as the case may be, to such Person.</w:t>
      </w:r>
    </w:p>
    <w:p>
      <w:pPr>
        <w:spacing w:after="0" w:line="14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notes of each series will be represented by one or more fully registered global notes, without interest coupons, which will be deposited upon issuance with the trustee as custodian for DTC, and registered in the name of Cede &amp; Co. or its nominee, in each case, for credit to an account of a direct or indirect participant as described below.</w:t>
      </w:r>
    </w:p>
    <w:p>
      <w:pPr>
        <w:spacing w:after="0" w:line="194"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 See "—Certain Book Entry Procedures for the Global Notes."</w:t>
      </w:r>
    </w:p>
    <w:p>
      <w:pPr>
        <w:spacing w:after="0" w:line="16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notes may be presented for registration of transfer and exchange at the corporate trust offices of the trustee as set forth in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Book Entry Procedures for the Global Notes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All interests in the global notes will be subject to the operations and procedures of DTC, Euroclear Bank, S.A./N.V. ("Euroclear"), and Clearstream Banking S.A. ("Clearstream Banking"). The descriptions of the operations and procedures of DTC, Euroclear, and Clearstream Banking set forth below are provided solely as a matter of convenience. These operations and procedures are solely within the control of the respective settlement systems and are subject to change by them from time to time. We obtained the information in this section and elsewhere in this prospectus supplement concerning DTC, Euroclear, and Clearstream Banking and their respective book-entry systems from sources that we believe are reliable, but we take no responsibility for the accuracy of any of this information, and investors are urged to contact the relevant system or its participants directly to discuss these matters.</w:t>
      </w:r>
    </w:p>
    <w:p>
      <w:pPr>
        <w:spacing w:after="0" w:line="174"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i w:val="1"/>
          <w:iCs w:val="1"/>
          <w:color w:val="auto"/>
        </w:rPr>
        <w:t>DTC.</w:t>
      </w:r>
      <w:r>
        <w:rPr>
          <w:sz w:val="20"/>
          <w:szCs w:val="20"/>
          <w:color w:val="auto"/>
        </w:rPr>
        <w:tab/>
      </w:r>
      <w:r>
        <w:rPr>
          <w:rFonts w:ascii="Arial" w:cs="Arial" w:eastAsia="Arial" w:hAnsi="Arial"/>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laws of the State of New York;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as amended;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"clearing agency" registered pursuant to Section 17A of the Exchange Act.</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DTC was created to hold securities for its participants (collectively, the "participants") and to facilitate the clearance and settlement of securities transactions between its participants through electronic book-entry changes to the accounts of its participants, thereby eliminating the need for physical transfer and delivery of certificates. DTC's participants include securities brokers and dealers (including some or all of the underwriters), banks and trust companies, clearing corporations, and certain other organizations. Indirect access to DTC's system is also available to other entities such as Clearstream Banking, Euroclear, banks, brokers, dealers, and trust companies (collectively, the "indirect participants") that clear through or maintain a custodial relationship with a participant, either directly or indirectly. Investors who are not participants may beneficially own securities held by or on behalf of DTC only through participants or indirect participants in DTC.</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i w:val="1"/>
          <w:iCs w:val="1"/>
          <w:color w:val="auto"/>
        </w:rPr>
        <w:t xml:space="preserve">Clearstream Banking. </w:t>
      </w:r>
      <w:r>
        <w:rPr>
          <w:rFonts w:ascii="Arial" w:cs="Arial" w:eastAsia="Arial" w:hAnsi="Arial"/>
          <w:sz w:val="15"/>
          <w:szCs w:val="15"/>
          <w:color w:val="auto"/>
        </w:rPr>
        <w:t>Clearstream Banking is incorporated under the laws of Luxembourg as a professional depositary. Clearstream Banking holds</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for its participating organizations ("Clearstream Banking Participants") and facilitates the clearance and settlement of securities transactions between Clearstream Banking Participants through electronic book-entry changes in accounts of Clearstream Banking Participants, thereby eliminating the need for physical movement of certificates. Transactions may be settled in Clearstream Banking in any of various currencies, including U.S. dollars. Clearstream Banking provides Clearstream Banking Participants with, among other things, services for safekeeping, administration, clearance and establishment of internationally-traded securities, and securities lending and borrowing. Clearstream Banking interfaces with domestic markets in several countries. As a professional depositary, Clearstream Banking is subject to regulation by the Luxembourg Monetary Institute. Clearstream Banking Participants are recognized financial institutions around the world, including underwriters, securities brokers and dealers, banks, trust companies, clearing corporations, and certain other organizations, and may include the underwriters. Indirect access to Clearstream Banking is also available to others, such as banks, brokers, dealers, and trust companies that clear through or maintain a custodial relationship with a Clearstream Banking Participant either directly or indirectly.</w:t>
      </w:r>
    </w:p>
    <w:p>
      <w:pPr>
        <w:spacing w:after="0" w:line="16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Banking will be credited to cash accounts of Clearstream Banking Participants in accordance with its rules and procedures to the extent received by the U.S. depositary for Clearstream Banking.</w:t>
      </w:r>
    </w:p>
    <w:p>
      <w:pPr>
        <w:spacing w:after="0" w:line="186" w:lineRule="exact"/>
        <w:rPr>
          <w:sz w:val="20"/>
          <w:szCs w:val="20"/>
          <w:color w:val="auto"/>
        </w:rPr>
      </w:pPr>
    </w:p>
    <w:p>
      <w:pPr>
        <w:ind w:right="120" w:firstLine="351"/>
        <w:spacing w:after="0" w:line="310" w:lineRule="auto"/>
        <w:rPr>
          <w:sz w:val="20"/>
          <w:szCs w:val="20"/>
          <w:color w:val="auto"/>
        </w:rPr>
      </w:pPr>
      <w:r>
        <w:rPr>
          <w:rFonts w:ascii="Arial" w:cs="Arial" w:eastAsia="Arial" w:hAnsi="Arial"/>
          <w:sz w:val="15"/>
          <w:szCs w:val="15"/>
          <w:i w:val="1"/>
          <w:iCs w:val="1"/>
          <w:color w:val="auto"/>
        </w:rPr>
        <w:t xml:space="preserve">Euroclear. </w:t>
      </w:r>
      <w:r>
        <w:rPr>
          <w:rFonts w:ascii="Arial" w:cs="Arial" w:eastAsia="Arial" w:hAnsi="Arial"/>
          <w:sz w:val="15"/>
          <w:szCs w:val="15"/>
          <w:color w:val="auto"/>
        </w:rPr>
        <w:t>Euroclear was created in 1968 to hold securities for participants of Euroclear ("Euroclear Participants") and to clear and settle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between Euroclear Participants through simultaneous electronic book-entry delivery against payment, thereby eliminating the need for physical movement of certificates and any risk from lack of simultaneous transfers of securities and cash. Transactions may be settled in any of various currencies, including U.S. dollars. Euroclear includes various other services, including securities lending and borrowing, and interfaces with domestic markets in several markets in several countries. 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6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Euroclear Operator is regulated and examined by the Belgian Banking Commission. Distributions of principal and interest with respect to notes held through Euroclear will be credited to the cash accounts of Euroclear Participants in accordance with the relevant system's rules and procedures, to the extent received by such system's depositary.</w:t>
      </w:r>
    </w:p>
    <w:p>
      <w:pPr>
        <w:spacing w:after="0" w:line="19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Links have been established among DTC, Clearstream Banking, and Euroclear to facilitate the initial issuance of the notes and cross-market transfers of the notes associated with secondary market trading. DTC will be linked indirectly to Clearstream Banking and Euroclear through the DTC accounts of their respective U.S. depositaries.</w:t>
      </w:r>
    </w:p>
    <w:p>
      <w:pPr>
        <w:spacing w:after="0" w:line="194" w:lineRule="exact"/>
        <w:rPr>
          <w:sz w:val="20"/>
          <w:szCs w:val="20"/>
          <w:color w:val="auto"/>
        </w:rPr>
      </w:pPr>
    </w:p>
    <w:p>
      <w:pPr>
        <w:ind w:left="360"/>
        <w:spacing w:after="0"/>
        <w:tabs>
          <w:tab w:leader="none" w:pos="2200" w:val="left"/>
        </w:tabs>
        <w:rPr>
          <w:sz w:val="20"/>
          <w:szCs w:val="20"/>
          <w:color w:val="auto"/>
        </w:rPr>
      </w:pPr>
      <w:r>
        <w:rPr>
          <w:rFonts w:ascii="Arial" w:cs="Arial" w:eastAsia="Arial" w:hAnsi="Arial"/>
          <w:sz w:val="18"/>
          <w:szCs w:val="18"/>
          <w:i w:val="1"/>
          <w:iCs w:val="1"/>
          <w:color w:val="auto"/>
        </w:rPr>
        <w:t>Book-Entry Procedures.</w:t>
      </w:r>
      <w:r>
        <w:rPr>
          <w:sz w:val="20"/>
          <w:szCs w:val="20"/>
          <w:color w:val="auto"/>
        </w:rPr>
        <w:tab/>
      </w:r>
      <w:r>
        <w:rPr>
          <w:rFonts w:ascii="Arial" w:cs="Arial" w:eastAsia="Arial" w:hAnsi="Arial"/>
          <w:sz w:val="15"/>
          <w:szCs w:val="15"/>
          <w:color w:val="auto"/>
        </w:rPr>
        <w:t>We expect that, pursuant to procedures established by DTC:</w:t>
      </w:r>
    </w:p>
    <w:p>
      <w:pPr>
        <w:spacing w:after="0" w:line="239" w:lineRule="exact"/>
        <w:rPr>
          <w:sz w:val="20"/>
          <w:szCs w:val="20"/>
          <w:color w:val="auto"/>
        </w:rPr>
      </w:pPr>
    </w:p>
    <w:p>
      <w:pPr>
        <w:ind w:left="1080" w:right="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deposit of each global note, DTC will credit, on its book-entry registration and transfer system, the accounts of participants designated by the underwriters with an interest in that global note;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ownership of beneficial interests in the global notes will be shown on, and the transfer of ownership interests in the global notes will be effected only through, records maintained by DTC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60"/>
        <w:spacing w:after="0" w:line="268" w:lineRule="auto"/>
        <w:rPr>
          <w:sz w:val="20"/>
          <w:szCs w:val="20"/>
          <w:color w:val="auto"/>
        </w:rPr>
      </w:pPr>
      <w:r>
        <w:rPr>
          <w:rFonts w:ascii="Arial" w:cs="Arial" w:eastAsia="Arial" w:hAnsi="Arial"/>
          <w:sz w:val="18"/>
          <w:szCs w:val="18"/>
          <w:color w:val="auto"/>
        </w:rPr>
        <w:t>(with respect to the interests of participants) and by participants and indirect participants (with respect to the interests of persons other than participants).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laws of some jurisdictions may require that some purchasers of notes take physical delivery of those notes in definitive form. Accordingly, the ability to transfer beneficial interests in notes represented by a global note to those persons may be limited. In addition, because DTC can act only on behalf of its participants, who in turn act on behalf of persons who hold interests through participants, the ability of a Person holding a beneficial interest in a global note to pledge or transfer that interest to persons or entities that do not participate in DTC's system, or to otherwise take actions in respect of that interest, may be affected by the lack of a physical note in respect of that interest.</w:t>
      </w:r>
    </w:p>
    <w:p>
      <w:pPr>
        <w:spacing w:after="0" w:line="16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So long as DTC or its nominee is the registered owner of a global note, DTC or that nominee, as the case may be, will be considered the sole legal owner or holder of the notes represented by that global note for all purposes of the notes and the indenture. Except as provided below, owners of beneficial interests in a global note:</w:t>
      </w:r>
    </w:p>
    <w:p>
      <w:pPr>
        <w:spacing w:after="0" w:line="207"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entitled to have the notes represented by that global note registered in their names;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certificated notes; and</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represented by that beneficial interest under the indenture for any purpose, including with respect to the giving of any direction, instruction, or approval to the trustee.</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Accordingly, each holder owning a beneficial interest in a global note must rely on the procedures of DTC and, if that holder is not a participant or an indirect participant, on the procedures of the participant through which that holder owns its interest, to exercise any rights of a holder of notes under the indenture or that global note. We understand that under existing industry practice, in the event that we request any action of holders of notes, or a holder that is an owner of a beneficial interest in a global note desires to take any action that DTC, as the holder of that global note, is entitled to take, DTC would authorize the participants to take that action and the participants would authorize holders owning through those participants to take that action or would otherwise act upon the instruction of those holders. Neither we nor the trustee will have any responsibility or liability for any aspect of the records relating to or payments made on account of notes by DTC, or for maintaining, supervising, or reviewing any records of DTC relating to the notes.</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Beneficial interests in the global notes may not be exchanged for certificated notes. However, if DTC notifies us that it is unwilling to be a depositary for the global notes or ceases to be a clearing agency or if we so elect or if there is an event of default under the notes, DTC will exchange the global notes for certificated notes which it will distribute to its participants.</w:t>
      </w:r>
    </w:p>
    <w:p>
      <w:pPr>
        <w:spacing w:after="0" w:line="194" w:lineRule="exact"/>
        <w:rPr>
          <w:sz w:val="20"/>
          <w:szCs w:val="20"/>
          <w:color w:val="auto"/>
        </w:rPr>
      </w:pPr>
    </w:p>
    <w:p>
      <w:pPr>
        <w:ind w:right="320" w:firstLine="351"/>
        <w:spacing w:after="0" w:line="254" w:lineRule="auto"/>
        <w:rPr>
          <w:sz w:val="20"/>
          <w:szCs w:val="20"/>
          <w:color w:val="auto"/>
        </w:rPr>
      </w:pPr>
      <w:r>
        <w:rPr>
          <w:rFonts w:ascii="Arial" w:cs="Arial" w:eastAsia="Arial" w:hAnsi="Arial"/>
          <w:sz w:val="18"/>
          <w:szCs w:val="18"/>
          <w:color w:val="auto"/>
        </w:rPr>
        <w:t>Payments with respect to the principal of and interest on a global note will be payable by the trustee to or at the direction of DTC or its nominee in its capacity as the registered holder of the global note under the indenture. Under the terms of the indenture, we and the trustee will treat the persons in whose names the notes, including the global notes, are registered as the owners thereof for the purpose of receiving payment thereon and for any and all other purposes whatsoever. Accordingly, neither we nor the trustee has or will have any responsibility or liability for the payment of those amounts to owners of beneficial interests in a global note.</w:t>
      </w:r>
    </w:p>
    <w:p>
      <w:pPr>
        <w:spacing w:after="0" w:line="201"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Payments by the participants and the indirect participants to the owners of beneficial interests in a global note will be governed by standing instructions and customary industry practice and will be the responsibility of the participants and indirect participants and not of DTC.</w:t>
      </w:r>
    </w:p>
    <w:p>
      <w:pPr>
        <w:spacing w:after="0" w:line="141" w:lineRule="exact"/>
        <w:rPr>
          <w:sz w:val="20"/>
          <w:szCs w:val="20"/>
          <w:color w:val="auto"/>
        </w:rPr>
      </w:pPr>
    </w:p>
    <w:p>
      <w:pPr>
        <w:ind w:right="240" w:firstLine="348"/>
        <w:spacing w:after="0" w:line="369" w:lineRule="auto"/>
        <w:rPr>
          <w:sz w:val="20"/>
          <w:szCs w:val="20"/>
          <w:color w:val="auto"/>
        </w:rPr>
      </w:pPr>
      <w:r>
        <w:rPr>
          <w:rFonts w:ascii="Arial" w:cs="Arial" w:eastAsia="Arial" w:hAnsi="Arial"/>
          <w:sz w:val="15"/>
          <w:szCs w:val="15"/>
          <w:color w:val="auto"/>
        </w:rPr>
        <w:t>Transfers between participants in DTC will be effected in accordance with DTC's procedures, and will be settled in same-day funds. Transfers between participants in Euroclear or Clearstream Banking will be effected in the ordinary way in accordance with their respective rules and operating procedures.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Cross-market transfers between the participants in DTC, on the one hand, and Euroclear or Clearstream Banking Participants, on the other hand, will be effected through DTC in accordance with DTC's rules on behalf of Euroclear or Clearstream Banking, as the case may be, by its respective depositary. However, those cross-market transactions will require delivery of instructions to Euroclear or Clearstream Banking, as the case may be, by the counterparty in that system in accordance with the rules and procedures and within the established deadlines (Brussels time) of that system. If the transaction meets its settlement requirements, Euroclear or Clearstream Banking, as the case may be, will deliver instructions to its respective depositary to take action to effect final settlement on its behalf by delivering or receiving interests in the relevant global notes in DTC, and making or receiving payment in accordance with normal procedures for same-day funds settlement applicable to DTC. Euroclear Participants and Clearstream Banking Participants may not deliver instructions directly to the depositaries for Euroclear or Clearstream Banking.</w:t>
      </w:r>
    </w:p>
    <w:p>
      <w:pPr>
        <w:spacing w:after="0" w:line="17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Banking Participant that purchases an interest in a global note from a participant will be credited on the business day for Euroclear or Clearstream Banking immediately following the DTC settlement date. Cash received in Euroclear or Clearstream Banking from the sale of an interest in a global note to a DTC participant will be received with value on the DTC settlement date but will be available in the relevant Euroclear or Clearstream Banking cash account as of the business day for Euroclear or Clearstream Banking following the DTC settlement date.</w:t>
      </w:r>
    </w:p>
    <w:p>
      <w:pPr>
        <w:spacing w:after="0" w:line="201" w:lineRule="exact"/>
        <w:rPr>
          <w:sz w:val="20"/>
          <w:szCs w:val="20"/>
          <w:color w:val="auto"/>
        </w:rPr>
      </w:pPr>
    </w:p>
    <w:p>
      <w:pPr>
        <w:ind w:right="200" w:firstLine="341"/>
        <w:spacing w:after="0" w:line="254" w:lineRule="auto"/>
        <w:rPr>
          <w:sz w:val="20"/>
          <w:szCs w:val="20"/>
          <w:color w:val="auto"/>
        </w:rPr>
      </w:pPr>
      <w:r>
        <w:rPr>
          <w:rFonts w:ascii="Arial" w:cs="Arial" w:eastAsia="Arial" w:hAnsi="Arial"/>
          <w:sz w:val="18"/>
          <w:szCs w:val="18"/>
          <w:color w:val="auto"/>
        </w:rPr>
        <w:t>Although we understand that DTC, Euroclear, and Clearstream Banking have agreed to the foregoing procedures to facilitate transfers of interests in the global notes among participants in DTC, Euroclear, and Clearstream Banking, they are under no obligation to perform or to continue to perform those procedures, and those procedures may be discontinued at any time. Neither we nor the trustee will have any responsibility for the performance by DTC, Euroclear, or Clearstream Banking or their respective participants or indirect participants of their respective obligations under the rules and procedures governing their operations.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INCOME TAX CONSIDERATIONS TO NON-U.S. HOLDERS</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following discussion is a summary of U.S. federal income tax considerations generally applicable to the ownership and disposition of the notes by Non-U.S. Holders (as defined below) that purchase the notes for cash pursuant to this offering at the initial sale price. This summary is based on the Internal Revenue Code of 1986, as amended (the "Code"), U.S. Treasury Regulations, judicial decisions, published positions of the Internal Revenue Service (the "IRS"), and other applicable authorities, all as in effect as of the date hereof and all of which are subject to change or differing interpretations (possibly with retroactive effect). This summary does not address all of the tax considerations that may be relevant to Non-U.S. Holders subject to special tax treatment, such as insurance companies, financial institutions, broker-dealers, tax-exempt organizations, regulated investment companies, persons holding the notes as part of a straddle, hedge, conversion transaction, or other integrated investment, partnerships (or other entities or arrangements treated as partnerships for U.S. federal income tax purposes), and their partners, "controlled foreign corporations," "passive foreign investment companies," persons who participate in a contemporaneous redemption of our outstanding indebtedness, certain former citizens, and former long-term residents of the United States. In addition, this summary does not address any aspects of the Medicare contribution tax on net investment income, alternative minimum taxes, U.S. federal estate or gift tax considerations, or state, local, or foreign tax laws. This summary deals only with notes held as capital assets (generally, assets held for investment). Moreover, this discussion is limited to holders who purchase the notes for cash in this offering at their "issue price" within the meaning of the Code (i.e., the first price at which a substantial amount of the notes are sold to investors for cash (excluding sales to underwriters, bond houses, brokers, placement agents, wholesalers, or other persons acting in a similar capacity)).</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Non-U.S. Holders should consult their tax advisors as to the particular tax consequences to them of owning and disposing of the notes, including the application and effect of U.S. federal, state, local, and foreign tax laws.</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this summary, a Non-U.S. Holder is a beneficial owner of the notes that is not, for U.S. federal income tax purposes, (1) an individual who is a citizen or resident of the United States, (2) a corporation, or other entity treated as a corporation for U.S. federal income tax purposes, created, or organized in or under the laws of the United States or any state thereof or the District of Columbia, (3) an estate, the income of which is subject to U.S. federal income taxation regardless of its source, or (4) a trust if (a) a court within the United States is able to exercise primary supervision over the administration of the trust and one or more United States persons have the authority to control all substantial decisions of the trust or (b) the trust has in effect a valid election to be treated as a domestic trust for U.S. federal income tax purposes.</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beneficially owns the notes, the treatment of a partner in the partnership will depend upon the status of the partner and the activities of the partnership. A holder of the notes that is a partnership and partners in such partnership should consult their tax advisors as to the tax consequences to them of purchasing, owning, and disposing of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Interest on the Notes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Subject to the discussions below concerning backup withholding and the Foreign Account Tax Compliance Act, a Non-U.S. Holder will generally not be subject to U.S. federal income or withholding tax on the receipt of payments of interest on the notes; provided that:</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our voting stock;</w:t>
      </w:r>
    </w:p>
    <w:p>
      <w:pPr>
        <w:spacing w:after="0" w:line="252" w:lineRule="exact"/>
        <w:rPr>
          <w:rFonts w:ascii="Arial" w:cs="Arial" w:eastAsia="Arial" w:hAnsi="Arial"/>
          <w:sz w:val="18"/>
          <w:szCs w:val="18"/>
          <w:color w:val="auto"/>
        </w:rPr>
      </w:pPr>
    </w:p>
    <w:p>
      <w:pPr>
        <w:ind w:left="5460" w:right="520" w:hanging="4912"/>
        <w:spacing w:after="0" w:line="518" w:lineRule="auto"/>
        <w:tabs>
          <w:tab w:leader="none" w:pos="10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stock ownership; and 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8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Non-U.S. Holder provides its name, address, and certain other information on an IRS Form W-8BEN or W-8BEN-E (or other applicable form), and certifies, under penalties of perjury, that it is not a United States person and neither we nor the paying agent (or other withholding agent) have actual knowledge or reason to know that the beneficial owner of the note is a United States person.</w:t>
      </w:r>
    </w:p>
    <w:p>
      <w:pPr>
        <w:spacing w:after="0" w:line="160"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Alternatively, a Non-U.S. Holder that cannot satisfy the above requirements will generally be exempt from U.S. federal withholding tax with respect to interest on the notes if the holder establishes that such interest is not subject to withholding tax because it is effectively connected with the Non-U.S. Holder's conduct of a trade or business in the United States (generally, by providing an IRS Form W-8ECI). To the extent that such interest is effectively connected with the Non-U.S. Holder's conduct of a trade or business (and, in the case of certain tax treaties, is attributable to a permanent establishment or fixed base within the United States), the Non-U.S. Holder will be subject to U.S. federal income tax on a net basis and, if it is a foreign corporation, may be subject to a 30% U.S. branch profits tax (or lower applicable treaty rate).</w:t>
      </w:r>
    </w:p>
    <w:p>
      <w:pPr>
        <w:spacing w:after="0" w:line="17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If a Non-U.S. Holder does not qualify for any of the exemptions described above, the Non-U.S. Holder will generally be subject to U.S. federal withholding tax on payments of stated interest, currently imposed at 30%. Under certain income tax treaties, the U.S. federal withholding rate on payments of interest may be reduced or eliminated, provided the Non-U.S. Holder complies with the applicable certification requirements (generally, by providing a properly completed IRS Form W-8BEN-E or W-8BEN). We will not pay additional amounts to Non-U.S. Holders in respect of any amounts withheld.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Retirement, or Other Disposition of the Notes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Subject to the discussions below concerning backup withholding, a Non-U.S. Holder will generally not be subject to U.S. federal income or withholding tax on the receipt of payments of principal on a note, or on any gain recognized on the sale, exchange, retirement, or other taxable disposition (each, a "disposition") of a note (other than any amount attributable to accrued but unpaid interest, which will be taxable in the manner described above under "— Payments of Interest on the Notes"), unless:</w:t>
      </w:r>
    </w:p>
    <w:p>
      <w:pPr>
        <w:spacing w:after="0" w:line="224" w:lineRule="exact"/>
        <w:rPr>
          <w:sz w:val="20"/>
          <w:szCs w:val="20"/>
          <w:color w:val="auto"/>
        </w:rPr>
      </w:pPr>
    </w:p>
    <w:p>
      <w:pPr>
        <w:ind w:left="1080" w:right="220" w:hanging="532"/>
        <w:spacing w:after="0" w:line="369"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such gain or income is effectively connected with the Non-U.S. Holder's conduct of a trade or business in the United States (and, if required under an applicable income tax treaty, is attributable to the Non-U.S. Holder's permanent establishment or fixed base in the United States); or</w:t>
      </w:r>
    </w:p>
    <w:p>
      <w:pPr>
        <w:spacing w:after="0" w:line="131"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the first exception applies, the Non-U.S. Holder will generally be subject to U.S. federal income tax on a net basis and, if it is a foreign corporation, may be subject to a 30% U.S. branch profits tax (or lower applicable treaty rate). If the second exception applies, the Non-U.S. Holder will generally be subject to U.S. federal income tax at a rate of 30% (or at a reduced rate under an applicable income tax treaty) on the amount by which capital gains allocable to U.S. sources (including gains from the sale, exchange, retirement, or other disposition of the notes) exceed capital losses allocable to U.S. 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Withholding at a rate of 30% will generally be required in certain circumstances on interest payable on notes held by or through certain financial institutions (including investment funds), unless such institution (i) enters into, and complies with, an agreement with the IRS to report, on an annual basis, information with respect to interests in, and accounts maintained by, the institution that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owned by certain United States persons or by certain non-U.S. entities that are wholly or partially owned by United States persons and to withhold on certain payments, (ii) if required under an intergovernmental agreement between the United States and an applicable foreign country, reports such information to its local tax authority, which will exchange such information with the United States authorities, or (iii) otherwise qualifies for an exemption. Accordingly, the entity through which the notes are held will affect the determination of whether such withholding is required. Similarly, interest payable on notes held by an investor that is a non-financial non U.S. entity that does not qualify under certain exemptions will generally be subject to withholding at a rate of 30%, unless such entity either (i) certifies that such entity does not have any "substantial United States owners" or (ii) provides certain information regarding the entity's "substantial United States owners," which we or the withholding agent will in turn provide to the United States Department of the Treasury. An intergovernmental agreement between the United States and the applicable foreign country may modify these requirements. We will not pay additional amounts to Non-U.S. Holders in respect of any amounts withheld. Prospective investors should consult their tax advisors regarding the possible implications of these rules on an investment in the notes.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 (CONFLICTS OF INTEREST)</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Goldman Sachs &amp; Co. LLC, BofA Securities, Inc., and J.P. Morgan Securities LLC are acting as representatives of each of the underwriters named below. Subject to the terms and conditions set forth in a firm commitment underwriting agreement among us and the underwriters, each underwriter has severally agreed to purchase from us the principal amount of notes set forth opposite its name in the following table.</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Principal Amount</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Principal Amount</w:t>
            </w:r>
          </w:p>
        </w:tc>
      </w:tr>
      <w:tr>
        <w:trPr>
          <w:trHeight w:val="161"/>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Underwriters</w:t>
            </w:r>
          </w:p>
        </w:tc>
        <w:tc>
          <w:tcPr>
            <w:tcW w:w="54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of 2030 notes</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 2050 notes</w:t>
            </w:r>
          </w:p>
        </w:tc>
        <w:tc>
          <w:tcPr>
            <w:tcW w:w="160" w:type="dxa"/>
            <w:vAlign w:val="bottom"/>
          </w:tcPr>
          <w:p>
            <w:pPr>
              <w:spacing w:after="0"/>
              <w:rPr>
                <w:sz w:val="14"/>
                <w:szCs w:val="14"/>
                <w:color w:val="auto"/>
              </w:rPr>
            </w:pPr>
          </w:p>
        </w:tc>
      </w:tr>
      <w:tr>
        <w:trPr>
          <w:trHeight w:val="21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Goldman Sachs &amp; Co. LLC</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312,500,000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187,500,000</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BofA Securities, Inc.</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187,500,000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112,500,000</w:t>
            </w: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 Morgan Securities LLC</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112,500,000</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U.S. Bancorp Investments, Inc.</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125,000,000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75,000,000</w:t>
            </w: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Barclays Capital Inc.</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52,500,000</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Citigroup Global Markets Inc.</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87,500,000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52,500,000</w:t>
            </w: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Third Securities, Inc.</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52,500,000</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MUFG Securities Americas Inc.</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87,500,000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52,500,000</w:t>
            </w: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Citizens Capital Markets, Inc.</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21,875,000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13,125,000</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Loop Capital Markets LLC</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21,875,000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13,125,000</w:t>
            </w: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PNC Capital Markets LLC</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21,875,000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13,125,000</w:t>
            </w: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The Governor and Company of the Bank of Ireland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21,875,000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13,125,000</w:t>
            </w:r>
          </w:p>
        </w:tc>
      </w:tr>
      <w:tr>
        <w:trPr>
          <w:trHeight w:val="20"/>
        </w:trPr>
        <w:tc>
          <w:tcPr>
            <w:tcW w:w="8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750,000,000</w:t>
            </w:r>
          </w:p>
        </w:tc>
      </w:tr>
      <w:tr>
        <w:trPr>
          <w:trHeight w:val="20"/>
        </w:trPr>
        <w:tc>
          <w:tcPr>
            <w:tcW w:w="8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0"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have agreed to indemnify the several underwriters and their controlling persons against certain liabilities in connection with this offering, including liabilities under the Securities Act of 1933, as amended, or to contribute to payments the underwriters may be required to make in respect of those liabilities. We have also agreed to reimburse the underwriters for certain of their expenses.</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may offer and sell the notes through certain of their affiliates.</w:t>
      </w:r>
    </w:p>
    <w:p>
      <w:pPr>
        <w:spacing w:after="0" w:line="1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notes are each a new issue of securities with no established trading market. We do not intend to apply for listing of the notes of either series on any national securities exchange or for inclusion of the notes of either series on any automated dealer quotation system. We have been advised by the underwriters that the underwriters intend to make a market for each series of notes after completion of the offering but are not obligated to do so and may discontinue market making at any time without notice. No assurance can be given as to the liquidity of the trading market for the notes. If active public trading markets for the notes do not develop, the market prices and liquidity of the notes will be adversely affected. If the notes are traded, they may trade at a discount from their respective initial offering prices, depending on prevailing interest rates, the market for similar securities, our operating performance and financial condition, general economic conditions, and other factors.</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either series of notes in the open market. These transactions may include short sales, stabilizing transactions, and purchases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prices of the notes while the offering is in progress.</w:t>
      </w:r>
    </w:p>
    <w:p>
      <w:pPr>
        <w:spacing w:after="0" w:line="194" w:lineRule="exact"/>
        <w:rPr>
          <w:sz w:val="20"/>
          <w:szCs w:val="20"/>
          <w:color w:val="auto"/>
        </w:rPr>
      </w:pPr>
    </w:p>
    <w:p>
      <w:pPr>
        <w:jc w:val="both"/>
        <w:ind w:right="60" w:firstLine="348"/>
        <w:spacing w:after="0" w:line="335" w:lineRule="auto"/>
        <w:rPr>
          <w:sz w:val="20"/>
          <w:szCs w:val="20"/>
          <w:color w:val="auto"/>
        </w:rPr>
      </w:pPr>
      <w:r>
        <w:rPr>
          <w:rFonts w:ascii="Arial" w:cs="Arial" w:eastAsia="Arial" w:hAnsi="Arial"/>
          <w:sz w:val="15"/>
          <w:szCs w:val="15"/>
          <w:color w:val="auto"/>
        </w:rPr>
        <w:t>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 these activities are commenced, they may be discontinued by the underwriters at any time. These transactions may be effected in the over-the-counter market or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Commissions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shows the per note public offering price, underwriting discounts, and proceeds before expenses to us with respect to this offering.</w:t>
      </w:r>
    </w:p>
    <w:p>
      <w:pPr>
        <w:spacing w:after="0" w:line="2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2030 notes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2050 notes</w:t>
            </w:r>
          </w:p>
        </w:tc>
        <w:tc>
          <w:tcPr>
            <w:tcW w:w="160" w:type="dxa"/>
            <w:vAlign w:val="bottom"/>
          </w:tcPr>
          <w:p>
            <w:pPr>
              <w:spacing w:after="0"/>
              <w:rPr>
                <w:sz w:val="14"/>
                <w:szCs w:val="14"/>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to public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1,248,725,000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747,862,500</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Underwriting discount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8,125,000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6,562,500</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the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1,240,600,000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741,300,000</w:t>
            </w:r>
          </w:p>
        </w:tc>
      </w:tr>
    </w:tbl>
    <w:p>
      <w:pPr>
        <w:spacing w:after="0" w:line="208"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of up to 0.390% of the principal amount of 2030 notes and up to 0.525% of the principal amount of 2050 notes. Any such securities dealers may resell any notes purchased from the underwriters to certain other brokers or dealers at a discount from the initial public offering price of up to 0.250% of the principal amount of 2030 notes and up to 0.250% of the principal amount of 2050 notes. If all the notes are not sold at the initial offering price, the underwriters may change the offering price and the other selling terms. The offering of the notes by the underwriters is subject to receipt and acceptance and subject to the underwriters' right to reject any order in whole or in part.</w:t>
      </w:r>
    </w:p>
    <w:p>
      <w:pPr>
        <w:spacing w:after="0" w:line="20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to deliver the notes against payment for the notes on or about August 12, 2020, which will be the third business day following the pricing of the notes (such settlement cycle being referred to as "T+3"). Under Rule 15c6-1 under the Exchange Act, trades in the secondary market generally are required to settle in two business days, unless the parties to any such trade expressly agree otherwise. Accordingly, purchasers who wish to trade notes prior to the date that is two business days prior to the delivery of the notes hereunder will be required, by virtue of the fact that the notes will initially settle in T+3, to specify alternative settlement arrangements at the time of any such trade to prevent a failed settlement. Purchasers of the notes who wish to trade the notes prior to the date that is two business days prior to the date of delivery hereunder should consult their advisors.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$5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Conflicts of Interest</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U.S. Bancorp Investments, Inc., one of the underwriters, is an affiliate of the trustee. In addition, affiliates of certain of the underwriters may receive at least 5% of the net proceeds from this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offering in connection with the repayment of the Sanofi Repurchase Bridge Facility. See "Use of Proceeds." Accordingly, this offering is being made in compliance with the requirements of FINRA Rule 5121. Because the notes to be offered will be rated investment grade, pursuant to Rule 5121, the appointment of a qualified independent underwriter is not necessary. No underwriter that will receive, through any of its affiliates, at least 5% of the net proceeds from this offering will confirm sales of the notes to any account over which such underwriter exercises discretionary authority without the prior written approval of the customer.</w:t>
      </w:r>
    </w:p>
    <w:p>
      <w:pPr>
        <w:spacing w:after="0" w:line="20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(including bank loans)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any Member State of the European Economic Area or the United Kingdom (each, a "Relevant State"). For these purposes, a retail investor means a person who is one (or more) of: (i) a retail client as defined in point (11) of Article 4(1) of Directive 2014/65/EU (as amended, "MiFID II"); (ii) a customer within the meaning of Directive 2016/97/EU (as amended), where that customer would not qualify as a professional client as defined in point (10) of Article 4(1) of MIFID II; or (iii) not a qualified investor as defined in Regulation 2017/1129 (EU) (as amended or superseded, the "Prospectus Regulation"). Consequently no key information document required by Regulation (EU) No 1286/2014 (as amended, the "PRIIPs Regulation") for offering or selling the notes or otherwise making them available to retail investors in a Relevant State has been prepared and therefore offering or selling the notes or otherwise making them available to any retail investor in a Relevant State may be unlawful under the PRIIPs Regulation. This prospectus supplement has been prepared on the basis that any offer of notes in any Relevant State will be made pursuant to an exemption under the Prospectus Regulation from the requirement to publish a prospectus for offers of notes. This prospectus supplement is not a prospectus for the purposes of the Prospectus Regulation.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4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187"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2"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8" w:lineRule="exact"/>
        <w:rPr>
          <w:sz w:val="20"/>
          <w:szCs w:val="20"/>
          <w:color w:val="auto"/>
        </w:rPr>
      </w:pPr>
    </w:p>
    <w:p>
      <w:pPr>
        <w:ind w:right="200" w:firstLine="348"/>
        <w:spacing w:after="0" w:line="302" w:lineRule="auto"/>
        <w:rPr>
          <w:sz w:val="20"/>
          <w:szCs w:val="20"/>
          <w:color w:val="auto"/>
        </w:rPr>
      </w:pPr>
      <w:r>
        <w:rPr>
          <w:rFonts w:ascii="Arial" w:cs="Arial" w:eastAsia="Arial" w:hAnsi="Arial"/>
          <w:sz w:val="15"/>
          <w:szCs w:val="15"/>
          <w:color w:val="auto"/>
        </w:rPr>
        <w:t>Where the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w:t>
      </w:r>
    </w:p>
    <w:p>
      <w:pPr>
        <w:spacing w:after="0" w:line="2" w:lineRule="exact"/>
        <w:rPr>
          <w:sz w:val="20"/>
          <w:szCs w:val="20"/>
          <w:color w:val="auto"/>
        </w:rPr>
      </w:pPr>
    </w:p>
    <w:p>
      <w:pPr>
        <w:ind w:right="220" w:firstLine="8"/>
        <w:spacing w:after="0" w:line="260"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where such transfer arises from an offer that is made on terms that such rights or interest are acquired at a consideration of not less than S$200,000 (or its equivalent in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69" w:lineRule="auto"/>
        <w:rPr>
          <w:sz w:val="20"/>
          <w:szCs w:val="20"/>
          <w:color w:val="auto"/>
        </w:rPr>
      </w:pPr>
      <w:r>
        <w:rPr>
          <w:rFonts w:ascii="Arial" w:cs="Arial" w:eastAsia="Arial" w:hAnsi="Arial"/>
          <w:sz w:val="15"/>
          <w:szCs w:val="15"/>
          <w:color w:val="auto"/>
        </w:rPr>
        <w:t>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1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Singapore Securities and Futures Act Product Classification—Solely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66" w:lineRule="exact"/>
        <w:rPr>
          <w:sz w:val="20"/>
          <w:szCs w:val="20"/>
          <w:color w:val="auto"/>
        </w:rPr>
      </w:pPr>
    </w:p>
    <w:p>
      <w:pPr>
        <w:ind w:right="380" w:firstLine="351"/>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supplement nor any other offering or marketing material relating to the notes may be publicly distributed or otherwise made publicly available in Switzerland. Neither this prospectus supplement nor any other offering or marketing material relating to the offering, nor the Company nor the notes have been or will be filed with or approved by any Swiss regulatory authority. The notes are not subject to the supervision by any Swiss regulatory authority, e.g., the Swiss Financial Markets Supervisory Authority FINMA, and investors in the notes will not benefit from protection or supervision by such authority.</w:t>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99" w:firstLine="351"/>
        <w:spacing w:after="0" w:line="331" w:lineRule="auto"/>
        <w:rPr>
          <w:sz w:val="20"/>
          <w:szCs w:val="20"/>
          <w:color w:val="auto"/>
        </w:rPr>
      </w:pPr>
      <w:r>
        <w:rPr>
          <w:rFonts w:ascii="Arial" w:cs="Arial" w:eastAsia="Arial" w:hAnsi="Arial"/>
          <w:sz w:val="16"/>
          <w:szCs w:val="16"/>
          <w:color w:val="auto"/>
        </w:rPr>
        <w:t>Skadden, Arps, Slate, Meagher &amp; Flom LLP, New York, New York, will pass upon the validity of the notes offered hereby for Regeneron Pharmaceuticals, Inc. Certain legal matters relating to the offering of the notes will be passed upon for the underwriters by Ropes &amp; Gray LLP.</w:t>
      </w:r>
    </w:p>
    <w:p>
      <w:pPr>
        <w:spacing w:after="0" w:line="14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32">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December 31, 2019</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AND INCORPORATION BY REFERENCE</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We are subject to the reporting requirements of the Exchange Act, under which we file annual, quarterly, and special reports, proxy statements, and other information with the SEC. We make available through our website at </w:t>
      </w:r>
      <w:r>
        <w:rPr>
          <w:rFonts w:ascii="Arial" w:cs="Arial" w:eastAsia="Arial" w:hAnsi="Arial"/>
          <w:sz w:val="16"/>
          <w:szCs w:val="16"/>
          <w:i w:val="1"/>
          <w:iCs w:val="1"/>
          <w:color w:val="auto"/>
        </w:rPr>
        <w:t>http://www.regeneron.com</w:t>
      </w:r>
      <w:r>
        <w:rPr>
          <w:rFonts w:ascii="Arial" w:cs="Arial" w:eastAsia="Arial" w:hAnsi="Arial"/>
          <w:sz w:val="16"/>
          <w:szCs w:val="16"/>
          <w:color w:val="auto"/>
        </w:rPr>
        <w:t>, our Annual Report on Form 10-K, Quarterly Reports on Form 10-Q, Current Reports on Form 8-K, and all amendments to those reports as soon as reasonably practicable after such material is electronically filed or furnished to the SEC. The information provided on our website is not part of this prospectus supplement and, therefore, is not incorporated herein by reference. Our SEC filings are also available to the public on the SEC's website at www.sec.gov.</w:t>
      </w:r>
    </w:p>
    <w:p>
      <w:pPr>
        <w:spacing w:after="0" w:line="16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filed a registration statement (together with all amendments to the registration statement, collectively, the "Registration Statement") with the SEC under the Securities Act, with respect to the securities offered under this prospectus. This prospectus supplement does not contain all of the information included in the Registration Statement and the exhibits and schedules thereto. For further information with respect to Regeneron and our securities, we refer you to the Registration Statement and the exhibits thereto. Statements in this prospectus supplement concerning the provisions of documents are necessarily summaries of such documents, and each such statement is qualified in its entirety by reference to the copy of the applicable document filed with the SEC.</w:t>
      </w:r>
    </w:p>
    <w:p>
      <w:pPr>
        <w:spacing w:after="0" w:line="169"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them, which means that we can disclose important information to you by referring you to those documents. Any statement contained or incorporated by reference into this prospectus supplement shall be deemed to be modified or superseded for purposes of this prospectus supplement to the extent that a statement contained herein, or in any subsequently filed document which also is incorporated by reference herein, modifies or superseded such earlier statement. Any statement so modified or superseded shall not be deemed, except as so modified or superseded, to constitute a part of this prospectus supplement. We incorporate by reference the documents listed below (except as specifically set forth below, other than information that we have furnished on Form 8-K, which information is expressly not incorporated by reference herein):</w:t>
      </w:r>
    </w:p>
    <w:p>
      <w:pPr>
        <w:spacing w:after="0" w:line="214"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0000EE"/>
        </w:rPr>
      </w:pPr>
      <w:hyperlink r:id="rId32">
        <w:r>
          <w:rPr>
            <w:rFonts w:ascii="Arial" w:cs="Arial" w:eastAsia="Arial" w:hAnsi="Arial"/>
            <w:sz w:val="18"/>
            <w:szCs w:val="18"/>
            <w:u w:val="single" w:color="auto"/>
            <w:color w:val="0000EE"/>
          </w:rPr>
          <w:t>Our Annual Report on Form 10-K for the fiscal year ended December 31, 2019, filed on February 7, 2020</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120" w:hanging="532"/>
        <w:spacing w:after="0" w:line="331"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portions of our </w:t>
      </w:r>
      <w:hyperlink r:id="rId70">
        <w:r>
          <w:rPr>
            <w:rFonts w:ascii="Arial" w:cs="Arial" w:eastAsia="Arial" w:hAnsi="Arial"/>
            <w:sz w:val="16"/>
            <w:szCs w:val="16"/>
            <w:u w:val="single" w:color="auto"/>
            <w:color w:val="0000EE"/>
          </w:rPr>
          <w:t>definitive Proxy Statement on Schedule 14A for our 2020 annual meeting of shareholders, filed on April 24, 2020</w:t>
        </w:r>
      </w:hyperlink>
      <w:r>
        <w:rPr>
          <w:rFonts w:ascii="Arial" w:cs="Arial" w:eastAsia="Arial" w:hAnsi="Arial"/>
          <w:sz w:val="16"/>
          <w:szCs w:val="16"/>
          <w:color w:val="auto"/>
        </w:rPr>
        <w:t xml:space="preserve">, that are incorporated by reference into our </w:t>
      </w:r>
      <w:hyperlink r:id="rId32">
        <w:r>
          <w:rPr>
            <w:rFonts w:ascii="Arial" w:cs="Arial" w:eastAsia="Arial" w:hAnsi="Arial"/>
            <w:sz w:val="16"/>
            <w:szCs w:val="16"/>
            <w:u w:val="single" w:color="auto"/>
            <w:color w:val="0000EE"/>
          </w:rPr>
          <w:t>Annual Report on Form 10-K for the fiscal year ended December 31, 2019</w:t>
        </w:r>
      </w:hyperlink>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32"/>
        </w:numPr>
        <w:rPr>
          <w:rFonts w:ascii="Arial" w:cs="Arial" w:eastAsia="Arial" w:hAnsi="Arial"/>
          <w:sz w:val="18"/>
          <w:szCs w:val="18"/>
          <w:color w:val="0000EE"/>
        </w:rPr>
      </w:pPr>
      <w:hyperlink r:id="rId33">
        <w:r>
          <w:rPr>
            <w:rFonts w:ascii="Arial" w:cs="Arial" w:eastAsia="Arial" w:hAnsi="Arial"/>
            <w:sz w:val="18"/>
            <w:szCs w:val="18"/>
            <w:color w:val="auto"/>
          </w:rPr>
          <w:t xml:space="preserve">Our Quarterly Reports on Form 10-Q for the quarterly periods ended March 31, 2020 and June 30, 2020, filed on </w:t>
        </w:r>
        <w:r>
          <w:rPr>
            <w:rFonts w:ascii="Arial" w:cs="Arial" w:eastAsia="Arial" w:hAnsi="Arial"/>
            <w:sz w:val="18"/>
            <w:szCs w:val="18"/>
            <w:u w:val="single" w:color="auto"/>
            <w:color w:val="0000EE"/>
          </w:rPr>
          <w:t>May 5, 2020</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August 5,</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2020</w:t>
        </w:r>
        <w:r>
          <w:rPr>
            <w:rFonts w:ascii="Arial" w:cs="Arial" w:eastAsia="Arial" w:hAnsi="Arial"/>
            <w:sz w:val="18"/>
            <w:szCs w:val="18"/>
            <w:color w:val="000000"/>
          </w:rPr>
          <w:t>, respectively.</w:t>
        </w:r>
      </w:hyperlink>
    </w:p>
    <w:p>
      <w:pPr>
        <w:spacing w:after="0" w:line="199" w:lineRule="exact"/>
        <w:rPr>
          <w:rFonts w:ascii="Arial" w:cs="Arial" w:eastAsia="Arial" w:hAnsi="Arial"/>
          <w:sz w:val="18"/>
          <w:szCs w:val="18"/>
          <w:color w:val="0000EE"/>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71">
        <w:r>
          <w:rPr>
            <w:rFonts w:ascii="Arial" w:cs="Arial" w:eastAsia="Arial" w:hAnsi="Arial"/>
            <w:sz w:val="18"/>
            <w:szCs w:val="18"/>
            <w:u w:val="single" w:color="auto"/>
            <w:color w:val="0000EE"/>
          </w:rPr>
          <w:t>April 7, 2020</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May 29, 2020</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June 16, 2020</w:t>
        </w:r>
      </w:hyperlink>
      <w:r>
        <w:rPr>
          <w:rFonts w:ascii="Arial" w:cs="Arial" w:eastAsia="Arial" w:hAnsi="Arial"/>
          <w:sz w:val="18"/>
          <w:szCs w:val="18"/>
          <w:color w:val="auto"/>
        </w:rPr>
        <w:t xml:space="preserve">, and </w:t>
      </w:r>
      <w:hyperlink r:id="rId74">
        <w:r>
          <w:rPr>
            <w:rFonts w:ascii="Arial" w:cs="Arial" w:eastAsia="Arial" w:hAnsi="Arial"/>
            <w:sz w:val="18"/>
            <w:szCs w:val="18"/>
            <w:u w:val="single" w:color="auto"/>
            <w:color w:val="0000EE"/>
          </w:rPr>
          <w:t>July 7,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341"/>
        <w:spacing w:after="0" w:line="290" w:lineRule="auto"/>
        <w:rPr>
          <w:sz w:val="20"/>
          <w:szCs w:val="20"/>
          <w:color w:val="auto"/>
        </w:rPr>
      </w:pPr>
      <w:r>
        <w:rPr>
          <w:rFonts w:ascii="Arial" w:cs="Arial" w:eastAsia="Arial" w:hAnsi="Arial"/>
          <w:sz w:val="16"/>
          <w:szCs w:val="16"/>
          <w:color w:val="auto"/>
        </w:rPr>
        <w:t>All documents that we file pursuant to Section 13(a), 13(c), 14, or 15(d) of the Exchange Act subsequent to the date of this prospectus supplement including on a Current Report on Form 8-K with respect to certain exhibits to the registration statement in connection with this offering, and, in all events, prior to the termination of this offering, shall be deemed to be incorporated by reference into this prospectus supplement and to be a part of this prospectus supplement from the respective dates of filing of such documents, except for information furnished under Item 2.02 and Item 7.01 of Form 8-K and related exhibits, which is not deemed filed and not incorporated by reference herein. Any statement contained in a document incorporated or deemed to be incorporated by reference into this prospectus supplement shall be deemed to be modified or superseded for purposes of this prospectus supplement to the extent that a statement contained in this prospectus supplement or in any other</w:t>
      </w:r>
    </w:p>
    <w:p>
      <w:pPr>
        <w:spacing w:after="0" w:line="17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subsequently filed document which also is, or is deemed to be, incorporated by reference herein modifies or supersedes such statement.</w:t>
      </w:r>
    </w:p>
    <w:p>
      <w:pPr>
        <w:spacing w:after="0" w:line="225" w:lineRule="exact"/>
        <w:rPr>
          <w:sz w:val="20"/>
          <w:szCs w:val="20"/>
          <w:color w:val="auto"/>
        </w:rPr>
      </w:pPr>
    </w:p>
    <w:p>
      <w:pPr>
        <w:ind w:firstLine="344"/>
        <w:spacing w:after="0" w:line="268" w:lineRule="auto"/>
        <w:rPr>
          <w:sz w:val="20"/>
          <w:szCs w:val="20"/>
          <w:color w:val="auto"/>
        </w:rPr>
      </w:pPr>
      <w:r>
        <w:rPr>
          <w:rFonts w:ascii="Arial" w:cs="Arial" w:eastAsia="Arial" w:hAnsi="Arial"/>
          <w:sz w:val="18"/>
          <w:szCs w:val="18"/>
          <w:color w:val="auto"/>
        </w:rPr>
        <w:t>You may request a copy of any document we incorporate by reference, except exhibits to the documents (unless the exhibits are specifically incorporated by reference), at no cost, by writing or calling us at: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60" w:right="4920" w:hanging="384"/>
        <w:spacing w:after="0" w:line="605" w:lineRule="auto"/>
        <w:tabs>
          <w:tab w:leader="none" w:pos="55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345-7741 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Regeneron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WARRANTS</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from time to time offer to sell together or separately in one or more offerings: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 and convertible or non-convertible;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warrants to purchase our common stock, preferred stock or debt securities.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may not be used to sell securities unless accompanied by a prospectus supplement or a free writing prospectus.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under the trading symbol "REGN." Each prospectus supplement will indicate if the securities offered thereby will be listed on any securities exchange.</w:t>
      </w:r>
    </w:p>
    <w:p>
      <w:pPr>
        <w:spacing w:after="0" w:line="167" w:lineRule="exact"/>
        <w:rPr>
          <w:sz w:val="20"/>
          <w:szCs w:val="20"/>
          <w:color w:val="auto"/>
        </w:rPr>
      </w:pPr>
    </w:p>
    <w:p>
      <w:pPr>
        <w:ind w:right="780" w:firstLine="351"/>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"Risk Factors" on page 4 before you make your investment decision.</w:t>
      </w:r>
    </w:p>
    <w:p>
      <w:pPr>
        <w:spacing w:after="0" w:line="175" w:lineRule="exact"/>
        <w:rPr>
          <w:sz w:val="20"/>
          <w:szCs w:val="20"/>
          <w:color w:val="auto"/>
        </w:rPr>
      </w:pPr>
    </w:p>
    <w:p>
      <w:pPr>
        <w:ind w:right="2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vMerge w:val="restart"/>
          </w:tcPr>
          <w:p>
            <w:pPr>
              <w:ind w:left="1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About This Prospectus</w:t>
              </w:r>
            </w:hyperlink>
          </w:p>
        </w:tc>
        <w:tc>
          <w:tcPr>
            <w:tcW w:w="1720" w:type="dxa"/>
            <w:vAlign w:val="bottom"/>
            <w:gridSpan w:val="2"/>
          </w:tcPr>
          <w:p>
            <w:pPr>
              <w:jc w:val="right"/>
              <w:ind w:right="13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9520" w:type="dxa"/>
            <w:vAlign w:val="bottom"/>
            <w:vMerge w:val="continue"/>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ii</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Cautionary Statement Regarding Forward-Looking Statements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Note Regarding Trademarks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Summary</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Risk Factors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Use of Proceeds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Securities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Capital Stock</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Description of Debt Securities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Warrants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14</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Plan of Distribution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Legal Matters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9520" w:type="dxa"/>
            <w:vAlign w:val="bottom"/>
          </w:tcPr>
          <w:p>
            <w:pPr>
              <w:ind w:left="1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Experts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22"/>
        </w:trPr>
        <w:tc>
          <w:tcPr>
            <w:tcW w:w="9520" w:type="dxa"/>
            <w:vAlign w:val="bottom"/>
          </w:tcPr>
          <w:p>
            <w:pPr>
              <w:ind w:left="1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Where You Can Find More Information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120"/>
        </w:trPr>
        <w:tc>
          <w:tcPr>
            <w:tcW w:w="9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340" w:firstLine="348"/>
        <w:spacing w:after="0" w:line="33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14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201" w:lineRule="exact"/>
        <w:rPr>
          <w:sz w:val="20"/>
          <w:szCs w:val="20"/>
          <w:color w:val="auto"/>
        </w:rPr>
      </w:pPr>
    </w:p>
    <w:p>
      <w:pPr>
        <w:ind w:right="260" w:firstLine="344"/>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74" w:lineRule="exact"/>
        <w:rPr>
          <w:sz w:val="20"/>
          <w:szCs w:val="20"/>
          <w:color w:val="auto"/>
        </w:rPr>
      </w:pPr>
    </w:p>
    <w:p>
      <w:pPr>
        <w:ind w:right="120" w:firstLine="344"/>
        <w:spacing w:after="0" w:line="331" w:lineRule="auto"/>
        <w:rPr>
          <w:sz w:val="20"/>
          <w:szCs w:val="20"/>
          <w:color w:val="auto"/>
        </w:rPr>
      </w:pPr>
      <w:r>
        <w:rPr>
          <w:rFonts w:ascii="Arial" w:cs="Arial" w:eastAsia="Arial" w:hAnsi="Arial"/>
          <w:sz w:val="16"/>
          <w:szCs w:val="16"/>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14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this prospectus, unless otherwise specified or the context requires otherwise, we use the terms "Regeneron," "Company," "we," "us," and "our" to refer to Regeneron Pharmaceuticals, Inc. References to "preferred stock" refer to shares of our preferred stock, par value $0.01 per share; references to "Common Stock" refer to shares of our common stock, par value $0.001 per share; references to "Class A Stock" refer to our Class A Stock, par value $0.001 per share; and references to "common shares" mean, collectively, shares of Common Stock and shares of Class A Stock.</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This prospectus, any accompanying prospectus supplements, and the documents incorporated by reference contain forward-looking statements that involve risks and uncertainties relating to future events and our future financial performance,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 (aflibercept) Injection, Dupixent® (dupilumab) Injection, Praluent® (alirocumab) Injection, Kevzara® (sarilumab) Injection, Libtayo® (cemiplimab) Injection (marketed as Libtayo (cemiplimab-rwlc) Injection in the United States),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A list and description of risks, uncertainties, and other matters that should be considered in evaluating such forward-looking statements can be found in our Annual Report on Form 10-K for the fiscal year ended December 31, 2017 and in our Quarterly Report on Form 10-Q for the quarterly period ended September 30, 2018, in each case including in the sections thereof captioned "Item 1A. Risk Factors." Any forward-looking statements are made by us based on management's current beliefs and judgment, and the reader is cautioned not to rely on any such statements. We do not undertake any obligation to update publicly any forward-looking statement, whether as a result of new information, future events, or otherwise.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REGARDING TRADEMARKS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"ARCALYST®", "EYLEA®", "Regeneron®", "Regeneron Genetics Center®", "</w:t>
      </w:r>
      <w:r>
        <w:rPr>
          <w:rFonts w:ascii="Arial" w:cs="Arial" w:eastAsia="Arial" w:hAnsi="Arial"/>
          <w:sz w:val="16"/>
          <w:szCs w:val="16"/>
          <w:i w:val="1"/>
          <w:iCs w:val="1"/>
          <w:color w:val="auto"/>
        </w:rPr>
        <w:t>VelociGene</w:t>
      </w:r>
      <w:r>
        <w:rPr>
          <w:rFonts w:ascii="Arial" w:cs="Arial" w:eastAsia="Arial" w:hAnsi="Arial"/>
          <w:sz w:val="16"/>
          <w:szCs w:val="16"/>
          <w:color w:val="auto"/>
        </w:rPr>
        <w:t>®", "</w:t>
      </w:r>
      <w:r>
        <w:rPr>
          <w:rFonts w:ascii="Arial" w:cs="Arial" w:eastAsia="Arial" w:hAnsi="Arial"/>
          <w:sz w:val="16"/>
          <w:szCs w:val="16"/>
          <w:i w:val="1"/>
          <w:iCs w:val="1"/>
          <w:color w:val="auto"/>
        </w:rPr>
        <w:t>VelociMab</w:t>
      </w:r>
      <w:r>
        <w:rPr>
          <w:rFonts w:ascii="Arial" w:cs="Arial" w:eastAsia="Arial" w:hAnsi="Arial"/>
          <w:sz w:val="16"/>
          <w:szCs w:val="16"/>
          <w:color w:val="auto"/>
        </w:rPr>
        <w:t>®", "</w:t>
      </w:r>
      <w:r>
        <w:rPr>
          <w:rFonts w:ascii="Arial" w:cs="Arial" w:eastAsia="Arial" w:hAnsi="Arial"/>
          <w:sz w:val="16"/>
          <w:szCs w:val="16"/>
          <w:i w:val="1"/>
          <w:iCs w:val="1"/>
          <w:color w:val="auto"/>
        </w:rPr>
        <w:t>VelocImmune</w:t>
      </w:r>
      <w:r>
        <w:rPr>
          <w:rFonts w:ascii="Arial" w:cs="Arial" w:eastAsia="Arial" w:hAnsi="Arial"/>
          <w:sz w:val="16"/>
          <w:szCs w:val="16"/>
          <w:color w:val="auto"/>
        </w:rPr>
        <w:t>®", "</w:t>
      </w:r>
      <w:r>
        <w:rPr>
          <w:rFonts w:ascii="Arial" w:cs="Arial" w:eastAsia="Arial" w:hAnsi="Arial"/>
          <w:sz w:val="16"/>
          <w:szCs w:val="16"/>
          <w:i w:val="1"/>
          <w:iCs w:val="1"/>
          <w:color w:val="auto"/>
        </w:rPr>
        <w:t>VelociMouse</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VelociSuite</w:t>
      </w:r>
      <w:r>
        <w:rPr>
          <w:rFonts w:ascii="Arial" w:cs="Arial" w:eastAsia="Arial" w:hAnsi="Arial"/>
          <w:sz w:val="15"/>
          <w:szCs w:val="15"/>
          <w:color w:val="auto"/>
        </w:rPr>
        <w:t>®" and "ZALTRAP®" are our trademarks. Trademarks and trade names of other companies appearing in this prospectus are, to our knowledge,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property of their respective owners.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23615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right="220" w:firstLine="351"/>
        <w:spacing w:after="0" w:line="259"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70935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currently have seven products that have received marketing approval:</w:t>
      </w: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Territory</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41"/>
              <w:spacing w:after="0" w:line="129" w:lineRule="exact"/>
              <w:rPr>
                <w:sz w:val="20"/>
                <w:szCs w:val="20"/>
                <w:color w:val="auto"/>
              </w:rPr>
            </w:pPr>
            <w:r>
              <w:rPr>
                <w:rFonts w:ascii="Arial" w:cs="Arial" w:eastAsia="Arial" w:hAnsi="Arial"/>
                <w:sz w:val="13"/>
                <w:szCs w:val="13"/>
                <w:b w:val="1"/>
                <w:bCs w:val="1"/>
                <w:color w:val="auto"/>
                <w:w w:val="96"/>
              </w:rPr>
              <w:t>Certain 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countries</w:t>
            </w:r>
          </w:p>
        </w:tc>
        <w:tc>
          <w:tcPr>
            <w:tcW w:w="0" w:type="dxa"/>
            <w:vAlign w:val="bottom"/>
          </w:tcPr>
          <w:p>
            <w:pPr>
              <w:spacing w:after="0"/>
              <w:rPr>
                <w:sz w:val="1"/>
                <w:szCs w:val="1"/>
                <w:color w:val="auto"/>
              </w:rPr>
            </w:pPr>
          </w:p>
        </w:tc>
      </w:tr>
      <w:tr>
        <w:trPr>
          <w:trHeight w:val="181"/>
        </w:trPr>
        <w:tc>
          <w:tcPr>
            <w:tcW w:w="2760" w:type="dxa"/>
            <w:vAlign w:val="bottom"/>
            <w:gridSpan w:val="3"/>
          </w:tcPr>
          <w:p>
            <w:pPr>
              <w:jc w:val="right"/>
              <w:ind w:right="2212"/>
              <w:spacing w:after="0"/>
              <w:rPr>
                <w:sz w:val="20"/>
                <w:szCs w:val="20"/>
                <w:color w:val="auto"/>
              </w:rPr>
            </w:pPr>
            <w:r>
              <w:rPr>
                <w:rFonts w:ascii="Arial" w:cs="Arial" w:eastAsia="Arial" w:hAnsi="Arial"/>
                <w:sz w:val="13"/>
                <w:szCs w:val="13"/>
                <w:b w:val="1"/>
                <w:bCs w:val="1"/>
                <w:color w:val="auto"/>
                <w:w w:val="89"/>
              </w:rPr>
              <w:t>Product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Disease Area(1)</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U.S.</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EU</w:t>
            </w:r>
          </w:p>
        </w:tc>
        <w:tc>
          <w:tcPr>
            <w:tcW w:w="160" w:type="dxa"/>
            <w:vAlign w:val="bottom"/>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Japan</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1"/>
              </w:rPr>
              <w:t>outside the U.S.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2"/>
              </w:rPr>
              <w:t>EYLEA</w:t>
            </w:r>
          </w:p>
        </w:tc>
        <w:tc>
          <w:tcPr>
            <w:tcW w:w="2300" w:type="dxa"/>
            <w:vAlign w:val="bottom"/>
            <w:tcBorders>
              <w:top w:val="single" w:sz="8" w:color="CCEEFF"/>
            </w:tcBorders>
            <w:shd w:val="clear" w:color="auto" w:fill="CCEEFF"/>
          </w:tcPr>
          <w:p>
            <w:pPr>
              <w:jc w:val="right"/>
              <w:ind w:right="312"/>
              <w:spacing w:after="0" w:line="182" w:lineRule="exact"/>
              <w:rPr>
                <w:sz w:val="20"/>
                <w:szCs w:val="20"/>
                <w:color w:val="auto"/>
              </w:rPr>
            </w:pPr>
            <w:r>
              <w:rPr>
                <w:rFonts w:ascii="Arial" w:cs="Arial" w:eastAsia="Arial" w:hAnsi="Arial"/>
                <w:sz w:val="18"/>
                <w:szCs w:val="18"/>
                <w:color w:val="auto"/>
                <w:w w:val="99"/>
              </w:rPr>
              <w:t>(aflibercept) Injection(2)</w:t>
            </w:r>
          </w:p>
        </w:tc>
        <w:tc>
          <w:tcPr>
            <w:tcW w:w="280" w:type="dxa"/>
            <w:vAlign w:val="bottom"/>
            <w:tcBorders>
              <w:top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rPr>
              <w:t>•</w:t>
            </w:r>
          </w:p>
        </w:tc>
        <w:tc>
          <w:tcPr>
            <w:tcW w:w="2620" w:type="dxa"/>
            <w:vAlign w:val="bottom"/>
            <w:tcBorders>
              <w:top w:val="single" w:sz="8" w:color="CCEEFF"/>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95"/>
              </w:rPr>
              <w:t>Neovascular age-related macular</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ü</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ü</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gridSpan w:val="3"/>
            <w:shd w:val="clear" w:color="auto" w:fill="CCEEFF"/>
          </w:tcPr>
          <w:p>
            <w:pPr>
              <w:ind w:left="200"/>
              <w:spacing w:after="0" w:line="182" w:lineRule="exact"/>
              <w:rPr>
                <w:sz w:val="20"/>
                <w:szCs w:val="20"/>
                <w:color w:val="auto"/>
              </w:rPr>
            </w:pPr>
            <w:r>
              <w:rPr>
                <w:rFonts w:ascii="Arial" w:cs="Arial" w:eastAsia="Arial" w:hAnsi="Arial"/>
                <w:sz w:val="18"/>
                <w:szCs w:val="18"/>
                <w:color w:val="auto"/>
              </w:rPr>
              <w:t>ü</w:t>
            </w:r>
          </w:p>
        </w:tc>
        <w:tc>
          <w:tcPr>
            <w:tcW w:w="1100" w:type="dxa"/>
            <w:vAlign w:val="bottom"/>
            <w:tcBorders>
              <w:top w:val="single" w:sz="8" w:color="CCEEFF"/>
            </w:tcBorders>
            <w:shd w:val="clear" w:color="auto" w:fill="CCEEFF"/>
          </w:tcPr>
          <w:p>
            <w:pPr>
              <w:jc w:val="center"/>
              <w:ind w:right="21"/>
              <w:spacing w:after="0" w:line="182" w:lineRule="exact"/>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degeneration (wet AMD)</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Diabetic macular edema (DME)</w:t>
            </w:r>
          </w:p>
        </w:tc>
        <w:tc>
          <w:tcPr>
            <w:tcW w:w="18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9"/>
                <w:szCs w:val="19"/>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Macular edema following retinal</w:t>
            </w:r>
          </w:p>
        </w:tc>
        <w:tc>
          <w:tcPr>
            <w:tcW w:w="1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vein occlusion (RVO), which</w:t>
            </w:r>
          </w:p>
        </w:tc>
        <w:tc>
          <w:tcPr>
            <w:tcW w:w="1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includes macular edema following</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central retinal vein occlusion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(CRVO) and macular edema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following branch retinal vein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occlusion (BRVO)</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Myopic choroidal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74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ü</w:t>
            </w:r>
          </w:p>
        </w:tc>
        <w:tc>
          <w:tcPr>
            <w:tcW w:w="1100" w:type="dxa"/>
            <w:vAlign w:val="bottom"/>
            <w:vMerge w:val="restart"/>
            <w:shd w:val="clear" w:color="auto" w:fill="CCEEFF"/>
          </w:tcPr>
          <w:p>
            <w:pPr>
              <w:jc w:val="center"/>
              <w:ind w:right="21"/>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neovascularization (mCNV)</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Diabetic retinopathy in patients</w:t>
            </w:r>
          </w:p>
        </w:tc>
        <w:tc>
          <w:tcPr>
            <w:tcW w:w="18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with DME</w:t>
            </w:r>
          </w:p>
        </w:tc>
        <w:tc>
          <w:tcPr>
            <w:tcW w:w="1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Dupixent (dupilumab) Injection(3)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Praluent (alirocumab) Injection(3)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20" w:right="300"/>
        <w:spacing w:after="0" w:line="331" w:lineRule="auto"/>
        <w:rPr>
          <w:sz w:val="20"/>
          <w:szCs w:val="20"/>
          <w:color w:val="auto"/>
        </w:rPr>
      </w:pPr>
      <w:r>
        <w:rPr>
          <w:rFonts w:ascii="Arial" w:cs="Arial" w:eastAsia="Arial" w:hAnsi="Arial"/>
          <w:sz w:val="16"/>
          <w:szCs w:val="16"/>
          <w:color w:val="auto"/>
        </w:rPr>
        <w:t>Kevzara (sarilumab) Solution for Subcutaneous Injection(3)</w:t>
      </w:r>
    </w:p>
    <w:p>
      <w:pPr>
        <w:spacing w:after="0" w:line="127"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Libtayo (cemiplimab) Injection(3)(5)</w:t>
      </w:r>
    </w:p>
    <w:p>
      <w:pPr>
        <w:spacing w:after="0" w:line="200" w:lineRule="exact"/>
        <w:rPr>
          <w:sz w:val="20"/>
          <w:szCs w:val="20"/>
          <w:color w:val="auto"/>
        </w:rPr>
      </w:pPr>
    </w:p>
    <w:p>
      <w:pPr>
        <w:spacing w:after="0" w:line="264" w:lineRule="exact"/>
        <w:rPr>
          <w:sz w:val="20"/>
          <w:szCs w:val="20"/>
          <w:color w:val="auto"/>
        </w:rPr>
      </w:pPr>
    </w:p>
    <w:p>
      <w:pPr>
        <w:ind w:left="1320" w:right="40"/>
        <w:spacing w:after="0" w:line="268" w:lineRule="auto"/>
        <w:rPr>
          <w:sz w:val="20"/>
          <w:szCs w:val="20"/>
          <w:color w:val="auto"/>
        </w:rPr>
      </w:pPr>
      <w:r>
        <w:rPr>
          <w:rFonts w:ascii="Arial" w:cs="Arial" w:eastAsia="Arial" w:hAnsi="Arial"/>
          <w:sz w:val="18"/>
          <w:szCs w:val="18"/>
          <w:color w:val="auto"/>
        </w:rPr>
        <w:t>ARCALYST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(rilonacept) Injection for Subcutaneous Use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ZALTRAP</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(ziv-aflibercept)</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Injection for Intravenous Infusion(4)</w:t>
      </w:r>
    </w:p>
    <w:p>
      <w:pPr>
        <w:spacing w:after="0" w:line="20" w:lineRule="exact"/>
        <w:rPr>
          <w:sz w:val="20"/>
          <w:szCs w:val="20"/>
          <w:color w:val="auto"/>
        </w:rPr>
      </w:pPr>
      <w:r>
        <w:rPr>
          <w:sz w:val="20"/>
          <w:szCs w:val="20"/>
          <w:color w:val="auto"/>
        </w:rPr>
        <w:br w:type="column"/>
      </w:r>
    </w:p>
    <w:p>
      <w:pPr>
        <w:ind w:left="180" w:hanging="180"/>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Atopic dermatitis (in adults)</w:t>
      </w:r>
    </w:p>
    <w:p>
      <w:pPr>
        <w:spacing w:after="0" w:line="203" w:lineRule="exact"/>
        <w:rPr>
          <w:rFonts w:ascii="Arial" w:cs="Arial" w:eastAsia="Arial" w:hAnsi="Arial"/>
          <w:sz w:val="18"/>
          <w:szCs w:val="18"/>
          <w:color w:val="auto"/>
        </w:rPr>
      </w:pPr>
    </w:p>
    <w:p>
      <w:pPr>
        <w:ind w:left="180" w:hanging="180"/>
        <w:spacing w:after="0"/>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Asthma (in adults and adolescents)</w:t>
      </w:r>
    </w:p>
    <w:p>
      <w:pPr>
        <w:spacing w:after="0" w:line="234" w:lineRule="exact"/>
        <w:rPr>
          <w:rFonts w:ascii="Arial" w:cs="Arial" w:eastAsia="Arial" w:hAnsi="Arial"/>
          <w:sz w:val="16"/>
          <w:szCs w:val="16"/>
          <w:color w:val="auto"/>
        </w:rPr>
      </w:pPr>
    </w:p>
    <w:p>
      <w:pPr>
        <w:ind w:left="180" w:right="200" w:hanging="180"/>
        <w:spacing w:after="0" w:line="283"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Heterozygous familial hypercholesterolemia (HeFH) or clinical atherosclerotic cardiovascular disease (ASCVD) (in adults)</w:t>
      </w:r>
    </w:p>
    <w:p>
      <w:pPr>
        <w:spacing w:after="0" w:line="1" w:lineRule="exact"/>
        <w:rPr>
          <w:rFonts w:ascii="Arial" w:cs="Arial" w:eastAsia="Arial" w:hAnsi="Arial"/>
          <w:sz w:val="16"/>
          <w:szCs w:val="16"/>
          <w:color w:val="auto"/>
        </w:rPr>
      </w:pPr>
    </w:p>
    <w:p>
      <w:pPr>
        <w:ind w:left="180" w:right="420" w:hanging="180"/>
        <w:spacing w:after="0" w:line="260"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Rheumatoid arthritis (RA) (in adults)</w:t>
      </w:r>
    </w:p>
    <w:p>
      <w:pPr>
        <w:spacing w:after="0" w:line="179" w:lineRule="exact"/>
        <w:rPr>
          <w:rFonts w:ascii="Arial" w:cs="Arial" w:eastAsia="Arial" w:hAnsi="Arial"/>
          <w:sz w:val="18"/>
          <w:szCs w:val="18"/>
          <w:color w:val="auto"/>
        </w:rPr>
      </w:pPr>
    </w:p>
    <w:p>
      <w:pPr>
        <w:ind w:left="180" w:hanging="180"/>
        <w:spacing w:after="0" w:line="252"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Metastatic or locally advanced cutaneous squamous cell carcinoma (CSCC)</w:t>
      </w:r>
    </w:p>
    <w:p>
      <w:pPr>
        <w:spacing w:after="0" w:line="2" w:lineRule="exact"/>
        <w:rPr>
          <w:rFonts w:ascii="Arial" w:cs="Arial" w:eastAsia="Arial" w:hAnsi="Arial"/>
          <w:sz w:val="18"/>
          <w:szCs w:val="18"/>
          <w:color w:val="auto"/>
        </w:rPr>
      </w:pPr>
    </w:p>
    <w:p>
      <w:pPr>
        <w:ind w:left="180" w:right="140" w:hanging="180"/>
        <w:spacing w:after="0" w:line="281"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Cryopyrin-Associated Periodic Syndromes (CAPS), including Familial Cold Auto-inflammatory Syndrome (FCAS) and Muckle-Wells Syndrome (MWS)</w:t>
      </w:r>
    </w:p>
    <w:p>
      <w:pPr>
        <w:spacing w:after="0" w:line="2" w:lineRule="exact"/>
        <w:rPr>
          <w:rFonts w:ascii="Arial" w:cs="Arial" w:eastAsia="Arial" w:hAnsi="Arial"/>
          <w:sz w:val="16"/>
          <w:szCs w:val="16"/>
          <w:color w:val="auto"/>
        </w:rPr>
      </w:pPr>
    </w:p>
    <w:p>
      <w:pPr>
        <w:ind w:left="180" w:right="560" w:hanging="180"/>
        <w:spacing w:after="0" w:line="260"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Metastatic colorectal cancer (mCRC)</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12"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100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 w:leader="none" w:pos="200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4"/>
          <w:szCs w:val="14"/>
          <w:color w:val="auto"/>
        </w:rPr>
        <w:t>ü</w:t>
      </w:r>
    </w:p>
    <w:p>
      <w:pPr>
        <w:spacing w:after="0" w:line="399" w:lineRule="exact"/>
        <w:rPr>
          <w:sz w:val="20"/>
          <w:szCs w:val="20"/>
          <w:color w:val="auto"/>
        </w:rPr>
      </w:pPr>
    </w:p>
    <w:p>
      <w:pPr>
        <w:sectPr>
          <w:pgSz w:w="11900" w:h="16838" w:orient="portrait"/>
          <w:cols w:equalWidth="0" w:num="3">
            <w:col w:w="3940" w:space="300"/>
            <w:col w:w="2700" w:space="340"/>
            <w:col w:w="2859"/>
          </w:cols>
          <w:pgMar w:left="320" w:top="131" w:right="1440" w:bottom="1440" w:gutter="0" w:footer="0" w:header="0"/>
          <w:type w:val="continuous"/>
        </w:sectPr>
      </w:pPr>
    </w:p>
    <w:p>
      <w:pPr>
        <w:spacing w:after="0" w:line="190" w:lineRule="exact"/>
        <w:rPr>
          <w:sz w:val="20"/>
          <w:szCs w:val="20"/>
          <w:color w:val="auto"/>
        </w:rPr>
      </w:pPr>
    </w:p>
    <w:p>
      <w:pPr>
        <w:ind w:left="1860" w:hanging="542"/>
        <w:spacing w:after="0"/>
        <w:tabs>
          <w:tab w:leader="none" w:pos="1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Refer to label information in each territory for specific indication</w:t>
      </w:r>
    </w:p>
    <w:p>
      <w:pPr>
        <w:spacing w:after="0" w:line="261" w:lineRule="exact"/>
        <w:rPr>
          <w:rFonts w:ascii="Arial" w:cs="Arial" w:eastAsia="Arial" w:hAnsi="Arial"/>
          <w:sz w:val="16"/>
          <w:szCs w:val="16"/>
          <w:color w:val="auto"/>
        </w:rPr>
      </w:pPr>
    </w:p>
    <w:p>
      <w:pPr>
        <w:ind w:left="1860" w:hanging="542"/>
        <w:spacing w:after="0"/>
        <w:tabs>
          <w:tab w:leader="none" w:pos="1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collaboration with Bayer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413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60" w:hanging="542"/>
        <w:spacing w:after="0"/>
        <w:tabs>
          <w:tab w:leader="none" w:pos="1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collaboration with Sanofi</w:t>
      </w:r>
    </w:p>
    <w:p>
      <w:pPr>
        <w:spacing w:after="0" w:line="238" w:lineRule="exact"/>
        <w:rPr>
          <w:rFonts w:ascii="Arial" w:cs="Arial" w:eastAsia="Arial" w:hAnsi="Arial"/>
          <w:sz w:val="18"/>
          <w:szCs w:val="18"/>
          <w:color w:val="auto"/>
        </w:rPr>
      </w:pPr>
    </w:p>
    <w:p>
      <w:pPr>
        <w:ind w:left="1860" w:right="880" w:hanging="542"/>
        <w:spacing w:after="0" w:line="331" w:lineRule="auto"/>
        <w:tabs>
          <w:tab w:leader="none" w:pos="1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Pursuant to a 2015 amended and restated ZALTRAP agreement, Sanofi is solely responsible for the development and commercialization of ZALTRAP, and Sanofi pays us a percentage of aggregate net sales of ZALTRAP</w:t>
      </w:r>
    </w:p>
    <w:p>
      <w:pPr>
        <w:spacing w:after="0" w:line="154" w:lineRule="exact"/>
        <w:rPr>
          <w:rFonts w:ascii="Arial" w:cs="Arial" w:eastAsia="Arial" w:hAnsi="Arial"/>
          <w:sz w:val="16"/>
          <w:szCs w:val="16"/>
          <w:color w:val="auto"/>
        </w:rPr>
      </w:pPr>
    </w:p>
    <w:p>
      <w:pPr>
        <w:ind w:left="1860" w:hanging="542"/>
        <w:spacing w:after="0"/>
        <w:tabs>
          <w:tab w:leader="none" w:pos="1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Marketed as Libtayo (cemiplimab-rwlc) Injection in the United States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we currently have 20 product candidates in clinical development that were discovered in our research laboratories.</w:t>
      </w:r>
    </w:p>
    <w:p>
      <w:pPr>
        <w:spacing w:after="0" w:line="225" w:lineRule="exact"/>
        <w:rPr>
          <w:sz w:val="20"/>
          <w:szCs w:val="20"/>
          <w:color w:val="auto"/>
        </w:rPr>
      </w:pPr>
    </w:p>
    <w:p>
      <w:pPr>
        <w:jc w:val="both"/>
        <w:ind w:left="240" w:right="160" w:firstLine="351"/>
        <w:spacing w:after="0" w:line="306"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31"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6"/>
          <w:szCs w:val="16"/>
          <w:i w:val="1"/>
          <w:iCs w:val="1"/>
          <w:color w:val="auto"/>
        </w:rPr>
        <w:t>VelociGene</w:t>
      </w:r>
      <w:r>
        <w:rPr>
          <w:rFonts w:ascii="Arial" w:cs="Arial" w:eastAsia="Arial" w:hAnsi="Arial"/>
          <w:sz w:val="16"/>
          <w:szCs w:val="16"/>
          <w:color w:val="auto"/>
        </w:rPr>
        <w:t>® technology to understand the role of these proteins in normal physiology, as well as in models of disease. Our human antibody technology (</w:t>
      </w:r>
      <w:r>
        <w:rPr>
          <w:rFonts w:ascii="Arial" w:cs="Arial" w:eastAsia="Arial" w:hAnsi="Arial"/>
          <w:sz w:val="16"/>
          <w:szCs w:val="16"/>
          <w:i w:val="1"/>
          <w:iCs w:val="1"/>
          <w:color w:val="auto"/>
        </w:rPr>
        <w:t>VelocImmune</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16"/>
          <w:szCs w:val="16"/>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16"/>
          <w:szCs w:val="16"/>
          <w:color w:val="auto"/>
        </w:rPr>
        <w:t>. We continue to invest in the development of enabling technologies to assist in our efforts to identify, develop, manufacture, and commercialize new product candidates.</w:t>
      </w:r>
    </w:p>
    <w:p>
      <w:pPr>
        <w:spacing w:after="0" w:line="172" w:lineRule="exact"/>
        <w:rPr>
          <w:sz w:val="20"/>
          <w:szCs w:val="20"/>
          <w:color w:val="auto"/>
        </w:rPr>
      </w:pPr>
    </w:p>
    <w:p>
      <w:pPr>
        <w:ind w:left="240" w:right="140" w:firstLine="348"/>
        <w:spacing w:after="0" w:line="291" w:lineRule="auto"/>
        <w:rPr>
          <w:sz w:val="20"/>
          <w:szCs w:val="20"/>
          <w:color w:val="auto"/>
        </w:rPr>
      </w:pPr>
      <w:r>
        <w:rPr>
          <w:rFonts w:ascii="Arial" w:cs="Arial" w:eastAsia="Arial" w:hAnsi="Arial"/>
          <w:sz w:val="16"/>
          <w:szCs w:val="16"/>
          <w:color w:val="auto"/>
        </w:rPr>
        <w:t>We have launched a human genetics initiative via a wholly owned subsidiary, Regeneron Genetics Center LLC ("RGC"). RGC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firstLine="351"/>
        <w:spacing w:after="0" w:line="306" w:lineRule="auto"/>
        <w:rPr>
          <w:sz w:val="20"/>
          <w:szCs w:val="20"/>
          <w:color w:val="auto"/>
        </w:rPr>
      </w:pPr>
      <w:r>
        <w:rPr>
          <w:rFonts w:ascii="Arial" w:cs="Arial" w:eastAsia="Arial" w:hAnsi="Arial"/>
          <w:sz w:val="16"/>
          <w:szCs w:val="16"/>
          <w:color w:val="auto"/>
        </w:rPr>
        <w:t xml:space="preserve">Our principal executive offices are located at 777 Old Saw Mill River Road, Tarrytown, New York 10591, and our telephone number at that address is (914) 847-7000. Our website address is </w:t>
      </w:r>
      <w:r>
        <w:rPr>
          <w:rFonts w:ascii="Arial" w:cs="Arial" w:eastAsia="Arial" w:hAnsi="Arial"/>
          <w:sz w:val="16"/>
          <w:szCs w:val="16"/>
          <w:i w:val="1"/>
          <w:iCs w:val="1"/>
          <w:color w:val="auto"/>
        </w:rPr>
        <w:t>www.regeneron.com</w:t>
      </w:r>
      <w:r>
        <w:rPr>
          <w:rFonts w:ascii="Arial" w:cs="Arial" w:eastAsia="Arial" w:hAnsi="Arial"/>
          <w:sz w:val="16"/>
          <w:szCs w:val="16"/>
          <w:color w:val="auto"/>
        </w:rPr>
        <w:t>. The information on, or accessible through, our website is not part of this prospectus and should not be relied upon in connection with making any investment decision with respect to the securities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44"/>
        <w:spacing w:after="0" w:line="254" w:lineRule="auto"/>
        <w:rPr>
          <w:sz w:val="20"/>
          <w:szCs w:val="20"/>
          <w:color w:val="auto"/>
        </w:rPr>
      </w:pPr>
      <w:r>
        <w:rPr>
          <w:rFonts w:ascii="Arial" w:cs="Arial" w:eastAsia="Arial" w:hAnsi="Arial"/>
          <w:sz w:val="18"/>
          <w:szCs w:val="18"/>
          <w:color w:val="auto"/>
        </w:rPr>
        <w:t>You should consider the specific risks described in our Annual Report on Form 10-K for the fiscal year ended December 31, 2017 and our Quarterly Report on Form 10-Q for the quarterly period ended September 30, 2018,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19 of this prospectus.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authorized capital stock consists of 320,000,000 shares of Common Stock, par value $0.001 per share, of which 106,298,574 shares were issued and outstanding as of September 30, 2018, 40,000,000 shares of Class A Stock, par value $0.001 per share, of which 1,911,354 shares were issued and outstanding as of September 30, 2018, and 30,000,000 shares of preferred stock, par value $0.01 per share, none of which were issued and outstanding as of September 30, 2018.</w:t>
      </w:r>
    </w:p>
    <w:p>
      <w:pPr>
        <w:spacing w:after="0" w:line="19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A Stock</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rights of holders of Common Stock and holders of Class A Stock are identical except for voting rights, conversion rights,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transferability.</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Class A Stock are entitled to ten votes per share and the holders of Common Stock are entitled to one vote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98"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Transfer Restrictions.</w:t>
      </w:r>
      <w:r>
        <w:rPr>
          <w:sz w:val="20"/>
          <w:szCs w:val="20"/>
          <w:color w:val="auto"/>
        </w:rPr>
        <w:tab/>
      </w:r>
      <w:r>
        <w:rPr>
          <w:rFonts w:ascii="Arial" w:cs="Arial" w:eastAsia="Arial" w:hAnsi="Arial"/>
          <w:sz w:val="16"/>
          <w:szCs w:val="16"/>
          <w:color w:val="auto"/>
        </w:rPr>
        <w:t>Class A Stock is subject to certain limitations on transfer that do not apply to the Common Stock.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Dividends and Liquidation. </w:t>
      </w:r>
      <w:r>
        <w:rPr>
          <w:rFonts w:ascii="Arial" w:cs="Arial" w:eastAsia="Arial" w:hAnsi="Arial"/>
          <w:sz w:val="16"/>
          <w:szCs w:val="16"/>
          <w:color w:val="auto"/>
        </w:rPr>
        <w:t>Except as described in this paragraph, holders of Class A Stock and holders of our Common Stock have an equal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72"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 xml:space="preserve">Optional Conversion Rights. </w:t>
      </w:r>
      <w:r>
        <w:rPr>
          <w:rFonts w:ascii="Arial" w:cs="Arial" w:eastAsia="Arial" w:hAnsi="Arial"/>
          <w:sz w:val="16"/>
          <w:szCs w:val="16"/>
          <w:color w:val="auto"/>
        </w:rPr>
        <w:t>Each share of Class A Stock may, at any time and at the option of the holder, be converted into one fully paid and</w:t>
      </w:r>
      <w:r>
        <w:rPr>
          <w:rFonts w:ascii="Arial" w:cs="Arial" w:eastAsia="Arial" w:hAnsi="Arial"/>
          <w:sz w:val="16"/>
          <w:szCs w:val="16"/>
          <w:i w:val="1"/>
          <w:iCs w:val="1"/>
          <w:color w:val="auto"/>
        </w:rPr>
        <w:t xml:space="preserve"> </w:t>
      </w:r>
      <w:r>
        <w:rPr>
          <w:rFonts w:ascii="Arial" w:cs="Arial" w:eastAsia="Arial" w:hAnsi="Arial"/>
          <w:sz w:val="16"/>
          <w:szCs w:val="16"/>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16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Holders of Class A Stock and Common Stock have no preemptive rights to subscribe for any additional securities of any class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may issue and there are no redemption provisions or sinking fund provisions applicable to either such class, nor are our shares of Class A Stock or the Common Stock subject to calls or assessments.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Nasdaq Global Select Market under the symbol "REGN." Our Class A Stock is not listed on a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w:t>
      </w:r>
    </w:p>
    <w:p>
      <w:pPr>
        <w:spacing w:after="0" w:line="186"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 as amended ("Certificate of Incorporation").</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Certificate of Incorporation allows us to issue up to 30,000,000 shares of preferred stock in one or more series and as may be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by our board of directors. As of September 30, 2018,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Certificate of Incorporation relating to such series. A prospectus supplement relating to such series will describe the terms of the preferred stock of the series, including the following:</w:t>
      </w:r>
    </w:p>
    <w:p>
      <w:pPr>
        <w:spacing w:after="0" w:line="185"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in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for that series by number, letter or title that shall distinguish the series from any other series of preferred stock;</w:t>
      </w: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liquidation preference per share of that series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conversion or exchange provisions applicable to that series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redemption or sinking fund provisions applicable to that series of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voting rights of that series of preferred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of any other preferences or rights applicable to that series of preferred stock.</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Permanent Global Preferred Securities. </w:t>
      </w:r>
      <w:r>
        <w:rPr>
          <w:rFonts w:ascii="Arial" w:cs="Arial" w:eastAsia="Arial" w:hAnsi="Arial"/>
          <w:sz w:val="18"/>
          <w:szCs w:val="18"/>
          <w:color w:val="auto"/>
        </w:rPr>
        <w:t>A series of preferred stock may be issued in whole or in part in the form of one or more global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197"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each series of preferred stock will be set forth in the prospectus supplement.</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i w:val="1"/>
          <w:iCs w:val="1"/>
          <w:color w:val="auto"/>
        </w:rPr>
        <w:t xml:space="preserve">Anti-Take-Over Effects. </w:t>
      </w:r>
      <w:r>
        <w:rPr>
          <w:rFonts w:ascii="Arial" w:cs="Arial" w:eastAsia="Arial" w:hAnsi="Arial"/>
          <w:sz w:val="18"/>
          <w:szCs w:val="18"/>
          <w:color w:val="auto"/>
        </w:rPr>
        <w:t>Our board of directors may authorize, without shareholder approval, the issuance of preferred stock with voting and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One of our shareholders, Sanofi, has registration rights. Under the amended and restated investor agreement, as amended (the "Investor Agreement"), between us and such shareholder, such shareholder (and certain of its permitted transferees) may request that we file registration statements under the Securities Act and, upon such request and subject to minimum size and other conditions (such as the lock-up provisions set forth in the Investor Agreement),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For a description of anti-takeover effects of various provisions of our charter, by-laws, and the New York Business Corporation Law, please see "RISK FACTORS—Risks Related to Our Common Stock—</w:t>
      </w:r>
      <w:r>
        <w:rPr>
          <w:rFonts w:ascii="Arial" w:cs="Arial" w:eastAsia="Arial" w:hAnsi="Arial"/>
          <w:sz w:val="18"/>
          <w:szCs w:val="18"/>
          <w:i w:val="1"/>
          <w:iCs w:val="1"/>
          <w:color w:val="auto"/>
        </w:rPr>
        <w:t>The anti-takeover effects of provisions of our charter, by-laws, and of New York corporate law, as well as</w:t>
      </w:r>
      <w:r>
        <w:rPr>
          <w:rFonts w:ascii="Arial" w:cs="Arial" w:eastAsia="Arial" w:hAnsi="Arial"/>
          <w:sz w:val="18"/>
          <w:szCs w:val="18"/>
          <w:color w:val="auto"/>
        </w:rPr>
        <w:t xml:space="preserve"> </w:t>
      </w:r>
      <w:r>
        <w:rPr>
          <w:rFonts w:ascii="Arial" w:cs="Arial" w:eastAsia="Arial" w:hAnsi="Arial"/>
          <w:sz w:val="18"/>
          <w:szCs w:val="18"/>
          <w:i w:val="1"/>
          <w:iCs w:val="1"/>
          <w:color w:val="auto"/>
        </w:rPr>
        <w:t>the contractual provisions in our investor and collaboration agreements and certain provisions of our compensation plans and agreements, could deter, delay, or prevent an acquisition or other "change of control" of us and could adversely affect the price of our Common Stock</w:t>
      </w:r>
      <w:r>
        <w:rPr>
          <w:rFonts w:ascii="Arial" w:cs="Arial" w:eastAsia="Arial" w:hAnsi="Arial"/>
          <w:sz w:val="18"/>
          <w:szCs w:val="18"/>
          <w:color w:val="auto"/>
        </w:rPr>
        <w:t>" in our Quarterly Report on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quarterly period ended September 30, 2018.</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540" w:firstLine="348"/>
        <w:spacing w:after="0" w:line="331"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331" w:lineRule="auto"/>
        <w:rPr>
          <w:sz w:val="20"/>
          <w:szCs w:val="20"/>
          <w:color w:val="auto"/>
        </w:rPr>
      </w:pPr>
      <w:r>
        <w:rPr>
          <w:rFonts w:ascii="Arial" w:cs="Arial" w:eastAsia="Arial" w:hAnsi="Arial"/>
          <w:sz w:val="16"/>
          <w:szCs w:val="16"/>
          <w:color w:val="auto"/>
        </w:rPr>
        <w:t>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41"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of 1939, as amended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6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16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167" w:lineRule="exact"/>
        <w:rPr>
          <w:rFonts w:ascii="Arial" w:cs="Arial" w:eastAsia="Arial" w:hAnsi="Arial"/>
          <w:sz w:val="16"/>
          <w:szCs w:val="16"/>
          <w:color w:val="auto"/>
        </w:rPr>
      </w:pPr>
    </w:p>
    <w:p>
      <w:pPr>
        <w:ind w:left="1080" w:right="180" w:hanging="532"/>
        <w:spacing w:after="0" w:line="33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 and terms of any guarantee of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38" w:lineRule="exact"/>
        <w:rPr>
          <w:rFonts w:ascii="Arial" w:cs="Arial" w:eastAsia="Arial" w:hAnsi="Arial"/>
          <w:sz w:val="18"/>
          <w:szCs w:val="18"/>
          <w:color w:val="auto"/>
        </w:rPr>
      </w:pPr>
    </w:p>
    <w:p>
      <w:pPr>
        <w:ind w:left="1080" w:right="380" w:hanging="532"/>
        <w:spacing w:after="0" w:line="33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pay dividends, make distributions in respect of our capital stock and the capital stock of our subsidiaries or transfer assets;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238"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w:t>
      </w:r>
    </w:p>
    <w:p>
      <w:pPr>
        <w:sectPr>
          <w:pgSz w:w="11900" w:h="16838" w:orient="portrait"/>
          <w:cols w:equalWidth="0" w:num="1">
            <w:col w:w="11080"/>
          </w:cols>
          <w:pgMar w:left="320" w:top="131" w:right="499" w:bottom="1440" w:gutter="0" w:footer="0" w:header="0"/>
        </w:sectPr>
      </w:pP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those described above, and any terms which may be required by us or advisable under applicable laws or regulations or advisable in connection with the marketing of the debt securities.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19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19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the term "Event of Default," when used in the indenture in respect of a series of debt securities, means any of the following:</w:t>
      </w:r>
    </w:p>
    <w:p>
      <w:pPr>
        <w:spacing w:after="0" w:line="262" w:lineRule="exact"/>
        <w:rPr>
          <w:sz w:val="20"/>
          <w:szCs w:val="20"/>
          <w:color w:val="auto"/>
        </w:rPr>
      </w:pPr>
    </w:p>
    <w:p>
      <w:pPr>
        <w:ind w:left="1080" w:right="6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fail to pay interest when due and payable and our failure continues for 90 days and the time for payment has not been extended or deferred;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we fail to pay the principal, or premium, if any, when due and payable and the time for payment has not been extended or delayed;</w:t>
      </w:r>
    </w:p>
    <w:p>
      <w:pPr>
        <w:spacing w:after="0" w:line="275"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of our company; or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186"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interest, if any, of each issue of debt securities then outstanding will be due and payable without any notice or other action on the part of the trustee or any holder.</w:t>
      </w:r>
    </w:p>
    <w:p>
      <w:pPr>
        <w:spacing w:after="0" w:line="186"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indenture;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212" w:lineRule="exact"/>
        <w:rPr>
          <w:rFonts w:ascii="Arial" w:cs="Arial" w:eastAsia="Arial" w:hAnsi="Arial"/>
          <w:sz w:val="18"/>
          <w:szCs w:val="18"/>
          <w:color w:val="auto"/>
        </w:rPr>
      </w:pPr>
    </w:p>
    <w:p>
      <w:pPr>
        <w:ind w:left="1080" w:right="760" w:hanging="532"/>
        <w:spacing w:after="0" w:line="33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40" w:firstLine="348"/>
        <w:spacing w:after="0" w:line="369" w:lineRule="auto"/>
        <w:rPr>
          <w:sz w:val="20"/>
          <w:szCs w:val="20"/>
          <w:color w:val="auto"/>
        </w:rPr>
      </w:pPr>
      <w:r>
        <w:rPr>
          <w:rFonts w:ascii="Arial" w:cs="Arial" w:eastAsia="Arial" w:hAnsi="Arial"/>
          <w:sz w:val="15"/>
          <w:szCs w:val="15"/>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1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20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210" w:lineRule="exact"/>
        <w:rPr>
          <w:sz w:val="20"/>
          <w:szCs w:val="20"/>
          <w:color w:val="auto"/>
        </w:rPr>
      </w:pPr>
    </w:p>
    <w:p>
      <w:pPr>
        <w:ind w:left="1080" w:right="420" w:hanging="532"/>
        <w:spacing w:after="0" w:line="33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167" w:lineRule="exact"/>
        <w:rPr>
          <w:rFonts w:ascii="Arial" w:cs="Arial" w:eastAsia="Arial" w:hAnsi="Arial"/>
          <w:sz w:val="16"/>
          <w:szCs w:val="16"/>
          <w:color w:val="auto"/>
        </w:rPr>
      </w:pPr>
    </w:p>
    <w:p>
      <w:pPr>
        <w:ind w:left="1080" w:right="140" w:hanging="532"/>
        <w:spacing w:after="0" w:line="294"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69"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Waiver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19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that purpose;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9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212"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174"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supplemental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17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6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15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25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securities purchasable upon exercise of the warrants will be separately transferable;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17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 page 19 of this prospectus. We urge you to read the applicable warrant certificate, the applicable warrant agreement, and any applicable prospectus supplement in their entirety.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w:t>
      </w:r>
    </w:p>
    <w:p>
      <w:pPr>
        <w:spacing w:after="0" w:line="252" w:lineRule="exact"/>
        <w:rPr>
          <w:sz w:val="20"/>
          <w:szCs w:val="20"/>
          <w:color w:val="auto"/>
        </w:rPr>
      </w:pPr>
    </w:p>
    <w:p>
      <w:pPr>
        <w:ind w:left="1080" w:right="1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as agent, but may position or resell a portion of the block, as principal, in order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a broker solicits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exchange for outstanding indebtedness;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239" w:lineRule="exact"/>
        <w:rPr>
          <w:sz w:val="20"/>
          <w:szCs w:val="20"/>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prospectus, in which case such broker-dealer or affiliate may use shares of Common Stock received from us to close out its short positions;</w:t>
      </w:r>
    </w:p>
    <w:p>
      <w:pPr>
        <w:spacing w:after="0" w:line="262"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name or names of any underwriters or agents and the amounts of securities underwritten or purchased by each of them, if any;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231" w:lineRule="exact"/>
        <w:rPr>
          <w:sz w:val="20"/>
          <w:szCs w:val="20"/>
          <w:color w:val="auto"/>
        </w:rPr>
      </w:pPr>
    </w:p>
    <w:p>
      <w:pPr>
        <w:ind w:right="120" w:firstLine="341"/>
        <w:spacing w:after="0" w:line="369" w:lineRule="auto"/>
        <w:rPr>
          <w:sz w:val="20"/>
          <w:szCs w:val="20"/>
          <w:color w:val="auto"/>
        </w:rPr>
      </w:pPr>
      <w:r>
        <w:rPr>
          <w:rFonts w:ascii="Arial" w:cs="Arial" w:eastAsia="Arial" w:hAnsi="Arial"/>
          <w:sz w:val="15"/>
          <w:szCs w:val="15"/>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78"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20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69"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86" w:lineRule="exact"/>
        <w:rPr>
          <w:sz w:val="20"/>
          <w:szCs w:val="20"/>
          <w:color w:val="auto"/>
        </w:rPr>
      </w:pPr>
    </w:p>
    <w:p>
      <w:pPr>
        <w:ind w:right="460" w:firstLine="348"/>
        <w:spacing w:after="0" w:line="331" w:lineRule="auto"/>
        <w:rPr>
          <w:sz w:val="20"/>
          <w:szCs w:val="20"/>
          <w:color w:val="auto"/>
        </w:rPr>
      </w:pPr>
      <w:r>
        <w:rPr>
          <w:rFonts w:ascii="Arial" w:cs="Arial" w:eastAsia="Arial" w:hAnsi="Arial"/>
          <w:sz w:val="16"/>
          <w:szCs w:val="16"/>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231"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quotation system; any such listing with respect to any particular debt securities, preferred stock, or warrants will be described in the applicable prospectus supplement or pricing supplement, as the case may be.</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7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cause the price of the securities to be higher than it would be in the absence of the transactions. The underwriters may, if they commence these transactions, discontinue them at any time.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03">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EE"/>
          </w:rPr>
          <w:t>December 31, 2017</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380" w:firstLine="348"/>
        <w:spacing w:after="0" w:line="294"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under the Exchange Act. The SEC maintains an Internet site,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including Regeneron Pharmaceuticals, Inc. Our SEC filings are also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Other than as specifically incorporated by reference into this prospectus, the information on, or accessible through, our website is not part of this prospectus and should not be relied upon in connection with making any investment decision with respect to the securities offered by this prospectus.</w:t>
      </w:r>
    </w:p>
    <w:p>
      <w:pPr>
        <w:spacing w:after="0" w:line="169"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SEC allows us to "incorporate by reference" information into this prospectus and any accompanying prospectus,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187"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0000EE"/>
        </w:rPr>
      </w:pPr>
      <w:hyperlink r:id="rId103">
        <w:r>
          <w:rPr>
            <w:rFonts w:ascii="Arial" w:cs="Arial" w:eastAsia="Arial" w:hAnsi="Arial"/>
            <w:sz w:val="18"/>
            <w:szCs w:val="18"/>
            <w:u w:val="single" w:color="auto"/>
            <w:color w:val="0000EE"/>
          </w:rPr>
          <w:t>Our Annual Report on Form 10-K for the fiscal year ended December 31, 2017, filed on February 8, 2018</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480" w:hanging="532"/>
        <w:spacing w:after="0" w:line="268" w:lineRule="auto"/>
        <w:tabs>
          <w:tab w:leader="none" w:pos="1080" w:val="left"/>
        </w:tabs>
        <w:numPr>
          <w:ilvl w:val="0"/>
          <w:numId w:val="57"/>
        </w:numPr>
        <w:rPr>
          <w:rFonts w:ascii="Arial" w:cs="Arial" w:eastAsia="Arial" w:hAnsi="Arial"/>
          <w:sz w:val="18"/>
          <w:szCs w:val="18"/>
          <w:color w:val="0000EE"/>
        </w:rPr>
      </w:pPr>
      <w:r>
        <w:rPr>
          <w:rFonts w:ascii="Arial" w:cs="Arial" w:eastAsia="Arial" w:hAnsi="Arial"/>
          <w:sz w:val="18"/>
          <w:szCs w:val="18"/>
          <w:color w:val="auto"/>
        </w:rPr>
        <w:t xml:space="preserve">Portions of our </w:t>
      </w:r>
      <w:hyperlink r:id="rId104">
        <w:r>
          <w:rPr>
            <w:rFonts w:ascii="Arial" w:cs="Arial" w:eastAsia="Arial" w:hAnsi="Arial"/>
            <w:sz w:val="18"/>
            <w:szCs w:val="18"/>
            <w:u w:val="single" w:color="auto"/>
            <w:color w:val="0000EE"/>
          </w:rPr>
          <w:t>Definitive Proxy Statement on Schedule 14A filed on April 23,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that are incorporated by reference into Part III of our </w:t>
      </w:r>
      <w:hyperlink r:id="rId103">
        <w:r>
          <w:rPr>
            <w:rFonts w:ascii="Arial" w:cs="Arial" w:eastAsia="Arial" w:hAnsi="Arial"/>
            <w:sz w:val="18"/>
            <w:szCs w:val="18"/>
            <w:u w:val="single" w:color="auto"/>
            <w:color w:val="0000EE"/>
          </w:rPr>
          <w:t>Annual Report on Form 10-K for the fiscal year ended December 31, 2017, filed on February 8, 2018</w:t>
        </w:r>
      </w:hyperlink>
      <w:r>
        <w:rPr>
          <w:rFonts w:ascii="Arial" w:cs="Arial" w:eastAsia="Arial" w:hAnsi="Arial"/>
          <w:sz w:val="18"/>
          <w:szCs w:val="18"/>
          <w:color w:val="000000"/>
        </w:rPr>
        <w:t>.</w:t>
      </w:r>
    </w:p>
    <w:p>
      <w:pPr>
        <w:spacing w:after="0" w:line="199" w:lineRule="exact"/>
        <w:rPr>
          <w:rFonts w:ascii="Arial" w:cs="Arial" w:eastAsia="Arial" w:hAnsi="Arial"/>
          <w:sz w:val="18"/>
          <w:szCs w:val="18"/>
          <w:color w:val="0000EE"/>
        </w:rPr>
      </w:pPr>
    </w:p>
    <w:p>
      <w:pPr>
        <w:ind w:left="1080" w:right="480" w:hanging="532"/>
        <w:spacing w:after="0" w:line="331"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Our Quarterly Reports on Form 10-Q for the quarterly period ended March 31, 2018, filed on </w:t>
      </w:r>
      <w:hyperlink r:id="rId105">
        <w:r>
          <w:rPr>
            <w:rFonts w:ascii="Arial" w:cs="Arial" w:eastAsia="Arial" w:hAnsi="Arial"/>
            <w:sz w:val="16"/>
            <w:szCs w:val="16"/>
            <w:u w:val="single" w:color="auto"/>
            <w:color w:val="0000EE"/>
          </w:rPr>
          <w:t>May 3, 2018</w:t>
        </w:r>
      </w:hyperlink>
      <w:r>
        <w:rPr>
          <w:rFonts w:ascii="Arial" w:cs="Arial" w:eastAsia="Arial" w:hAnsi="Arial"/>
          <w:sz w:val="16"/>
          <w:szCs w:val="16"/>
          <w:color w:val="auto"/>
        </w:rPr>
        <w:t xml:space="preserve">; for the quarterly period ended June 30, 2018, filed on </w:t>
      </w:r>
      <w:hyperlink r:id="rId106">
        <w:r>
          <w:rPr>
            <w:rFonts w:ascii="Arial" w:cs="Arial" w:eastAsia="Arial" w:hAnsi="Arial"/>
            <w:sz w:val="16"/>
            <w:szCs w:val="16"/>
            <w:u w:val="single" w:color="auto"/>
            <w:color w:val="0000EE"/>
          </w:rPr>
          <w:t>August 2, 2018</w:t>
        </w:r>
      </w:hyperlink>
      <w:r>
        <w:rPr>
          <w:rFonts w:ascii="Arial" w:cs="Arial" w:eastAsia="Arial" w:hAnsi="Arial"/>
          <w:sz w:val="16"/>
          <w:szCs w:val="16"/>
          <w:color w:val="auto"/>
        </w:rPr>
        <w:t xml:space="preserve">; and for the quarterly period ended September 30, 2018, filed on </w:t>
      </w:r>
      <w:hyperlink r:id="rId107">
        <w:r>
          <w:rPr>
            <w:rFonts w:ascii="Arial" w:cs="Arial" w:eastAsia="Arial" w:hAnsi="Arial"/>
            <w:sz w:val="16"/>
            <w:szCs w:val="16"/>
            <w:u w:val="single" w:color="auto"/>
            <w:color w:val="0000EE"/>
          </w:rPr>
          <w:t>November 6, 2018</w:t>
        </w:r>
      </w:hyperlink>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108">
        <w:r>
          <w:rPr>
            <w:rFonts w:ascii="Arial" w:cs="Arial" w:eastAsia="Arial" w:hAnsi="Arial"/>
            <w:sz w:val="18"/>
            <w:szCs w:val="18"/>
            <w:u w:val="single" w:color="auto"/>
            <w:color w:val="0000EE"/>
          </w:rPr>
          <w:t>January 2, 2018</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January 8,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as to Item 1.01 thereof); </w:t>
      </w:r>
      <w:hyperlink r:id="rId110">
        <w:r>
          <w:rPr>
            <w:rFonts w:ascii="Arial" w:cs="Arial" w:eastAsia="Arial" w:hAnsi="Arial"/>
            <w:sz w:val="18"/>
            <w:szCs w:val="18"/>
            <w:u w:val="single" w:color="auto"/>
            <w:color w:val="0000EE"/>
          </w:rPr>
          <w:t>January 18, 2018</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EE"/>
          </w:rPr>
          <w:t>June 13, 2018</w:t>
        </w:r>
      </w:hyperlink>
      <w:r>
        <w:rPr>
          <w:rFonts w:ascii="Arial" w:cs="Arial" w:eastAsia="Arial" w:hAnsi="Arial"/>
          <w:sz w:val="18"/>
          <w:szCs w:val="18"/>
          <w:color w:val="auto"/>
        </w:rPr>
        <w:t xml:space="preserve">; and </w:t>
      </w:r>
      <w:hyperlink r:id="rId112">
        <w:r>
          <w:rPr>
            <w:rFonts w:ascii="Arial" w:cs="Arial" w:eastAsia="Arial" w:hAnsi="Arial"/>
            <w:sz w:val="18"/>
            <w:szCs w:val="18"/>
            <w:u w:val="single" w:color="auto"/>
            <w:color w:val="0000EE"/>
          </w:rPr>
          <w:t>October 12,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as to Item 8.01 thereof).</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58"/>
        </w:numPr>
        <w:rPr>
          <w:rFonts w:ascii="Arial" w:cs="Arial" w:eastAsia="Arial" w:hAnsi="Arial"/>
          <w:sz w:val="18"/>
          <w:szCs w:val="18"/>
          <w:color w:val="0000EE"/>
        </w:rPr>
      </w:pPr>
      <w:hyperlink r:id="rId114">
        <w:r>
          <w:rPr>
            <w:rFonts w:ascii="Arial" w:cs="Arial" w:eastAsia="Arial" w:hAnsi="Arial"/>
            <w:sz w:val="18"/>
            <w:szCs w:val="18"/>
            <w:u w:val="single" w:color="auto"/>
            <w:color w:val="0000EE"/>
          </w:rPr>
          <w:t>The description of our Common Stock set forth in a Registration Statement on Form 8-A, including any amendment or report filed for the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purpose of updating such description (filing date October 15, 1996; Commission File No. 000-19034)</w:t>
        </w:r>
        <w:r>
          <w:rPr>
            <w:rFonts w:ascii="Arial" w:cs="Arial" w:eastAsia="Arial" w:hAnsi="Arial"/>
            <w:sz w:val="18"/>
            <w:szCs w:val="18"/>
            <w:color w:val="000000"/>
          </w:rPr>
          <w:t>.</w:t>
        </w:r>
      </w:hyperlink>
    </w:p>
    <w:p>
      <w:pPr>
        <w:spacing w:after="0" w:line="186" w:lineRule="exact"/>
        <w:rPr>
          <w:rFonts w:ascii="Arial" w:cs="Arial" w:eastAsia="Arial" w:hAnsi="Arial"/>
          <w:sz w:val="18"/>
          <w:szCs w:val="18"/>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 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166" w:lineRule="exact"/>
        <w:rPr>
          <w:rFonts w:ascii="Arial" w:cs="Arial" w:eastAsia="Arial" w:hAnsi="Arial"/>
          <w:sz w:val="18"/>
          <w:szCs w:val="18"/>
          <w:color w:val="auto"/>
        </w:rPr>
      </w:pPr>
    </w:p>
    <w:p>
      <w:pPr>
        <w:ind w:firstLine="348"/>
        <w:spacing w:after="0" w:line="259" w:lineRule="auto"/>
        <w:rPr>
          <w:sz w:val="20"/>
          <w:szCs w:val="20"/>
          <w:color w:val="auto"/>
        </w:rPr>
      </w:pPr>
      <w:r>
        <w:rPr>
          <w:rFonts w:ascii="Arial" w:cs="Arial" w:eastAsia="Arial" w:hAnsi="Arial"/>
          <w:sz w:val="18"/>
          <w:szCs w:val="18"/>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194"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1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rFonts w:ascii="Arial" w:cs="Arial" w:eastAsia="Arial" w:hAnsi="Arial"/>
          <w:sz w:val="18"/>
          <w:szCs w:val="18"/>
          <w:color w:val="auto"/>
        </w:rPr>
      </w:pPr>
    </w:p>
    <w:p>
      <w:pPr>
        <w:ind w:left="5500" w:hanging="424"/>
        <w:spacing w:after="0"/>
        <w:tabs>
          <w:tab w:leader="none" w:pos="5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847-7000</w:t>
      </w:r>
    </w:p>
    <w:p>
      <w:pPr>
        <w:spacing w:after="0" w:line="21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624205</wp:posOffset>
            </wp:positionV>
            <wp:extent cx="3402965"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3402965" cy="41148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$1,250,000,000 1.750% Senior Notes due 2030</w:t>
      </w:r>
    </w:p>
    <w:p>
      <w:pPr>
        <w:spacing w:after="0" w:line="25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$750,000,000 2.800%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174625</wp:posOffset>
            </wp:positionV>
            <wp:extent cx="1868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151765</wp:posOffset>
            </wp:positionV>
            <wp:extent cx="18688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Goldman Sachs &amp; Co. LLC</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BofA Securities</w:t>
      </w:r>
    </w:p>
    <w:p>
      <w:pPr>
        <w:jc w:val="center"/>
        <w:ind w:right="-1100"/>
        <w:spacing w:after="0" w:line="237" w:lineRule="auto"/>
        <w:rPr>
          <w:sz w:val="20"/>
          <w:szCs w:val="20"/>
          <w:color w:val="auto"/>
        </w:rPr>
      </w:pPr>
      <w:r>
        <w:rPr>
          <w:rFonts w:ascii="Arial" w:cs="Arial" w:eastAsia="Arial" w:hAnsi="Arial"/>
          <w:sz w:val="32"/>
          <w:szCs w:val="32"/>
          <w:b w:val="1"/>
          <w:bCs w:val="1"/>
          <w:color w:val="auto"/>
        </w:rPr>
        <w:t>J.P. Morgan</w:t>
      </w:r>
    </w:p>
    <w:p>
      <w:pPr>
        <w:jc w:val="center"/>
        <w:ind w:right="-1100"/>
        <w:spacing w:after="0" w:line="238" w:lineRule="auto"/>
        <w:rPr>
          <w:sz w:val="20"/>
          <w:szCs w:val="20"/>
          <w:color w:val="auto"/>
        </w:rPr>
      </w:pPr>
      <w:r>
        <w:rPr>
          <w:rFonts w:ascii="Arial" w:cs="Arial" w:eastAsia="Arial" w:hAnsi="Arial"/>
          <w:sz w:val="32"/>
          <w:szCs w:val="32"/>
          <w:b w:val="1"/>
          <w:bCs w:val="1"/>
          <w:color w:val="auto"/>
        </w:rPr>
        <w:t>US Bancorp</w:t>
      </w:r>
    </w:p>
    <w:p>
      <w:pPr>
        <w:jc w:val="center"/>
        <w:ind w:right="-1100"/>
        <w:spacing w:after="0" w:line="238" w:lineRule="auto"/>
        <w:rPr>
          <w:sz w:val="20"/>
          <w:szCs w:val="20"/>
          <w:color w:val="auto"/>
        </w:rPr>
      </w:pPr>
      <w:r>
        <w:rPr>
          <w:rFonts w:ascii="Arial" w:cs="Arial" w:eastAsia="Arial" w:hAnsi="Arial"/>
          <w:sz w:val="32"/>
          <w:szCs w:val="32"/>
          <w:b w:val="1"/>
          <w:bCs w:val="1"/>
          <w:color w:val="auto"/>
        </w:rPr>
        <w:t>Barclays</w:t>
      </w:r>
    </w:p>
    <w:p>
      <w:pPr>
        <w:jc w:val="center"/>
        <w:ind w:right="-1100"/>
        <w:spacing w:after="0" w:line="237" w:lineRule="auto"/>
        <w:rPr>
          <w:sz w:val="20"/>
          <w:szCs w:val="20"/>
          <w:color w:val="auto"/>
        </w:rPr>
      </w:pPr>
      <w:r>
        <w:rPr>
          <w:rFonts w:ascii="Arial" w:cs="Arial" w:eastAsia="Arial" w:hAnsi="Arial"/>
          <w:sz w:val="32"/>
          <w:szCs w:val="32"/>
          <w:b w:val="1"/>
          <w:bCs w:val="1"/>
          <w:color w:val="auto"/>
        </w:rPr>
        <w:t>Citigroup</w:t>
      </w:r>
    </w:p>
    <w:p>
      <w:pPr>
        <w:jc w:val="center"/>
        <w:ind w:right="-1100"/>
        <w:spacing w:after="0" w:line="238" w:lineRule="auto"/>
        <w:rPr>
          <w:sz w:val="20"/>
          <w:szCs w:val="20"/>
          <w:color w:val="auto"/>
        </w:rPr>
      </w:pPr>
      <w:r>
        <w:rPr>
          <w:rFonts w:ascii="Arial" w:cs="Arial" w:eastAsia="Arial" w:hAnsi="Arial"/>
          <w:sz w:val="32"/>
          <w:szCs w:val="32"/>
          <w:b w:val="1"/>
          <w:bCs w:val="1"/>
          <w:color w:val="auto"/>
        </w:rPr>
        <w:t>Fifth Third Securities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MUFG</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Bank of Ireland</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Citizens Capital Markets</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Loop Capital Markets</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142240</wp:posOffset>
            </wp:positionV>
            <wp:extent cx="18688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136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lvl w:ilvl="1">
      <w:lvlJc w:val="left"/>
      <w:lvlText w:val="(%2)"/>
      <w:numFmt w:val="decimal"/>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decimal"/>
      <w:start w:val="2"/>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914"/>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3"/>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lvl w:ilvl="1">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13"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jpe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26" Type="http://schemas.openxmlformats.org/officeDocument/2006/relationships/hyperlink" Target="http://www.sec.gov/ix?doc=/Archives/edgar/data/872589/000153217620000008/regn-123119x10k.htm" TargetMode="External"/><Relationship Id="rId27" Type="http://schemas.openxmlformats.org/officeDocument/2006/relationships/hyperlink" Target="http://www.sec.gov/ix?doc=/Archives/edgar/data/872589/000180422020000022/regn-20200630.htm" TargetMode="External"/><Relationship Id="rId32" Type="http://schemas.openxmlformats.org/officeDocument/2006/relationships/hyperlink" Target="http://www.sec.gov/Archives/edgar/data/872589/000153217620000008/regn-123119x10k.htm" TargetMode="External"/><Relationship Id="rId33" Type="http://schemas.openxmlformats.org/officeDocument/2006/relationships/hyperlink" Target="http://www.sec.gov/Archives/edgar/data/872589/000180422020000022/regn-20200630.htm" TargetMode="External"/><Relationship Id="rId70" Type="http://schemas.openxmlformats.org/officeDocument/2006/relationships/hyperlink" Target="http://www.sec.gov/Archives/edgar/data/872589/000093041320001198/c95145_def14a.htm" TargetMode="External"/><Relationship Id="rId71" Type="http://schemas.openxmlformats.org/officeDocument/2006/relationships/hyperlink" Target="http://www.sec.gov/Archives/edgar/data/872589/000093041320000983/regn-20200405.htm" TargetMode="External"/><Relationship Id="rId72" Type="http://schemas.openxmlformats.org/officeDocument/2006/relationships/hyperlink" Target="http://www.sec.gov/Archives/edgar/data/872589/000110465920067752/tm2021201-1_8k.htm" TargetMode="External"/><Relationship Id="rId73" Type="http://schemas.openxmlformats.org/officeDocument/2006/relationships/hyperlink" Target="http://www.sec.gov/Archives/edgar/data/872589/000110465920073794/tm2022678d_8k.htm" TargetMode="External"/><Relationship Id="rId74" Type="http://schemas.openxmlformats.org/officeDocument/2006/relationships/hyperlink" Target="http://www.sec.gov/Archives/edgar/data/872589/000110465920081559/tm2024240d1_8k.htm" TargetMode="External"/><Relationship Id="rId103" Type="http://schemas.openxmlformats.org/officeDocument/2006/relationships/hyperlink" Target="http://www.sec.gov/Archives/edgar/data/872589/000153217618000013/regn-123117x10k.htm" TargetMode="External"/><Relationship Id="rId104" Type="http://schemas.openxmlformats.org/officeDocument/2006/relationships/hyperlink" Target="http://www.sec.gov/Archives/edgar/data/872589/000104746918003073/a2234921zdef14a.htm" TargetMode="External"/><Relationship Id="rId105" Type="http://schemas.openxmlformats.org/officeDocument/2006/relationships/hyperlink" Target="http://www.sec.gov/Archives/edgar/data/872589/000153217618000020/regn-033118x10q.htm" TargetMode="External"/><Relationship Id="rId106" Type="http://schemas.openxmlformats.org/officeDocument/2006/relationships/hyperlink" Target="http://www.sec.gov/Archives/edgar/data/872589/000153217618000028/regn-063018x10q.htm" TargetMode="External"/><Relationship Id="rId107" Type="http://schemas.openxmlformats.org/officeDocument/2006/relationships/hyperlink" Target="http://www.sec.gov/Archives/edgar/data/872589/000153217618000036/regn-093018x10q.htm" TargetMode="External"/><Relationship Id="rId108" Type="http://schemas.openxmlformats.org/officeDocument/2006/relationships/hyperlink" Target="http://www.sec.gov/Archives/edgar/data/872589/000110465918000220/a18-2060_18k.htm" TargetMode="External"/><Relationship Id="rId109" Type="http://schemas.openxmlformats.org/officeDocument/2006/relationships/hyperlink" Target="http://www.sec.gov/Archives/edgar/data/872589/000110465918001100/a18-2403_18k.htm" TargetMode="External"/><Relationship Id="rId110" Type="http://schemas.openxmlformats.org/officeDocument/2006/relationships/hyperlink" Target="http://www.sec.gov/Archives/edgar/data/872589/000110465918002858/a18-3387_18k.htm" TargetMode="External"/><Relationship Id="rId111" Type="http://schemas.openxmlformats.org/officeDocument/2006/relationships/hyperlink" Target="http://www.sec.gov/Archives/edgar/data/872589/000110465918039843/a18-15274_18k.htm" TargetMode="External"/><Relationship Id="rId112" Type="http://schemas.openxmlformats.org/officeDocument/2006/relationships/hyperlink" Target="http://www.sec.gov/Archives/edgar/data/872589/000110465918061697/a18-36627_18k.htm" TargetMode="External"/><Relationship Id="rId114" Type="http://schemas.openxmlformats.org/officeDocument/2006/relationships/hyperlink" Target="http://www.sec.gov/Archives/edgar/data/872589/0000950172-96-000641-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2020-08-11T05:11:45Z</dcterms:created>
  <dcterms:modified xsi:type="dcterms:W3CDTF">2020-08-11T05:11:45Z</dcterms:modified>
</cp:coreProperties>
</file>