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Filed pursuant to Rule No.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 Number 333-74464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NO. 4</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$200,000,000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5.50% Convertible Senior Subordinated Notes due 2008</w:t>
      </w:r>
    </w:p>
    <w:p>
      <w:pPr>
        <w:jc w:val="center"/>
        <w:ind w:right="1779"/>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prospectus supplement supplements the prospectus dated January 24, 2002 of Regeneron Pharmaceuticals, Inc. relating to the sale by certain of our securityholders (including their pledgees,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215"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table of selling securityholders contained in the prospectus is hereby modified to add as follows:</w:t>
      </w:r>
    </w:p>
    <w:p>
      <w:pPr>
        <w:spacing w:after="0" w:line="203" w:lineRule="exact"/>
        <w:rPr>
          <w:sz w:val="24"/>
          <w:szCs w:val="24"/>
          <w:color w:val="auto"/>
        </w:rPr>
      </w:pPr>
    </w:p>
    <w:p>
      <w:pPr>
        <w:jc w:val="center"/>
        <w:ind w:right="8539"/>
        <w:spacing w:after="0"/>
        <w:rPr>
          <w:sz w:val="20"/>
          <w:szCs w:val="20"/>
          <w:color w:val="auto"/>
        </w:rPr>
      </w:pPr>
      <w:r>
        <w:rPr>
          <w:rFonts w:ascii="Courier New" w:cs="Courier New" w:eastAsia="Courier New" w:hAnsi="Courier New"/>
          <w:sz w:val="18"/>
          <w:szCs w:val="18"/>
          <w:color w:val="auto"/>
        </w:rPr>
        <w:t>Name Aggregate</w:t>
      </w:r>
    </w:p>
    <w:p>
      <w:pPr>
        <w:jc w:val="center"/>
        <w:ind w:right="853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539"/>
        <w:spacing w:after="0"/>
        <w:rPr>
          <w:sz w:val="20"/>
          <w:szCs w:val="20"/>
          <w:color w:val="auto"/>
        </w:rPr>
      </w:pPr>
      <w:r>
        <w:rPr>
          <w:rFonts w:ascii="Courier New" w:cs="Courier New" w:eastAsia="Courier New" w:hAnsi="Courier New"/>
          <w:sz w:val="18"/>
          <w:szCs w:val="18"/>
          <w:color w:val="auto"/>
        </w:rPr>
        <w:t>Number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539"/>
        <w:spacing w:after="0" w:line="238" w:lineRule="auto"/>
        <w:rPr>
          <w:sz w:val="20"/>
          <w:szCs w:val="20"/>
          <w:color w:val="auto"/>
        </w:rPr>
      </w:pPr>
      <w:r>
        <w:rPr>
          <w:rFonts w:ascii="Courier New" w:cs="Courier New" w:eastAsia="Courier New" w:hAnsi="Courier New"/>
          <w:sz w:val="18"/>
          <w:szCs w:val="18"/>
          <w:color w:val="auto"/>
        </w:rPr>
        <w:t>Percentage of -</w:t>
      </w:r>
    </w:p>
    <w:p>
      <w:pPr>
        <w:spacing w:after="0" w:line="5" w:lineRule="exact"/>
        <w:rPr>
          <w:sz w:val="24"/>
          <w:szCs w:val="24"/>
          <w:color w:val="auto"/>
        </w:rPr>
      </w:pPr>
    </w:p>
    <w:p>
      <w:pPr>
        <w:jc w:val="both"/>
        <w:ind w:left="160" w:right="8639" w:hanging="52"/>
        <w:spacing w:after="0" w:line="268" w:lineRule="auto"/>
        <w:tabs>
          <w:tab w:leader="none" w:pos="63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at Percentage of</w:t>
      </w:r>
    </w:p>
    <w:p>
      <w:pPr>
        <w:jc w:val="center"/>
        <w:ind w:right="8539"/>
        <w:spacing w:after="0" w:line="233" w:lineRule="auto"/>
        <w:rPr>
          <w:sz w:val="20"/>
          <w:szCs w:val="20"/>
          <w:color w:val="auto"/>
        </w:rPr>
      </w:pPr>
      <w:r>
        <w:rPr>
          <w:rFonts w:ascii="Courier New" w:cs="Courier New" w:eastAsia="Courier New" w:hAnsi="Courier New"/>
          <w:sz w:val="18"/>
          <w:szCs w:val="18"/>
          <w:color w:val="auto"/>
        </w:rPr>
        <w:t>of Common Stock</w:t>
      </w:r>
    </w:p>
    <w:p>
      <w:pPr>
        <w:jc w:val="center"/>
        <w:ind w:right="8539"/>
        <w:spacing w:after="0"/>
        <w:rPr>
          <w:sz w:val="20"/>
          <w:szCs w:val="20"/>
          <w:color w:val="auto"/>
        </w:rPr>
      </w:pPr>
      <w:r>
        <w:rPr>
          <w:rFonts w:ascii="Courier New" w:cs="Courier New" w:eastAsia="Courier New" w:hAnsi="Courier New"/>
          <w:sz w:val="18"/>
          <w:szCs w:val="18"/>
          <w:color w:val="auto"/>
        </w:rPr>
        <w:t>Shares of</w:t>
      </w:r>
    </w:p>
    <w:p>
      <w:pPr>
        <w:jc w:val="center"/>
        <w:ind w:right="8539"/>
        <w:spacing w:after="0" w:line="237" w:lineRule="auto"/>
        <w:rPr>
          <w:sz w:val="20"/>
          <w:szCs w:val="20"/>
          <w:color w:val="auto"/>
        </w:rPr>
      </w:pPr>
      <w:r>
        <w:rPr>
          <w:rFonts w:ascii="Courier New" w:cs="Courier New" w:eastAsia="Courier New" w:hAnsi="Courier New"/>
          <w:sz w:val="18"/>
          <w:szCs w:val="18"/>
          <w:color w:val="auto"/>
        </w:rPr>
        <w:t>Maturity of the</w:t>
      </w:r>
    </w:p>
    <w:p>
      <w:pPr>
        <w:jc w:val="center"/>
        <w:ind w:right="8539"/>
        <w:spacing w:after="0"/>
        <w:rPr>
          <w:sz w:val="20"/>
          <w:szCs w:val="20"/>
          <w:color w:val="auto"/>
        </w:rPr>
      </w:pPr>
      <w:r>
        <w:rPr>
          <w:rFonts w:ascii="Courier New" w:cs="Courier New" w:eastAsia="Courier New" w:hAnsi="Courier New"/>
          <w:sz w:val="18"/>
          <w:szCs w:val="18"/>
          <w:color w:val="auto"/>
        </w:rPr>
        <w:t>Notes Notes</w:t>
      </w:r>
    </w:p>
    <w:p>
      <w:pPr>
        <w:jc w:val="center"/>
        <w:ind w:right="8539"/>
        <w:spacing w:after="0" w:line="237" w:lineRule="auto"/>
        <w:rPr>
          <w:sz w:val="20"/>
          <w:szCs w:val="20"/>
          <w:color w:val="auto"/>
        </w:rPr>
      </w:pPr>
      <w:r>
        <w:rPr>
          <w:rFonts w:ascii="Courier New" w:cs="Courier New" w:eastAsia="Courier New" w:hAnsi="Courier New"/>
          <w:sz w:val="18"/>
          <w:szCs w:val="18"/>
          <w:color w:val="auto"/>
        </w:rPr>
        <w:t>that may Common</w:t>
      </w:r>
    </w:p>
    <w:p>
      <w:pPr>
        <w:jc w:val="center"/>
        <w:ind w:right="8539"/>
        <w:spacing w:after="0"/>
        <w:rPr>
          <w:sz w:val="20"/>
          <w:szCs w:val="20"/>
          <w:color w:val="auto"/>
        </w:rPr>
      </w:pPr>
      <w:r>
        <w:rPr>
          <w:rFonts w:ascii="Courier New" w:cs="Courier New" w:eastAsia="Courier New" w:hAnsi="Courier New"/>
          <w:sz w:val="18"/>
          <w:szCs w:val="18"/>
          <w:color w:val="auto"/>
        </w:rPr>
        <w:t>Stock that may</w:t>
      </w:r>
    </w:p>
    <w:p>
      <w:pPr>
        <w:jc w:val="center"/>
        <w:ind w:right="8539"/>
        <w:spacing w:after="0" w:line="237" w:lineRule="auto"/>
        <w:rPr>
          <w:sz w:val="20"/>
          <w:szCs w:val="20"/>
          <w:color w:val="auto"/>
        </w:rPr>
      </w:pPr>
      <w:r>
        <w:rPr>
          <w:rFonts w:ascii="Courier New" w:cs="Courier New" w:eastAsia="Courier New" w:hAnsi="Courier New"/>
          <w:sz w:val="18"/>
          <w:szCs w:val="18"/>
          <w:color w:val="auto"/>
        </w:rPr>
        <w:t>be Sold</w:t>
      </w:r>
    </w:p>
    <w:p>
      <w:pPr>
        <w:jc w:val="center"/>
        <w:ind w:right="8539"/>
        <w:spacing w:after="0" w:line="238" w:lineRule="auto"/>
        <w:rPr>
          <w:sz w:val="20"/>
          <w:szCs w:val="20"/>
          <w:color w:val="auto"/>
        </w:rPr>
      </w:pPr>
      <w:r>
        <w:rPr>
          <w:rFonts w:ascii="Courier New" w:cs="Courier New" w:eastAsia="Courier New" w:hAnsi="Courier New"/>
          <w:sz w:val="18"/>
          <w:szCs w:val="18"/>
          <w:color w:val="auto"/>
        </w:rPr>
        <w:t>Outstanding be</w:t>
      </w:r>
    </w:p>
    <w:p>
      <w:pPr>
        <w:jc w:val="center"/>
        <w:ind w:right="8539"/>
        <w:spacing w:after="0"/>
        <w:rPr>
          <w:sz w:val="20"/>
          <w:szCs w:val="20"/>
          <w:color w:val="auto"/>
        </w:rPr>
      </w:pPr>
      <w:r>
        <w:rPr>
          <w:rFonts w:ascii="Courier New" w:cs="Courier New" w:eastAsia="Courier New" w:hAnsi="Courier New"/>
          <w:sz w:val="18"/>
          <w:szCs w:val="18"/>
          <w:color w:val="auto"/>
        </w:rPr>
        <w:t>sold (1)</w:t>
      </w:r>
    </w:p>
    <w:p>
      <w:pPr>
        <w:jc w:val="center"/>
        <w:ind w:right="8539"/>
        <w:spacing w:after="0" w:line="237" w:lineRule="auto"/>
        <w:rPr>
          <w:sz w:val="20"/>
          <w:szCs w:val="20"/>
          <w:color w:val="auto"/>
        </w:rPr>
      </w:pPr>
      <w:r>
        <w:rPr>
          <w:rFonts w:ascii="Courier New" w:cs="Courier New" w:eastAsia="Courier New" w:hAnsi="Courier New"/>
          <w:sz w:val="18"/>
          <w:szCs w:val="18"/>
          <w:color w:val="auto"/>
        </w:rPr>
        <w:t>Outstanding (2)</w:t>
      </w:r>
    </w:p>
    <w:p>
      <w:pPr>
        <w:ind w:left="60"/>
        <w:spacing w:after="0"/>
        <w:rPr>
          <w:sz w:val="20"/>
          <w:szCs w:val="20"/>
          <w:color w:val="auto"/>
        </w:rPr>
      </w:pPr>
      <w:r>
        <w:rPr>
          <w:rFonts w:ascii="Courier New" w:cs="Courier New" w:eastAsia="Courier New" w:hAnsi="Courier New"/>
          <w:sz w:val="18"/>
          <w:szCs w:val="18"/>
          <w:color w:val="auto"/>
        </w:rPr>
        <w:t>---------------</w:t>
      </w:r>
    </w:p>
    <w:p>
      <w:pPr>
        <w:ind w:left="680" w:hanging="625"/>
        <w:spacing w:after="0" w:line="237" w:lineRule="auto"/>
        <w:tabs>
          <w:tab w:leader="none" w:pos="6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5"/>
        <w:spacing w:after="0" w:line="238" w:lineRule="auto"/>
        <w:tabs>
          <w:tab w:leader="none" w:pos="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80" w:hanging="625"/>
        <w:spacing w:after="0" w:line="238" w:lineRule="auto"/>
        <w:tabs>
          <w:tab w:leader="none" w:pos="6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tbl>
      <w:tblPr>
        <w:tblLayout w:type="fixed"/>
        <w:tblInd w:w="6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w w:val="94"/>
              </w:rPr>
              <w:t>7,500,000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3.75%</w:t>
            </w:r>
          </w:p>
        </w:tc>
      </w:tr>
      <w:tr>
        <w:trPr>
          <w:trHeight w:val="203"/>
        </w:trPr>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247,923 *</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00" w:hanging="534"/>
        <w:spacing w:after="0"/>
        <w:tabs>
          <w:tab w:leader="none" w:pos="8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Less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one</w:t>
      </w:r>
    </w:p>
    <w:p>
      <w:pPr>
        <w:ind w:left="160"/>
        <w:spacing w:after="0"/>
        <w:rPr>
          <w:sz w:val="20"/>
          <w:szCs w:val="20"/>
          <w:color w:val="auto"/>
        </w:rPr>
      </w:pPr>
      <w:r>
        <w:rPr>
          <w:rFonts w:ascii="Courier New" w:cs="Courier New" w:eastAsia="Courier New" w:hAnsi="Courier New"/>
          <w:sz w:val="18"/>
          <w:szCs w:val="18"/>
          <w:color w:val="auto"/>
        </w:rPr>
        <w:t>percent (1%).</w:t>
      </w:r>
    </w:p>
    <w:p>
      <w:pPr>
        <w:spacing w:after="0" w:line="200" w:lineRule="exact"/>
        <w:rPr>
          <w:sz w:val="24"/>
          <w:szCs w:val="24"/>
          <w:color w:val="auto"/>
        </w:rPr>
      </w:pPr>
    </w:p>
    <w:p>
      <w:pPr>
        <w:spacing w:after="0" w:line="209" w:lineRule="exact"/>
        <w:rPr>
          <w:sz w:val="24"/>
          <w:szCs w:val="24"/>
          <w:color w:val="auto"/>
        </w:rPr>
      </w:pPr>
    </w:p>
    <w:p>
      <w:pPr>
        <w:ind w:right="209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conversion of all of the holder's notes at a conversion rate of 33.0565 shares of common stock per $1,000 principal amount at maturity of the notes. This conversion rate is subject to adjustment, however, as described under "Description of the Notes - Conversion of the Notes." As a result, the number of shares of common stock issuable upon conversion of the notes may increase or decrease in the future.</w:t>
      </w:r>
    </w:p>
    <w:p>
      <w:pPr>
        <w:spacing w:after="0" w:line="209"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Rule 13d-3(d)(i) of the Exchange Act, using 43,826,969 shares of common stock outstanding as of December 31, 2001. In calculating this amount for each holder, we treated as outstanding the number of shares of common stock issuable upon conversion of all that holder's notes, but we did not assume conversion of any other holder's notes.</w:t>
      </w:r>
    </w:p>
    <w:p>
      <w:pPr>
        <w:spacing w:after="0" w:line="209" w:lineRule="exact"/>
        <w:rPr>
          <w:sz w:val="24"/>
          <w:szCs w:val="24"/>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Investing in the notes or shares of common stock involves risks that are described in the "Risk Factors" section beginning on page 5 of the prospectus.</w:t>
      </w:r>
    </w:p>
    <w:p>
      <w:pPr>
        <w:spacing w:after="0" w:line="170"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The date of this prospectus supplement is April 26, 2002.</w:t>
      </w:r>
    </w:p>
    <w:sectPr>
      <w:pgSz w:w="11900" w:h="16838" w:orient="portrait"/>
      <w:cols w:equalWidth="0" w:num="1">
        <w:col w:w="9159"/>
      </w:cols>
      <w:pgMar w:left="130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2019-12-20T02:02:51Z</dcterms:created>
  <dcterms:modified xsi:type="dcterms:W3CDTF">2019-12-20T02:02:51Z</dcterms:modified>
</cp:coreProperties>
</file>