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8,247,547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8,247,547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12.909%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8,247,547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8,247,547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12.909%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8,247,547</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12.909%</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8,247,547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6,388,948 shares or 10.000% of the total outstanding Common Stock at December 31, 2007.</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Eric D. Roiter</w:t>
            </w:r>
          </w:p>
        </w:tc>
        <w:tc>
          <w:tcPr>
            <w:tcW w:w="23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Duly</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authorized under Power of</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Attorney</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dated December 30, 1997 by and</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on behalf of FMR Corp.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(now</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known as FMR LLC) and its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and indirect</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8,247,547 shares or 12.909%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6,388,948 shares or</w:t>
      </w:r>
    </w:p>
    <w:p>
      <w:pPr>
        <w:ind w:right="4319"/>
        <w:spacing w:after="0" w:line="236" w:lineRule="auto"/>
        <w:rPr>
          <w:sz w:val="20"/>
          <w:szCs w:val="20"/>
          <w:color w:val="auto"/>
        </w:rPr>
      </w:pPr>
      <w:r>
        <w:rPr>
          <w:rFonts w:ascii="Courier New" w:cs="Courier New" w:eastAsia="Courier New" w:hAnsi="Courier New"/>
          <w:sz w:val="18"/>
          <w:szCs w:val="18"/>
          <w:color w:val="auto"/>
        </w:rPr>
        <w:t>10.000%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8,247,547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2008, agree and consent to the joint filing on their behalf of this Schedule 13G in connection with their beneficial ownership of the Common Stock of Regeneron Pharmaceuticals Incorporated at December 31, 2007.</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2019-12-19T21:21:44Z</dcterms:created>
  <dcterms:modified xsi:type="dcterms:W3CDTF">2019-12-19T21:21:44Z</dcterms:modified>
</cp:coreProperties>
</file>